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351E" w:rsidP="004135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CUASTA202 Assist with bump in and bump out of shows</w:t>
      </w:r>
      <w:r>
        <w:fldChar w:fldCharType="end"/>
      </w:r>
    </w:p>
    <w:p w:rsidR="0041351E" w:rsidP="0041351E">
      <w:pPr>
        <w:pStyle w:val="Version"/>
        <w:sectPr w:rsidSect="001B7F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B7F0F" w:rsidP="001B7F0F">
      <w:pPr>
        <w:pStyle w:val="SuperHeading"/>
      </w:pPr>
      <w:r w:rsidRPr="001B7F0F">
        <w:t>CUASTA202 Assist with bump in and bump out of shows</w:t>
      </w:r>
    </w:p>
    <w:p w:rsidR="00000000" w:rsidRPr="001B7F0F" w:rsidP="001B7F0F">
      <w:pPr>
        <w:pStyle w:val="Heading1"/>
      </w:pPr>
      <w:bookmarkStart w:id="1" w:name="O_811717"/>
      <w:bookmarkEnd w:id="1"/>
      <w:r w:rsidRPr="001B7F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B7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F0F" w:rsidP="001B7F0F">
            <w:pPr>
              <w:pStyle w:val="BodyText"/>
            </w:pPr>
            <w:r w:rsidRPr="001B7F0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0F">
            <w:pPr>
              <w:pStyle w:val="BodyText"/>
              <w:rPr>
                <w:lang w:val="en-NZ"/>
              </w:rPr>
            </w:pPr>
            <w:r w:rsidRPr="001B7F0F">
              <w:rPr>
                <w:rStyle w:val="SpecialBold"/>
              </w:rPr>
              <w:t>Comments</w:t>
            </w:r>
          </w:p>
        </w:tc>
      </w:tr>
      <w:tr w:rsidTr="001B7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0F">
            <w:pPr>
              <w:pStyle w:val="BodyText"/>
              <w:rPr>
                <w:lang w:val="en-NZ"/>
              </w:rPr>
            </w:pPr>
            <w:r w:rsidRPr="001B7F0F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0F">
            <w:pPr>
              <w:pStyle w:val="BodyText"/>
              <w:rPr>
                <w:lang w:val="en-NZ"/>
              </w:rPr>
            </w:pPr>
            <w:r w:rsidRPr="001B7F0F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1B7F0F">
              <w:t>package.</w:t>
            </w:r>
          </w:p>
        </w:tc>
      </w:tr>
      <w:tr w:rsidTr="001B7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0F">
            <w:pPr>
              <w:pStyle w:val="BodyText"/>
              <w:rPr>
                <w:lang w:val="en-NZ"/>
              </w:rPr>
            </w:pPr>
            <w:r w:rsidRPr="001B7F0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F0F" w:rsidP="001B7F0F">
            <w:pPr>
              <w:pStyle w:val="BodyText"/>
            </w:pPr>
            <w:r w:rsidRPr="001B7F0F">
              <w:t>This version first released with CUA Creative Arts and Culture Training Package version 1.0.</w:t>
            </w:r>
          </w:p>
        </w:tc>
      </w:tr>
    </w:tbl>
    <w:p w:rsidR="00000000" w:rsidRPr="001B7F0F" w:rsidP="001B7F0F">
      <w:pPr>
        <w:pStyle w:val="BodyText"/>
      </w:pPr>
    </w:p>
    <w:p w:rsidR="00000000" w:rsidRPr="001B7F0F" w:rsidP="001B7F0F">
      <w:pPr>
        <w:pStyle w:val="AllowPageBreak"/>
      </w:pPr>
    </w:p>
    <w:p w:rsidR="00000000" w:rsidRPr="001B7F0F" w:rsidP="001B7F0F">
      <w:pPr>
        <w:pStyle w:val="Heading1"/>
      </w:pPr>
      <w:bookmarkStart w:id="2" w:name="O_811716"/>
      <w:bookmarkEnd w:id="2"/>
      <w:r w:rsidRPr="001B7F0F">
        <w:t>Application</w:t>
      </w:r>
    </w:p>
    <w:p w:rsidR="00000000" w:rsidRPr="001B7F0F" w:rsidP="0041351E">
      <w:pPr>
        <w:pStyle w:val="BodyText"/>
      </w:pPr>
      <w:r w:rsidRPr="001B7F0F">
        <w:t>This unit describes the performance outcomes, skills and knowledge required to assemble, pack, load and unload p</w:t>
      </w:r>
      <w:r w:rsidRPr="001B7F0F">
        <w:t>hysical elements for productions in the screen, media, entertainment and events industries.</w:t>
      </w:r>
    </w:p>
    <w:p w:rsidR="00000000" w:rsidRPr="001B7F0F" w:rsidP="0041351E">
      <w:pPr>
        <w:pStyle w:val="BodyText"/>
      </w:pPr>
      <w:r w:rsidRPr="001B7F0F">
        <w:t>At this level, individuals are working under the direct supervision of experienced personnel.</w:t>
      </w:r>
    </w:p>
    <w:p w:rsidR="00000000" w:rsidRPr="001B7F0F" w:rsidP="0041351E">
      <w:pPr>
        <w:pStyle w:val="BodyText"/>
      </w:pPr>
      <w:r w:rsidRPr="001B7F0F">
        <w:t>No licensing, legislative or certification requirements apply to thi</w:t>
      </w:r>
      <w:r w:rsidRPr="001B7F0F">
        <w:t>s unit at the time of publication.</w:t>
      </w:r>
    </w:p>
    <w:p w:rsidR="00000000" w:rsidRPr="001B7F0F" w:rsidP="001B7F0F">
      <w:pPr>
        <w:pStyle w:val="Heading1"/>
      </w:pPr>
      <w:bookmarkStart w:id="3" w:name="O_811715"/>
      <w:bookmarkEnd w:id="3"/>
      <w:r w:rsidRPr="001B7F0F">
        <w:t>Unit Sector</w:t>
      </w:r>
    </w:p>
    <w:p w:rsidR="00000000" w:rsidRPr="001B7F0F" w:rsidP="0041351E">
      <w:pPr>
        <w:pStyle w:val="BodyText"/>
      </w:pPr>
      <w:r w:rsidRPr="001B7F0F">
        <w:t>Media and entertainment production - staging</w:t>
      </w:r>
    </w:p>
    <w:p w:rsidR="00000000" w:rsidRPr="001B7F0F" w:rsidP="001B7F0F">
      <w:pPr>
        <w:pStyle w:val="Heading1"/>
      </w:pPr>
      <w:bookmarkStart w:id="4" w:name="O_811714"/>
      <w:bookmarkEnd w:id="4"/>
      <w:r w:rsidRPr="001B7F0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1B7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F0F" w:rsidP="001B7F0F">
            <w:pPr>
              <w:pStyle w:val="BodyText"/>
            </w:pPr>
            <w:r w:rsidRPr="001B7F0F">
              <w:rPr>
                <w:rStyle w:val="SpecialBold"/>
              </w:rPr>
              <w:t>Elements</w:t>
            </w:r>
          </w:p>
          <w:p w:rsidR="00000000" w:rsidRPr="001B7F0F" w:rsidP="001B7F0F">
            <w:pPr>
              <w:pStyle w:val="BodyText"/>
            </w:pPr>
            <w:r w:rsidRPr="001B7F0F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F0F" w:rsidP="001B7F0F">
            <w:pPr>
              <w:pStyle w:val="BodyText"/>
            </w:pPr>
            <w:r w:rsidRPr="001B7F0F">
              <w:rPr>
                <w:rStyle w:val="SpecialBold"/>
              </w:rPr>
              <w:t>Performance Criteria</w:t>
            </w:r>
          </w:p>
          <w:p w:rsidR="00000000" w:rsidP="001B7F0F">
            <w:pPr>
              <w:pStyle w:val="BodyText"/>
              <w:rPr>
                <w:lang w:val="en-NZ"/>
              </w:rPr>
            </w:pPr>
            <w:r w:rsidRPr="001B7F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7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0F">
            <w:pPr>
              <w:pStyle w:val="BodyText"/>
              <w:rPr>
                <w:lang w:val="en-NZ"/>
              </w:rPr>
            </w:pPr>
            <w:r w:rsidRPr="001B7F0F">
              <w:t>1. Prepare physical elements for transportation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F0F" w:rsidP="001B7F0F">
            <w:pPr>
              <w:pStyle w:val="BodyText"/>
            </w:pPr>
            <w:r w:rsidRPr="001B7F0F">
              <w:t>1.1 Assemble or dismantle physical elements in the correct order according to instructions and documentation to</w:t>
            </w:r>
            <w:r w:rsidRPr="001B7F0F">
              <w:t xml:space="preserve"> ensure ease of packing, loading, unloading and installation</w:t>
            </w:r>
          </w:p>
          <w:p w:rsidR="00000000" w:rsidRPr="001B7F0F" w:rsidP="001B7F0F">
            <w:pPr>
              <w:pStyle w:val="BodyText"/>
            </w:pPr>
            <w:r w:rsidRPr="001B7F0F">
              <w:t>1.2 Pack physical elements safely using appropriate techniques and materials to avoid damage during transportation</w:t>
            </w:r>
          </w:p>
          <w:p w:rsidR="00000000" w:rsidP="001B7F0F">
            <w:pPr>
              <w:pStyle w:val="BodyText"/>
              <w:rPr>
                <w:lang w:val="en-NZ"/>
              </w:rPr>
            </w:pPr>
            <w:r w:rsidRPr="001B7F0F">
              <w:t xml:space="preserve">1.3 Prepare and pack tools required for bump in and bump out </w:t>
            </w:r>
          </w:p>
        </w:tc>
      </w:tr>
      <w:tr w:rsidTr="001B7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0F">
            <w:pPr>
              <w:pStyle w:val="BodyText"/>
              <w:rPr>
                <w:lang w:val="en-NZ"/>
              </w:rPr>
            </w:pPr>
            <w:r w:rsidRPr="001B7F0F">
              <w:t xml:space="preserve">2. Move physical </w:t>
            </w:r>
            <w:r w:rsidRPr="001B7F0F">
              <w:t>elements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F0F" w:rsidP="001B7F0F">
            <w:pPr>
              <w:pStyle w:val="BodyText"/>
            </w:pPr>
            <w:r w:rsidRPr="001B7F0F">
              <w:t>2.1 Load and unload physical elements in the correct order, taking care to avoid damage</w:t>
            </w:r>
          </w:p>
          <w:p w:rsidR="00000000" w:rsidRPr="001B7F0F" w:rsidP="001B7F0F">
            <w:pPr>
              <w:pStyle w:val="BodyText"/>
            </w:pPr>
            <w:r w:rsidRPr="001B7F0F">
              <w:t>2.2 Use safe manual-handling techniques throughout the loading and unloading process to avoid injury and damage</w:t>
            </w:r>
          </w:p>
          <w:p w:rsidR="00000000" w:rsidRPr="001B7F0F" w:rsidP="001B7F0F">
            <w:pPr>
              <w:pStyle w:val="BodyText"/>
            </w:pPr>
            <w:r w:rsidRPr="001B7F0F">
              <w:t>2.3 Identify hazardous items and load them in a</w:t>
            </w:r>
            <w:r w:rsidRPr="001B7F0F">
              <w:t xml:space="preserve"> manner that minimises risk to health and safety </w:t>
            </w:r>
          </w:p>
          <w:p w:rsidR="00000000" w:rsidRPr="001B7F0F" w:rsidP="001B7F0F">
            <w:pPr>
              <w:pStyle w:val="BodyText"/>
            </w:pPr>
            <w:r w:rsidRPr="001B7F0F">
              <w:t>2.4 Install or position physical elements in appropriate work or storage area according to directions</w:t>
            </w:r>
          </w:p>
          <w:p w:rsidR="00000000" w:rsidRPr="001B7F0F" w:rsidP="001B7F0F">
            <w:pPr>
              <w:pStyle w:val="BodyText"/>
            </w:pPr>
            <w:r w:rsidRPr="001B7F0F">
              <w:t>2.5 Inspect load prior to transportation to ensure that all items are loaded appropriately, and make adj</w:t>
            </w:r>
            <w:r w:rsidRPr="001B7F0F">
              <w:t>ustments as required</w:t>
            </w:r>
          </w:p>
          <w:p w:rsidR="00000000" w:rsidP="001B7F0F">
            <w:pPr>
              <w:pStyle w:val="BodyText"/>
              <w:rPr>
                <w:lang w:val="en-NZ"/>
              </w:rPr>
            </w:pPr>
            <w:r w:rsidRPr="001B7F0F">
              <w:t>2.6 Clear and clean work areas according to organisational procedures</w:t>
            </w:r>
          </w:p>
        </w:tc>
      </w:tr>
      <w:tr w:rsidTr="001B7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0F">
            <w:pPr>
              <w:pStyle w:val="BodyText"/>
              <w:rPr>
                <w:lang w:val="en-NZ"/>
              </w:rPr>
            </w:pPr>
            <w:r w:rsidRPr="001B7F0F">
              <w:t>3. Finalise activities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F0F" w:rsidP="001B7F0F">
            <w:pPr>
              <w:pStyle w:val="BodyText"/>
            </w:pPr>
            <w:r w:rsidRPr="001B7F0F">
              <w:t>3.1 Check the condition of physical elements to ensure that no damage has occurred during bump in or bump out</w:t>
            </w:r>
          </w:p>
          <w:p w:rsidR="00000000" w:rsidRPr="001B7F0F" w:rsidP="001B7F0F">
            <w:pPr>
              <w:pStyle w:val="BodyText"/>
            </w:pPr>
            <w:r w:rsidRPr="001B7F0F">
              <w:t>3.2 Inform relevant personnel of items that need repair and complete documentation as required</w:t>
            </w:r>
          </w:p>
          <w:p w:rsidR="00000000" w:rsidRPr="001B7F0F" w:rsidP="001B7F0F">
            <w:pPr>
              <w:pStyle w:val="BodyText"/>
            </w:pPr>
            <w:r w:rsidRPr="001B7F0F">
              <w:t>3.3 Seek feedback on own work performance and note areas for improvement</w:t>
            </w:r>
          </w:p>
        </w:tc>
      </w:tr>
    </w:tbl>
    <w:p w:rsidR="00000000" w:rsidRPr="001B7F0F" w:rsidP="001B7F0F">
      <w:pPr>
        <w:pStyle w:val="BodyText"/>
      </w:pPr>
    </w:p>
    <w:p w:rsidR="00000000" w:rsidRPr="001B7F0F" w:rsidP="001B7F0F">
      <w:pPr>
        <w:pStyle w:val="AllowPageBreak"/>
      </w:pPr>
    </w:p>
    <w:p w:rsidR="00000000" w:rsidRPr="001B7F0F" w:rsidP="001B7F0F">
      <w:pPr>
        <w:pStyle w:val="Heading1"/>
      </w:pPr>
      <w:bookmarkStart w:id="5" w:name="O_811713"/>
      <w:bookmarkEnd w:id="5"/>
      <w:r w:rsidRPr="001B7F0F">
        <w:t>Foundation Skills</w:t>
      </w:r>
    </w:p>
    <w:p w:rsidR="00000000" w:rsidRPr="0041351E" w:rsidP="0041351E">
      <w:pPr>
        <w:pStyle w:val="BodyText"/>
        <w:rPr>
          <w:i/>
        </w:rPr>
      </w:pPr>
      <w:r w:rsidRPr="0041351E">
        <w:rPr>
          <w:rStyle w:val="Emphasis"/>
        </w:rPr>
        <w:t>This section describes language, literacy, numeracy</w:t>
      </w:r>
      <w:r w:rsidRPr="0041351E">
        <w:rPr>
          <w:rStyle w:val="Emphasis"/>
        </w:rPr>
        <w:t xml:space="preserve">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1B7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F0F" w:rsidP="001B7F0F">
            <w:pPr>
              <w:pStyle w:val="BodyText"/>
            </w:pPr>
            <w:r w:rsidRPr="001B7F0F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F0F" w:rsidP="001B7F0F">
            <w:pPr>
              <w:pStyle w:val="BodyText"/>
            </w:pPr>
            <w:r w:rsidRPr="001B7F0F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0F">
            <w:pPr>
              <w:pStyle w:val="BodyText"/>
              <w:rPr>
                <w:lang w:val="en-NZ"/>
              </w:rPr>
            </w:pPr>
            <w:r w:rsidRPr="001B7F0F">
              <w:rPr>
                <w:rStyle w:val="SpecialBold"/>
              </w:rPr>
              <w:t>Description</w:t>
            </w:r>
          </w:p>
        </w:tc>
      </w:tr>
      <w:tr w:rsidTr="001B7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0F">
            <w:pPr>
              <w:pStyle w:val="BodyText"/>
              <w:rPr>
                <w:lang w:val="en-NZ"/>
              </w:rPr>
            </w:pPr>
            <w:r w:rsidRPr="001B7F0F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0F">
            <w:pPr>
              <w:pStyle w:val="BodyText"/>
              <w:rPr>
                <w:lang w:val="en-NZ"/>
              </w:rPr>
            </w:pPr>
            <w:r w:rsidRPr="001B7F0F">
              <w:t>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0F">
            <w:pPr>
              <w:pStyle w:val="ListBullet"/>
              <w:rPr>
                <w:lang w:val="en-NZ"/>
              </w:rPr>
            </w:pPr>
            <w:r w:rsidRPr="001B7F0F">
              <w:t>Seeks the views of others to identify ways to improve own performance</w:t>
            </w:r>
          </w:p>
        </w:tc>
      </w:tr>
      <w:tr w:rsidTr="001B7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0F">
            <w:pPr>
              <w:pStyle w:val="BodyText"/>
              <w:rPr>
                <w:lang w:val="en-NZ"/>
              </w:rPr>
            </w:pPr>
            <w:r w:rsidRPr="001B7F0F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0F">
            <w:pPr>
              <w:pStyle w:val="BodyText"/>
              <w:rPr>
                <w:lang w:val="en-NZ"/>
              </w:rPr>
            </w:pPr>
            <w:r w:rsidRPr="001B7F0F">
              <w:t>1.1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0F">
            <w:pPr>
              <w:pStyle w:val="ListBullet"/>
              <w:rPr>
                <w:lang w:val="en-NZ"/>
              </w:rPr>
            </w:pPr>
            <w:r w:rsidRPr="001B7F0F">
              <w:t>Interprets production documentation in relation to own duties</w:t>
            </w:r>
          </w:p>
        </w:tc>
      </w:tr>
      <w:tr w:rsidTr="001B7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0F">
            <w:pPr>
              <w:pStyle w:val="BodyText"/>
              <w:rPr>
                <w:lang w:val="en-NZ"/>
              </w:rPr>
            </w:pPr>
            <w:r w:rsidRPr="001B7F0F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0F">
            <w:pPr>
              <w:pStyle w:val="BodyText"/>
              <w:rPr>
                <w:lang w:val="en-NZ"/>
              </w:rPr>
            </w:pPr>
            <w:r w:rsidRPr="001B7F0F">
              <w:t>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F0F" w:rsidP="001B7F0F">
            <w:pPr>
              <w:pStyle w:val="ListBullet"/>
            </w:pPr>
            <w:r w:rsidRPr="001B7F0F">
              <w:t>Completes workplace documentation</w:t>
            </w:r>
          </w:p>
          <w:p w:rsidR="00000000" w:rsidP="001B7F0F">
            <w:pPr>
              <w:pStyle w:val="ListBullet"/>
              <w:rPr>
                <w:lang w:val="en-NZ"/>
              </w:rPr>
            </w:pPr>
            <w:r w:rsidRPr="001B7F0F">
              <w:t>Documents outcomes of feedback about own work performance</w:t>
            </w:r>
          </w:p>
        </w:tc>
      </w:tr>
      <w:tr w:rsidTr="001B7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0F">
            <w:pPr>
              <w:pStyle w:val="BodyText"/>
              <w:rPr>
                <w:lang w:val="en-NZ"/>
              </w:rPr>
            </w:pPr>
            <w:r w:rsidRPr="001B7F0F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0F">
            <w:pPr>
              <w:pStyle w:val="BodyText"/>
              <w:rPr>
                <w:lang w:val="en-NZ"/>
              </w:rPr>
            </w:pPr>
            <w:r w:rsidRPr="001B7F0F">
              <w:t>1.1, 2.4, 3.2, 3.3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0F">
            <w:pPr>
              <w:pStyle w:val="ListBullet"/>
              <w:rPr>
                <w:lang w:val="en-NZ"/>
              </w:rPr>
            </w:pPr>
            <w:r w:rsidRPr="001B7F0F">
              <w:t>Obtains information by listening and questi</w:t>
            </w:r>
            <w:r w:rsidRPr="001B7F0F">
              <w:t>oning</w:t>
            </w:r>
          </w:p>
        </w:tc>
      </w:tr>
      <w:tr w:rsidTr="001B7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0F">
            <w:pPr>
              <w:pStyle w:val="BodyText"/>
              <w:rPr>
                <w:lang w:val="en-NZ"/>
              </w:rPr>
            </w:pPr>
            <w:r w:rsidRPr="001B7F0F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0F">
            <w:pPr>
              <w:pStyle w:val="BodyText"/>
              <w:rPr>
                <w:lang w:val="en-NZ"/>
              </w:rPr>
            </w:pPr>
            <w:r w:rsidRPr="001B7F0F">
              <w:t>1.1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0F">
            <w:pPr>
              <w:pStyle w:val="ListBullet"/>
              <w:rPr>
                <w:lang w:val="en-NZ"/>
              </w:rPr>
            </w:pPr>
            <w:r w:rsidRPr="001B7F0F">
              <w:t>Counts and sorts equipment</w:t>
            </w:r>
          </w:p>
        </w:tc>
      </w:tr>
      <w:tr w:rsidTr="001B7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0F">
            <w:pPr>
              <w:pStyle w:val="BodyText"/>
              <w:rPr>
                <w:lang w:val="en-NZ"/>
              </w:rPr>
            </w:pPr>
            <w:r w:rsidRPr="001B7F0F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0F">
            <w:pPr>
              <w:pStyle w:val="BodyText"/>
              <w:rPr>
                <w:lang w:val="en-NZ"/>
              </w:rPr>
            </w:pPr>
            <w:r w:rsidRPr="001B7F0F">
              <w:t>1.1, 1.2, 2.1, 2.2, 2.3, 2.5, 2.6, 3.1, 3.2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F0F" w:rsidP="001B7F0F">
            <w:pPr>
              <w:pStyle w:val="ListBullet"/>
            </w:pPr>
            <w:r w:rsidRPr="001B7F0F">
              <w:t xml:space="preserve">Understands and completes main tasks and responsibilities, within the boundaries of own role </w:t>
            </w:r>
          </w:p>
          <w:p w:rsidR="00000000" w:rsidP="001B7F0F">
            <w:pPr>
              <w:pStyle w:val="ListBullet"/>
              <w:rPr>
                <w:lang w:val="en-NZ"/>
              </w:rPr>
            </w:pPr>
            <w:r w:rsidRPr="001B7F0F">
              <w:t>Follows health and safety procedures</w:t>
            </w:r>
          </w:p>
        </w:tc>
      </w:tr>
      <w:tr w:rsidTr="001B7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0F">
            <w:pPr>
              <w:pStyle w:val="BodyText"/>
              <w:rPr>
                <w:lang w:val="en-NZ"/>
              </w:rPr>
            </w:pPr>
            <w:r w:rsidRPr="001B7F0F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0F">
            <w:pPr>
              <w:pStyle w:val="BodyText"/>
              <w:rPr>
                <w:lang w:val="en-NZ"/>
              </w:rPr>
            </w:pPr>
            <w:r w:rsidRPr="001B7F0F">
              <w:t>1.1, 2.4, 3.2, 3.3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0F">
            <w:pPr>
              <w:pStyle w:val="ListBullet"/>
              <w:rPr>
                <w:lang w:val="en-NZ"/>
              </w:rPr>
            </w:pPr>
            <w:r w:rsidRPr="001B7F0F">
              <w:t>Works collaboratively</w:t>
            </w:r>
          </w:p>
        </w:tc>
      </w:tr>
      <w:tr w:rsidTr="001B7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0F">
            <w:pPr>
              <w:pStyle w:val="BodyText"/>
              <w:rPr>
                <w:lang w:val="en-NZ"/>
              </w:rPr>
            </w:pPr>
            <w:r w:rsidRPr="001B7F0F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0F">
            <w:pPr>
              <w:pStyle w:val="BodyText"/>
              <w:rPr>
                <w:lang w:val="en-NZ"/>
              </w:rPr>
            </w:pPr>
            <w:r w:rsidRPr="001B7F0F">
              <w:t>1.1, 1.2, 1.3, 2.1, 2.2, 2.3, 2.4, 2.5, 2.6, 3.1, 3.2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F0F" w:rsidP="001B7F0F">
            <w:pPr>
              <w:pStyle w:val="ListBullet"/>
            </w:pPr>
            <w:r w:rsidRPr="001B7F0F">
              <w:t xml:space="preserve">Plans routine tasks, taking some limited responsibility for decisions regarding sequencing and timing </w:t>
            </w:r>
          </w:p>
          <w:p w:rsidR="00000000" w:rsidRPr="001B7F0F" w:rsidP="001B7F0F">
            <w:pPr>
              <w:pStyle w:val="ListBullet"/>
            </w:pPr>
            <w:r w:rsidRPr="001B7F0F">
              <w:t xml:space="preserve">Recognises and responds to predictable routine problems </w:t>
            </w:r>
          </w:p>
          <w:p w:rsidR="00000000" w:rsidRPr="001B7F0F" w:rsidP="001B7F0F">
            <w:pPr>
              <w:pStyle w:val="ListBullet"/>
            </w:pPr>
            <w:r w:rsidRPr="001B7F0F">
              <w:t>Seeks assistance when problems are beyond immediate responsibilities or experience</w:t>
            </w:r>
          </w:p>
        </w:tc>
      </w:tr>
    </w:tbl>
    <w:p w:rsidR="00000000" w:rsidRPr="001B7F0F" w:rsidP="001B7F0F">
      <w:pPr>
        <w:pStyle w:val="BodyText"/>
      </w:pPr>
    </w:p>
    <w:p w:rsidR="00000000" w:rsidRPr="001B7F0F" w:rsidP="001B7F0F">
      <w:pPr>
        <w:pStyle w:val="AllowPageBreak"/>
      </w:pPr>
    </w:p>
    <w:p w:rsidR="00000000" w:rsidRPr="001B7F0F" w:rsidP="001B7F0F">
      <w:pPr>
        <w:pStyle w:val="Heading1"/>
      </w:pPr>
      <w:bookmarkStart w:id="6" w:name="O_811712"/>
      <w:bookmarkEnd w:id="6"/>
      <w:r w:rsidRPr="001B7F0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1B7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F0F" w:rsidP="001B7F0F">
            <w:pPr>
              <w:pStyle w:val="BodyText"/>
            </w:pPr>
            <w:r w:rsidRPr="001B7F0F">
              <w:rPr>
                <w:rStyle w:val="SpecialBold"/>
              </w:rPr>
              <w:t xml:space="preserve">Code and title </w:t>
            </w:r>
          </w:p>
          <w:p w:rsidR="00000000" w:rsidRPr="001B7F0F" w:rsidP="001B7F0F">
            <w:pPr>
              <w:pStyle w:val="BodyText"/>
            </w:pPr>
            <w:r w:rsidRPr="001B7F0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F0F" w:rsidP="001B7F0F">
            <w:pPr>
              <w:pStyle w:val="BodyText"/>
            </w:pPr>
            <w:r w:rsidRPr="001B7F0F">
              <w:rPr>
                <w:rStyle w:val="SpecialBold"/>
              </w:rPr>
              <w:t>Code and title</w:t>
            </w:r>
          </w:p>
          <w:p w:rsidR="00000000" w:rsidRPr="001B7F0F" w:rsidP="001B7F0F">
            <w:pPr>
              <w:pStyle w:val="BodyText"/>
            </w:pPr>
            <w:r w:rsidRPr="001B7F0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F0F" w:rsidP="001B7F0F">
            <w:pPr>
              <w:pStyle w:val="BodyText"/>
            </w:pPr>
            <w:r w:rsidRPr="001B7F0F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0F">
            <w:pPr>
              <w:pStyle w:val="BodyText"/>
              <w:rPr>
                <w:lang w:val="en-NZ"/>
              </w:rPr>
            </w:pPr>
            <w:r w:rsidRPr="001B7F0F">
              <w:rPr>
                <w:rStyle w:val="SpecialBold"/>
              </w:rPr>
              <w:t>Equivalence status</w:t>
            </w:r>
          </w:p>
        </w:tc>
      </w:tr>
      <w:tr w:rsidTr="001B7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0F">
            <w:pPr>
              <w:pStyle w:val="BodyText"/>
              <w:rPr>
                <w:lang w:val="en-NZ"/>
              </w:rPr>
            </w:pPr>
            <w:r w:rsidRPr="001B7F0F">
              <w:t>CUASTA202 Assist with bump in and bump out of shows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0F">
            <w:pPr>
              <w:pStyle w:val="BodyText"/>
              <w:rPr>
                <w:lang w:val="en-NZ"/>
              </w:rPr>
            </w:pPr>
            <w:r w:rsidRPr="001B7F0F">
              <w:t>CUASTA202 Assist with bump in and bump out of shows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F0F">
            <w:pPr>
              <w:pStyle w:val="BodyText"/>
              <w:rPr>
                <w:lang w:val="en-NZ"/>
              </w:rPr>
            </w:pPr>
            <w:r w:rsidRPr="001B7F0F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F0F" w:rsidP="001B7F0F">
            <w:pPr>
              <w:pStyle w:val="BodyText"/>
            </w:pPr>
            <w:r w:rsidRPr="001B7F0F">
              <w:t>Equivalent unit</w:t>
            </w:r>
          </w:p>
        </w:tc>
      </w:tr>
    </w:tbl>
    <w:p w:rsidR="00000000" w:rsidRPr="001B7F0F" w:rsidP="001B7F0F">
      <w:pPr>
        <w:pStyle w:val="BodyText"/>
      </w:pPr>
    </w:p>
    <w:p w:rsidR="00000000" w:rsidRPr="001B7F0F" w:rsidP="001B7F0F">
      <w:pPr>
        <w:pStyle w:val="AllowPageBreak"/>
      </w:pPr>
    </w:p>
    <w:p w:rsidR="00000000" w:rsidRPr="001B7F0F" w:rsidP="001B7F0F">
      <w:pPr>
        <w:pStyle w:val="Heading1"/>
      </w:pPr>
      <w:bookmarkStart w:id="7" w:name="O_811718"/>
      <w:bookmarkEnd w:id="7"/>
      <w:r w:rsidRPr="001B7F0F">
        <w:t>Links</w:t>
      </w:r>
    </w:p>
    <w:p w:rsidR="00000000" w:rsidRPr="001B7F0F" w:rsidP="0041351E">
      <w:pPr>
        <w:pStyle w:val="BodyText"/>
      </w:pPr>
      <w:r w:rsidRPr="001B7F0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C0F6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B7F0F" w:rsidP="001B7F0F"/>
    <w:sectPr w:rsidSect="001B7F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F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F0F" w:rsidRPr="0041351E" w:rsidP="004135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F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51E" w:rsidP="001B7F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351E" w:rsidP="001B7F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351E" w:rsidP="001B7F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F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5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7F0F" w:rsidRPr="0041351E" w:rsidP="004135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F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51E" w:rsidRPr="002D2AF8" w:rsidP="001B7F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CUASTA202 Assist with bump in and bump out of shows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41351E" w:rsidP="001B7F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AE50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5A98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F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7F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7F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7F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7F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7F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7F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7F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7F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7F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7F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7F0F"/>
  </w:style>
  <w:style w:type="character" w:customStyle="1" w:styleId="Heading1Char">
    <w:name w:val="Heading 1 Char"/>
    <w:basedOn w:val="DefaultParagraphFont"/>
    <w:link w:val="Heading1"/>
    <w:rsid w:val="001B7F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7F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7F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7F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7F0F"/>
    <w:rPr>
      <w:b/>
      <w:spacing w:val="0"/>
    </w:rPr>
  </w:style>
  <w:style w:type="character" w:styleId="Emphasis">
    <w:name w:val="Emphasis"/>
    <w:basedOn w:val="DefaultParagraphFont"/>
    <w:qFormat/>
    <w:rsid w:val="001B7F0F"/>
    <w:rPr>
      <w:i/>
    </w:rPr>
  </w:style>
  <w:style w:type="paragraph" w:customStyle="1" w:styleId="SuperHeading">
    <w:name w:val="SuperHeading"/>
    <w:basedOn w:val="Normal"/>
    <w:rsid w:val="001B7F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7F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7F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7F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7F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7F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7F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7F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7F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7F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7F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7F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7F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7F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7F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7F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7F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7F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7F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7F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7F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7F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7F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7F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7F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7F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7F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7F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7F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7F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7F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7F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7F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7F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7F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7F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7F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7F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7F0F"/>
  </w:style>
  <w:style w:type="paragraph" w:styleId="TableofFigures">
    <w:name w:val="table of figures"/>
    <w:basedOn w:val="Normal"/>
    <w:next w:val="Normal"/>
    <w:semiHidden/>
    <w:rsid w:val="001B7F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7F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7F0F"/>
    <w:rPr>
      <w:rFonts w:ascii="Wingdings" w:hAnsi="Wingdings"/>
    </w:rPr>
  </w:style>
  <w:style w:type="paragraph" w:customStyle="1" w:styleId="TableHeading">
    <w:name w:val="Table Heading"/>
    <w:basedOn w:val="HeadingBase"/>
    <w:rsid w:val="001B7F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7F0F"/>
    <w:rPr>
      <w:color w:val="0033CC"/>
      <w:u w:val="none"/>
    </w:rPr>
  </w:style>
  <w:style w:type="paragraph" w:customStyle="1" w:styleId="BodyTextRight">
    <w:name w:val="Body Text Right"/>
    <w:basedOn w:val="BodyText"/>
    <w:rsid w:val="001B7F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7F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7F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7F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7F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7F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7F0F"/>
    <w:rPr>
      <w:sz w:val="32"/>
    </w:rPr>
  </w:style>
  <w:style w:type="paragraph" w:customStyle="1" w:styleId="HeadingProcedure">
    <w:name w:val="Heading Procedure"/>
    <w:basedOn w:val="HeadingBase"/>
    <w:next w:val="Normal"/>
    <w:rsid w:val="001B7F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7F0F"/>
    <w:pPr>
      <w:spacing w:before="60" w:after="60"/>
    </w:pPr>
  </w:style>
  <w:style w:type="paragraph" w:styleId="ListContinue">
    <w:name w:val="List Continue"/>
    <w:basedOn w:val="List"/>
    <w:rsid w:val="001B7F0F"/>
    <w:pPr>
      <w:ind w:firstLine="0"/>
    </w:pPr>
  </w:style>
  <w:style w:type="paragraph" w:customStyle="1" w:styleId="ListNote">
    <w:name w:val="List Note"/>
    <w:basedOn w:val="List"/>
    <w:rsid w:val="001B7F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7F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7F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7F0F"/>
    <w:rPr>
      <w:rFonts w:ascii="Courier New" w:hAnsi="Courier New"/>
    </w:rPr>
  </w:style>
  <w:style w:type="paragraph" w:customStyle="1" w:styleId="NoteBullet">
    <w:name w:val="Note Bullet"/>
    <w:basedOn w:val="Note"/>
    <w:rsid w:val="001B7F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7F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7F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7F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7F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7F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7F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7F0F"/>
    <w:rPr>
      <w:b/>
      <w:smallCaps/>
    </w:rPr>
  </w:style>
  <w:style w:type="paragraph" w:customStyle="1" w:styleId="TableListNumber">
    <w:name w:val="Table List Number"/>
    <w:basedOn w:val="ListNumber"/>
    <w:rsid w:val="001B7F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7F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7F0F"/>
    <w:pPr>
      <w:numPr>
        <w:numId w:val="8"/>
      </w:numPr>
    </w:pPr>
  </w:style>
  <w:style w:type="paragraph" w:customStyle="1" w:styleId="ListAlpha2">
    <w:name w:val="List Alpha 2"/>
    <w:basedOn w:val="List2"/>
    <w:rsid w:val="001B7F0F"/>
    <w:pPr>
      <w:numPr>
        <w:numId w:val="7"/>
      </w:numPr>
    </w:pPr>
  </w:style>
  <w:style w:type="paragraph" w:styleId="List2">
    <w:name w:val="List 2"/>
    <w:basedOn w:val="BodyText"/>
    <w:rsid w:val="001B7F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7F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7F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7F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7F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7F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7F0F"/>
    <w:pPr>
      <w:numPr>
        <w:numId w:val="3"/>
      </w:numPr>
    </w:pPr>
  </w:style>
  <w:style w:type="paragraph" w:styleId="ListContinue2">
    <w:name w:val="List Continue 2"/>
    <w:basedOn w:val="List2"/>
    <w:rsid w:val="001B7F0F"/>
    <w:pPr>
      <w:ind w:firstLine="0"/>
    </w:pPr>
  </w:style>
  <w:style w:type="paragraph" w:styleId="ListContinue3">
    <w:name w:val="List Continue 3"/>
    <w:basedOn w:val="List3"/>
    <w:rsid w:val="001B7F0F"/>
    <w:pPr>
      <w:ind w:left="1021" w:firstLine="0"/>
    </w:pPr>
  </w:style>
  <w:style w:type="paragraph" w:styleId="ListContinue4">
    <w:name w:val="List Continue 4"/>
    <w:basedOn w:val="List4"/>
    <w:rsid w:val="001B7F0F"/>
    <w:pPr>
      <w:ind w:firstLine="0"/>
    </w:pPr>
  </w:style>
  <w:style w:type="paragraph" w:styleId="ListContinue5">
    <w:name w:val="List Continue 5"/>
    <w:basedOn w:val="List5"/>
    <w:rsid w:val="001B7F0F"/>
    <w:pPr>
      <w:ind w:firstLine="0"/>
    </w:pPr>
  </w:style>
  <w:style w:type="paragraph" w:styleId="ListNumber3">
    <w:name w:val="List Number 3"/>
    <w:basedOn w:val="List3"/>
    <w:rsid w:val="001B7F0F"/>
    <w:pPr>
      <w:numPr>
        <w:numId w:val="4"/>
      </w:numPr>
    </w:pPr>
  </w:style>
  <w:style w:type="paragraph" w:styleId="ListNumber4">
    <w:name w:val="List Number 4"/>
    <w:basedOn w:val="List4"/>
    <w:rsid w:val="001B7F0F"/>
    <w:pPr>
      <w:numPr>
        <w:numId w:val="5"/>
      </w:numPr>
    </w:pPr>
  </w:style>
  <w:style w:type="paragraph" w:styleId="ListNumber5">
    <w:name w:val="List Number 5"/>
    <w:basedOn w:val="List5"/>
    <w:rsid w:val="001B7F0F"/>
    <w:pPr>
      <w:numPr>
        <w:numId w:val="6"/>
      </w:numPr>
    </w:pPr>
  </w:style>
  <w:style w:type="paragraph" w:styleId="BlockText">
    <w:name w:val="Block Text"/>
    <w:basedOn w:val="Normal"/>
    <w:rsid w:val="001B7F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7F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7F0F"/>
    <w:rPr>
      <w:sz w:val="16"/>
      <w:vertAlign w:val="superscript"/>
    </w:rPr>
  </w:style>
  <w:style w:type="character" w:customStyle="1" w:styleId="Symbols">
    <w:name w:val="Symbols"/>
    <w:basedOn w:val="DefaultParagraphFont"/>
    <w:rsid w:val="001B7F0F"/>
    <w:rPr>
      <w:rFonts w:ascii="Symbol" w:hAnsi="Symbol"/>
    </w:rPr>
  </w:style>
  <w:style w:type="character" w:customStyle="1" w:styleId="MenuOptions">
    <w:name w:val="Menu Options"/>
    <w:basedOn w:val="DefaultParagraphFont"/>
    <w:rsid w:val="001B7F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7F0F"/>
    <w:rPr>
      <w:b/>
    </w:rPr>
  </w:style>
  <w:style w:type="character" w:customStyle="1" w:styleId="Underlined">
    <w:name w:val="Underlined"/>
    <w:basedOn w:val="DefaultParagraphFont"/>
    <w:rsid w:val="001B7F0F"/>
    <w:rPr>
      <w:u w:val="single"/>
    </w:rPr>
  </w:style>
  <w:style w:type="paragraph" w:customStyle="1" w:styleId="TableBodyTextRight">
    <w:name w:val="Table Body Text Right"/>
    <w:basedOn w:val="TableBodyText"/>
    <w:rsid w:val="001B7F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7F0F"/>
    <w:rPr>
      <w:sz w:val="18"/>
    </w:rPr>
  </w:style>
  <w:style w:type="paragraph" w:customStyle="1" w:styleId="BodySmallRight">
    <w:name w:val="Body Small Right"/>
    <w:basedOn w:val="BodyTextRight"/>
    <w:rsid w:val="001B7F0F"/>
    <w:rPr>
      <w:sz w:val="18"/>
      <w:szCs w:val="18"/>
    </w:rPr>
  </w:style>
  <w:style w:type="paragraph" w:customStyle="1" w:styleId="MarginEdition">
    <w:name w:val="Margin Edition"/>
    <w:basedOn w:val="MarginNote"/>
    <w:rsid w:val="001B7F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7F0F"/>
    <w:rPr>
      <w:sz w:val="2"/>
      <w:szCs w:val="2"/>
    </w:rPr>
  </w:style>
  <w:style w:type="character" w:customStyle="1" w:styleId="Small">
    <w:name w:val="Small"/>
    <w:basedOn w:val="DefaultParagraphFont"/>
    <w:rsid w:val="001B7F0F"/>
    <w:rPr>
      <w:sz w:val="16"/>
    </w:rPr>
  </w:style>
  <w:style w:type="paragraph" w:customStyle="1" w:styleId="WideTable">
    <w:name w:val="Wide Table"/>
    <w:basedOn w:val="Normal"/>
    <w:rsid w:val="001B7F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7F0F"/>
  </w:style>
  <w:style w:type="paragraph" w:styleId="Quote">
    <w:name w:val="Quote"/>
    <w:basedOn w:val="Heading1"/>
    <w:link w:val="QuoteChar"/>
    <w:qFormat/>
    <w:rsid w:val="001B7F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7F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7F0F"/>
    <w:pPr>
      <w:pageBreakBefore/>
    </w:pPr>
  </w:style>
  <w:style w:type="paragraph" w:customStyle="1" w:styleId="Border">
    <w:name w:val="Border"/>
    <w:basedOn w:val="Normal"/>
    <w:qFormat/>
    <w:rsid w:val="001B7F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7F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7F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7F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7F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7F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7F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7F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7F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7F0F"/>
    <w:rPr>
      <w:u w:val="single"/>
    </w:rPr>
  </w:style>
  <w:style w:type="character" w:customStyle="1" w:styleId="BoldandItalics">
    <w:name w:val="Bold and Italics"/>
    <w:qFormat/>
    <w:rsid w:val="001B7F0F"/>
    <w:rPr>
      <w:b/>
      <w:i/>
      <w:u w:val="none"/>
    </w:rPr>
  </w:style>
  <w:style w:type="paragraph" w:styleId="BalloonText">
    <w:name w:val="Balloon Text"/>
    <w:basedOn w:val="Normal"/>
    <w:link w:val="BalloonTextChar"/>
    <w:rsid w:val="001B7F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7F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7F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7F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7F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7F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7F0F"/>
    <w:pPr>
      <w:spacing w:before="0" w:after="0"/>
    </w:pPr>
  </w:style>
  <w:style w:type="paragraph" w:customStyle="1" w:styleId="BodyTextBold">
    <w:name w:val="Body Text Bold"/>
    <w:basedOn w:val="BodyText"/>
    <w:qFormat/>
    <w:rsid w:val="001B7F0F"/>
    <w:rPr>
      <w:b/>
    </w:rPr>
  </w:style>
  <w:style w:type="character" w:styleId="Hyperlink">
    <w:name w:val="Hyperlink"/>
    <w:basedOn w:val="DefaultParagraphFont"/>
    <w:uiPriority w:val="99"/>
    <w:unhideWhenUsed/>
    <w:rsid w:val="004135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628</Words>
  <Characters>3776</Characters>
  <Application>Microsoft Office Word</Application>
  <DocSecurity>0</DocSecurity>
  <Lines>164</Lines>
  <Paragraphs>100</Paragraphs>
  <ScaleCrop>false</ScaleCrop>
  <Company>Author-it Software Corporation Ltd.</Company>
  <LinksUpToDate>false</LinksUpToDate>
  <CharactersWithSpaces>4304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CUASTA202 Assist with bump in and bump out of shows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2019-02-21T13:29:00Z</dcterms:created>
  <dcterms:modified xsi:type="dcterms:W3CDTF">2019-02-21T13:29:00Z</dcterms:modified>
</cp:coreProperties>
</file>