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434B" w:rsidP="00AF43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CUASOU308 Install and disassemble audio equipment</w:t>
      </w:r>
      <w:r>
        <w:fldChar w:fldCharType="end"/>
      </w:r>
    </w:p>
    <w:p w:rsidR="00AF434B" w:rsidP="00AF434B">
      <w:pPr>
        <w:pStyle w:val="Version"/>
        <w:sectPr w:rsidSect="00CE1C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E1CB4" w:rsidP="00CE1CB4">
      <w:pPr>
        <w:pStyle w:val="SuperHeading"/>
      </w:pPr>
      <w:r w:rsidRPr="00CE1CB4">
        <w:t>Assessment Requirements for CUASOU308 Install and disassemble audio equipment</w:t>
      </w:r>
    </w:p>
    <w:p w:rsidR="00000000" w:rsidRPr="00CE1CB4" w:rsidP="00CE1CB4">
      <w:pPr>
        <w:pStyle w:val="Heading1"/>
      </w:pPr>
      <w:bookmarkStart w:id="1" w:name="O_964452"/>
      <w:bookmarkEnd w:id="1"/>
      <w:r w:rsidRPr="00CE1CB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E1C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CB4" w:rsidP="00CE1CB4">
            <w:pPr>
              <w:pStyle w:val="BodyText"/>
            </w:pPr>
            <w:r w:rsidRPr="00CE1CB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CB4">
            <w:pPr>
              <w:pStyle w:val="BodyText"/>
              <w:rPr>
                <w:lang w:val="en-NZ"/>
              </w:rPr>
            </w:pPr>
            <w:r w:rsidRPr="00CE1CB4">
              <w:rPr>
                <w:rStyle w:val="SpecialBold"/>
              </w:rPr>
              <w:t>Comments</w:t>
            </w:r>
          </w:p>
        </w:tc>
      </w:tr>
      <w:tr w:rsidTr="00CE1C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CB4">
            <w:pPr>
              <w:pStyle w:val="BodyText"/>
              <w:rPr>
                <w:lang w:val="en-NZ"/>
              </w:rPr>
            </w:pPr>
            <w:r w:rsidRPr="00CE1CB4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CB4" w:rsidP="00CE1CB4">
            <w:pPr>
              <w:pStyle w:val="BodyText"/>
            </w:pPr>
            <w:r w:rsidRPr="00CE1CB4">
              <w:t>This version first released with CUA Creative Arts and Culture Training Package version 3.0.</w:t>
            </w:r>
          </w:p>
          <w:p w:rsidR="00000000" w:rsidP="00CE1CB4">
            <w:pPr>
              <w:pStyle w:val="BodyText"/>
              <w:rPr>
                <w:lang w:val="en-NZ"/>
              </w:rPr>
            </w:pPr>
            <w:r w:rsidRPr="00CE1CB4">
              <w:t>Updates to Knowledge Evidence</w:t>
            </w:r>
          </w:p>
        </w:tc>
      </w:tr>
      <w:tr w:rsidTr="00CE1C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CB4">
            <w:pPr>
              <w:pStyle w:val="BodyText"/>
              <w:rPr>
                <w:lang w:val="en-NZ"/>
              </w:rPr>
            </w:pPr>
            <w:r w:rsidRPr="00CE1CB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CB4" w:rsidP="00CE1CB4">
            <w:pPr>
              <w:pStyle w:val="BodyText"/>
            </w:pPr>
            <w:r w:rsidRPr="00CE1CB4">
              <w:t>This version first released with CUA Creative Arts and Culture Training Package version 2.0.</w:t>
            </w:r>
          </w:p>
        </w:tc>
      </w:tr>
    </w:tbl>
    <w:p w:rsidR="00000000" w:rsidRPr="00CE1CB4" w:rsidP="00CE1CB4">
      <w:pPr>
        <w:pStyle w:val="BodyText"/>
      </w:pPr>
    </w:p>
    <w:p w:rsidR="00000000" w:rsidRPr="00CE1CB4" w:rsidP="00CE1CB4">
      <w:pPr>
        <w:pStyle w:val="AllowPageBreak"/>
      </w:pPr>
    </w:p>
    <w:p w:rsidR="00000000" w:rsidRPr="00CE1CB4" w:rsidP="00CE1CB4">
      <w:pPr>
        <w:pStyle w:val="Heading1"/>
      </w:pPr>
      <w:bookmarkStart w:id="2" w:name="O_964451"/>
      <w:bookmarkEnd w:id="2"/>
      <w:r w:rsidRPr="00CE1CB4">
        <w:t>Performance Evidence</w:t>
      </w:r>
    </w:p>
    <w:p w:rsidR="00000000" w:rsidRPr="00CE1CB4" w:rsidP="00AF434B">
      <w:pPr>
        <w:pStyle w:val="BodyText"/>
      </w:pPr>
      <w:r w:rsidRPr="00CE1CB4">
        <w:t>Evidence of the ability to:</w:t>
      </w:r>
    </w:p>
    <w:p w:rsidR="00000000" w:rsidRPr="00CE1CB4" w:rsidP="00CE1CB4">
      <w:pPr>
        <w:pStyle w:val="ListBullet"/>
      </w:pPr>
      <w:r w:rsidRPr="00CE1CB4">
        <w:t>interpret production documentation and requirements i</w:t>
      </w:r>
      <w:r w:rsidRPr="00CE1CB4">
        <w:t>n collaboration with others</w:t>
      </w:r>
    </w:p>
    <w:p w:rsidR="00000000" w:rsidRPr="00CE1CB4" w:rsidP="00CE1CB4">
      <w:pPr>
        <w:pStyle w:val="ListBullet"/>
      </w:pPr>
      <w:r w:rsidRPr="00CE1CB4">
        <w:t>safely install and disassemble audio equipment for at least three productions</w:t>
      </w:r>
    </w:p>
    <w:p w:rsidR="00000000" w:rsidRPr="00CE1CB4" w:rsidP="00CE1CB4">
      <w:pPr>
        <w:pStyle w:val="ListBullet"/>
      </w:pPr>
      <w:r w:rsidRPr="00CE1CB4">
        <w:t>test audio equipment and accessories in line with production requirements</w:t>
      </w:r>
    </w:p>
    <w:p w:rsidR="00000000" w:rsidRPr="00CE1CB4" w:rsidP="00CE1CB4">
      <w:pPr>
        <w:pStyle w:val="BodyText"/>
      </w:pPr>
    </w:p>
    <w:p w:rsidR="00000000" w:rsidRPr="00CE1CB4" w:rsidP="00AF434B">
      <w:pPr>
        <w:pStyle w:val="BodyText"/>
      </w:pPr>
      <w:r w:rsidRPr="00CE1CB4">
        <w:t>Note: If a specific volume or frequency is not stated, then evidence must be provided at least once.</w:t>
      </w:r>
    </w:p>
    <w:p w:rsidR="00000000" w:rsidRPr="00CE1CB4" w:rsidP="00CE1CB4">
      <w:pPr>
        <w:pStyle w:val="Heading1"/>
      </w:pPr>
      <w:bookmarkStart w:id="3" w:name="O_964450"/>
      <w:bookmarkEnd w:id="3"/>
      <w:r w:rsidRPr="00CE1CB4">
        <w:t>Knowledge Evidence</w:t>
      </w:r>
    </w:p>
    <w:p w:rsidR="00000000" w:rsidRPr="00CE1CB4" w:rsidP="00AF434B">
      <w:pPr>
        <w:pStyle w:val="BodyText"/>
      </w:pPr>
      <w:r w:rsidRPr="00CE1CB4">
        <w:t>The candidate must be able to demonstrate the following knowledge to effectively complete the tasks outlined in the ele</w:t>
      </w:r>
      <w:r w:rsidRPr="00CE1CB4">
        <w:t>ments and performance criteria of this unit, and to manage tasks and reasonably foreseeable contingencies in the context of the work role.</w:t>
      </w:r>
    </w:p>
    <w:p w:rsidR="00000000" w:rsidRPr="00CE1CB4" w:rsidP="00CE1CB4">
      <w:pPr>
        <w:pStyle w:val="ListBullet"/>
      </w:pPr>
      <w:r w:rsidRPr="00CE1CB4">
        <w:t>Basic audio principles and practice, including:</w:t>
      </w:r>
    </w:p>
    <w:p w:rsidR="00000000" w:rsidRPr="00CE1CB4" w:rsidP="00CE1CB4">
      <w:pPr>
        <w:pStyle w:val="ListBullet2"/>
      </w:pPr>
      <w:r w:rsidRPr="00CE1CB4">
        <w:t>range of microphones and contexts in which they are used</w:t>
      </w:r>
    </w:p>
    <w:p w:rsidR="00000000" w:rsidRPr="00CE1CB4" w:rsidP="00CE1CB4">
      <w:pPr>
        <w:pStyle w:val="ListBullet2"/>
      </w:pPr>
      <w:r w:rsidRPr="00CE1CB4">
        <w:t>microphone</w:t>
      </w:r>
      <w:r w:rsidRPr="00CE1CB4">
        <w:t xml:space="preserve"> characteristics, e.g. frequency response, sensitivity and polar patterns</w:t>
      </w:r>
    </w:p>
    <w:p w:rsidR="00000000" w:rsidRPr="00CE1CB4" w:rsidP="00CE1CB4">
      <w:pPr>
        <w:pStyle w:val="ListBullet2"/>
      </w:pPr>
      <w:r w:rsidRPr="00CE1CB4">
        <w:t>effect of microphone placement on quality of sound</w:t>
      </w:r>
    </w:p>
    <w:p w:rsidR="00000000" w:rsidRPr="00CE1CB4" w:rsidP="00CE1CB4">
      <w:pPr>
        <w:pStyle w:val="ListBullet2"/>
      </w:pPr>
      <w:r w:rsidRPr="00CE1CB4">
        <w:t>characteristics of sound in a range of environments</w:t>
      </w:r>
    </w:p>
    <w:p w:rsidR="00000000" w:rsidRPr="00CE1CB4" w:rsidP="00CE1CB4">
      <w:pPr>
        <w:pStyle w:val="ListBullet2"/>
      </w:pPr>
      <w:r w:rsidRPr="00CE1CB4">
        <w:t>signal-to-noise ratio, signal phase and audio level/headroom control</w:t>
      </w:r>
    </w:p>
    <w:p w:rsidR="00000000" w:rsidRPr="00CE1CB4" w:rsidP="00CE1CB4">
      <w:pPr>
        <w:pStyle w:val="ListBullet2"/>
      </w:pPr>
      <w:r w:rsidRPr="00CE1CB4">
        <w:t>audible de</w:t>
      </w:r>
      <w:r w:rsidRPr="00CE1CB4">
        <w:t>fects in analogue and digital technologies</w:t>
      </w:r>
    </w:p>
    <w:p w:rsidR="00000000" w:rsidRPr="00CE1CB4" w:rsidP="00CE1CB4">
      <w:pPr>
        <w:pStyle w:val="ListBullet2"/>
      </w:pPr>
      <w:r w:rsidRPr="00CE1CB4">
        <w:t>features of mixers, amplifiers, speakers and effects racks</w:t>
      </w:r>
    </w:p>
    <w:p w:rsidR="00000000" w:rsidRPr="00CE1CB4" w:rsidP="00CE1CB4">
      <w:pPr>
        <w:pStyle w:val="ListBullet"/>
      </w:pPr>
      <w:r w:rsidRPr="00CE1CB4">
        <w:t>Basic principles of acoustics, including:</w:t>
      </w:r>
    </w:p>
    <w:p w:rsidR="00000000" w:rsidRPr="00CE1CB4" w:rsidP="00CE1CB4">
      <w:pPr>
        <w:pStyle w:val="ListBullet2"/>
      </w:pPr>
      <w:r w:rsidRPr="00CE1CB4">
        <w:t>frequency</w:t>
      </w:r>
    </w:p>
    <w:p w:rsidR="00000000" w:rsidRPr="00CE1CB4" w:rsidP="00CE1CB4">
      <w:pPr>
        <w:pStyle w:val="ListBullet2"/>
      </w:pPr>
      <w:r w:rsidRPr="00CE1CB4">
        <w:t>pitch</w:t>
      </w:r>
    </w:p>
    <w:p w:rsidR="00000000" w:rsidRPr="00CE1CB4" w:rsidP="00CE1CB4">
      <w:pPr>
        <w:pStyle w:val="ListBullet2"/>
      </w:pPr>
      <w:r w:rsidRPr="00CE1CB4">
        <w:t>amplitude</w:t>
      </w:r>
    </w:p>
    <w:p w:rsidR="00000000" w:rsidRPr="00CE1CB4" w:rsidP="00CE1CB4">
      <w:pPr>
        <w:pStyle w:val="ListBullet2"/>
      </w:pPr>
      <w:r w:rsidRPr="00CE1CB4">
        <w:t>loudness</w:t>
      </w:r>
    </w:p>
    <w:p w:rsidR="00000000" w:rsidRPr="00CE1CB4" w:rsidP="00CE1CB4">
      <w:pPr>
        <w:pStyle w:val="ListBullet2"/>
      </w:pPr>
      <w:r w:rsidRPr="00CE1CB4">
        <w:t>velocity</w:t>
      </w:r>
    </w:p>
    <w:p w:rsidR="00000000" w:rsidRPr="00CE1CB4" w:rsidP="00CE1CB4">
      <w:pPr>
        <w:pStyle w:val="ListBullet2"/>
      </w:pPr>
      <w:r w:rsidRPr="00CE1CB4">
        <w:t>wavelength</w:t>
      </w:r>
    </w:p>
    <w:p w:rsidR="00000000" w:rsidRPr="00CE1CB4" w:rsidP="00CE1CB4">
      <w:pPr>
        <w:pStyle w:val="ListBullet2"/>
      </w:pPr>
      <w:r w:rsidRPr="00CE1CB4">
        <w:t>acoustical phase</w:t>
      </w:r>
    </w:p>
    <w:p w:rsidR="00000000" w:rsidRPr="00CE1CB4" w:rsidP="00CE1CB4">
      <w:pPr>
        <w:pStyle w:val="ListBullet2"/>
      </w:pPr>
      <w:r w:rsidRPr="00CE1CB4">
        <w:t>timbre</w:t>
      </w:r>
    </w:p>
    <w:p w:rsidR="00000000" w:rsidRPr="00CE1CB4" w:rsidP="00CE1CB4">
      <w:pPr>
        <w:pStyle w:val="ListBullet2"/>
      </w:pPr>
      <w:r w:rsidRPr="00CE1CB4">
        <w:t>sound envelope</w:t>
      </w:r>
    </w:p>
    <w:p w:rsidR="00000000" w:rsidRPr="00CE1CB4" w:rsidP="00CE1CB4">
      <w:pPr>
        <w:pStyle w:val="ListBullet"/>
      </w:pPr>
      <w:r w:rsidRPr="00CE1CB4">
        <w:t>Basic understanding of psychoacoustic principles, including:</w:t>
      </w:r>
    </w:p>
    <w:p w:rsidR="00000000" w:rsidRPr="00CE1CB4" w:rsidP="00CE1CB4">
      <w:pPr>
        <w:pStyle w:val="ListBullet2"/>
      </w:pPr>
      <w:r w:rsidRPr="00CE1CB4">
        <w:t>spatial hearing</w:t>
      </w:r>
    </w:p>
    <w:p w:rsidR="00000000" w:rsidRPr="00CE1CB4" w:rsidP="00CE1CB4">
      <w:pPr>
        <w:pStyle w:val="ListBullet2"/>
      </w:pPr>
      <w:r w:rsidRPr="00CE1CB4">
        <w:t>direct sound</w:t>
      </w:r>
    </w:p>
    <w:p w:rsidR="00000000" w:rsidRPr="00CE1CB4" w:rsidP="00CE1CB4">
      <w:pPr>
        <w:pStyle w:val="ListBullet2"/>
      </w:pPr>
      <w:r w:rsidRPr="00CE1CB4">
        <w:t>early sound</w:t>
      </w:r>
    </w:p>
    <w:p w:rsidR="00000000" w:rsidRPr="00CE1CB4" w:rsidP="00CE1CB4">
      <w:pPr>
        <w:pStyle w:val="ListBullet2"/>
      </w:pPr>
      <w:r w:rsidRPr="00CE1CB4">
        <w:t>reverberant sound</w:t>
      </w:r>
    </w:p>
    <w:p w:rsidR="00000000" w:rsidRPr="00CE1CB4" w:rsidP="00CE1CB4">
      <w:pPr>
        <w:pStyle w:val="ListBullet2"/>
      </w:pPr>
      <w:r w:rsidRPr="00CE1CB4">
        <w:t>room design</w:t>
      </w:r>
    </w:p>
    <w:p w:rsidR="00000000" w:rsidRPr="00CE1CB4" w:rsidP="00CE1CB4">
      <w:pPr>
        <w:pStyle w:val="ListBullet"/>
      </w:pPr>
      <w:r w:rsidRPr="00CE1CB4">
        <w:t>Techniques for installing, aligning and testing audio equipment, including:</w:t>
      </w:r>
    </w:p>
    <w:p w:rsidR="00000000" w:rsidRPr="00CE1CB4" w:rsidP="00CE1CB4">
      <w:pPr>
        <w:pStyle w:val="ListBullet2"/>
      </w:pPr>
      <w:r w:rsidRPr="00CE1CB4">
        <w:t>understanding electrical power (e.g. voltage, distribution, phasing, load and circuit breaking)</w:t>
      </w:r>
    </w:p>
    <w:p w:rsidR="00000000" w:rsidRPr="00CE1CB4" w:rsidP="00CE1CB4">
      <w:pPr>
        <w:pStyle w:val="ListBullet2"/>
      </w:pPr>
      <w:r w:rsidRPr="00CE1CB4">
        <w:t>knowledge of a range of sound equipment and associated operating principles (e.g. level, impedance, phase and frequency)</w:t>
      </w:r>
    </w:p>
    <w:p w:rsidR="00000000" w:rsidRPr="00CE1CB4" w:rsidP="00CE1CB4">
      <w:pPr>
        <w:pStyle w:val="ListBullet2"/>
      </w:pPr>
      <w:r w:rsidRPr="00CE1CB4">
        <w:t>testing and tagging all electrical fitt</w:t>
      </w:r>
      <w:r w:rsidRPr="00CE1CB4">
        <w:t>ings in accordance with safety regulations</w:t>
      </w:r>
    </w:p>
    <w:p w:rsidR="00000000" w:rsidRPr="00CE1CB4" w:rsidP="00CE1CB4">
      <w:pPr>
        <w:pStyle w:val="ListBullet"/>
      </w:pPr>
      <w:r w:rsidRPr="00CE1CB4">
        <w:t>Issues and challenges that typically arise in the context of setting up and disassembling audio equipment</w:t>
      </w:r>
    </w:p>
    <w:p w:rsidR="00000000" w:rsidRPr="00CE1CB4" w:rsidP="00CE1CB4">
      <w:pPr>
        <w:pStyle w:val="ListBullet"/>
      </w:pPr>
      <w:r w:rsidRPr="00CE1CB4">
        <w:t>OHS requirements, including:</w:t>
      </w:r>
    </w:p>
    <w:p w:rsidR="00000000" w:rsidRPr="00CE1CB4" w:rsidP="00CE1CB4">
      <w:pPr>
        <w:pStyle w:val="ListBullet2"/>
      </w:pPr>
      <w:r w:rsidRPr="00CE1CB4">
        <w:t>licensing requirements for persons performing high risk work and entering bu</w:t>
      </w:r>
      <w:r w:rsidRPr="00CE1CB4">
        <w:t>ilding sites</w:t>
      </w:r>
    </w:p>
    <w:p w:rsidR="00000000" w:rsidRPr="00CE1CB4" w:rsidP="00CE1CB4">
      <w:pPr>
        <w:pStyle w:val="ListBullet2"/>
      </w:pPr>
      <w:r w:rsidRPr="00CE1CB4">
        <w:t>safe manual-handling techniques</w:t>
      </w:r>
    </w:p>
    <w:p w:rsidR="00000000" w:rsidRPr="00CE1CB4" w:rsidP="00CE1CB4">
      <w:pPr>
        <w:pStyle w:val="ListBullet2"/>
      </w:pPr>
      <w:r w:rsidRPr="00CE1CB4">
        <w:t>working safely with electricity and hazardous substances</w:t>
      </w:r>
    </w:p>
    <w:p w:rsidR="00000000" w:rsidRPr="00CE1CB4" w:rsidP="00CE1CB4">
      <w:pPr>
        <w:pStyle w:val="ListBullet2"/>
      </w:pPr>
      <w:r w:rsidRPr="00CE1CB4">
        <w:t>principles of safe listening, such as safeguards against hearing loss</w:t>
      </w:r>
    </w:p>
    <w:p w:rsidR="00000000" w:rsidRPr="00CE1CB4" w:rsidP="00CE1CB4">
      <w:pPr>
        <w:pStyle w:val="AllowPageBreak"/>
      </w:pPr>
    </w:p>
    <w:p w:rsidR="00000000" w:rsidRPr="00CE1CB4" w:rsidP="00CE1CB4">
      <w:pPr>
        <w:pStyle w:val="Heading1"/>
      </w:pPr>
      <w:bookmarkStart w:id="4" w:name="O_964449"/>
      <w:bookmarkEnd w:id="4"/>
      <w:r w:rsidRPr="00CE1CB4">
        <w:t>Assessment Conditions</w:t>
      </w:r>
    </w:p>
    <w:p w:rsidR="00000000" w:rsidRPr="00CE1CB4" w:rsidP="00AF434B">
      <w:pPr>
        <w:pStyle w:val="BodyText"/>
      </w:pPr>
      <w:r w:rsidRPr="00CE1CB4">
        <w:t xml:space="preserve">Assessment must be conducted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CE1CB4" w:rsidP="00CE1CB4">
      <w:pPr>
        <w:pStyle w:val="ListBullet"/>
      </w:pPr>
      <w:r w:rsidRPr="00CE1CB4">
        <w:t>audio equipment</w:t>
      </w:r>
    </w:p>
    <w:p w:rsidR="00000000" w:rsidRPr="00CE1CB4" w:rsidP="00CE1CB4">
      <w:pPr>
        <w:pStyle w:val="ListBullet"/>
      </w:pPr>
      <w:r w:rsidRPr="00CE1CB4">
        <w:t>su</w:t>
      </w:r>
      <w:r w:rsidRPr="00CE1CB4">
        <w:t>itable venue</w:t>
      </w:r>
    </w:p>
    <w:p w:rsidR="00000000" w:rsidRPr="00CE1CB4" w:rsidP="00CE1CB4">
      <w:pPr>
        <w:pStyle w:val="ListBullet"/>
      </w:pPr>
      <w:r w:rsidRPr="00CE1CB4">
        <w:t>relevant production documentation</w:t>
      </w:r>
    </w:p>
    <w:p w:rsidR="00000000" w:rsidRPr="00CE1CB4" w:rsidP="00CE1CB4">
      <w:pPr>
        <w:pStyle w:val="ListBullet"/>
      </w:pPr>
      <w:r w:rsidRPr="00CE1CB4">
        <w:t>interaction with others.</w:t>
      </w:r>
    </w:p>
    <w:p w:rsidR="00000000" w:rsidRPr="00CE1CB4" w:rsidP="00CE1CB4">
      <w:pPr>
        <w:pStyle w:val="BodyText"/>
      </w:pPr>
    </w:p>
    <w:p w:rsidR="00000000" w:rsidRPr="00CE1CB4" w:rsidP="00AF434B">
      <w:pPr>
        <w:pStyle w:val="BodyText"/>
      </w:pPr>
      <w:r w:rsidRPr="00CE1CB4">
        <w:t>Assessors of this unit must satisfy the requirements for assessors in applicable vocational educational and training legislation, frameworks and/or standards.</w:t>
      </w:r>
    </w:p>
    <w:p w:rsidR="00000000" w:rsidRPr="00CE1CB4" w:rsidP="00CE1CB4">
      <w:pPr>
        <w:pStyle w:val="Heading1"/>
      </w:pPr>
      <w:bookmarkStart w:id="5" w:name="O_964461"/>
      <w:bookmarkEnd w:id="5"/>
      <w:r w:rsidRPr="00CE1CB4">
        <w:t>Links</w:t>
      </w:r>
    </w:p>
    <w:p w:rsidR="00000000" w:rsidRPr="00CE1CB4" w:rsidP="00AF434B">
      <w:pPr>
        <w:pStyle w:val="BodyText"/>
      </w:pPr>
      <w:r w:rsidRPr="00CE1CB4">
        <w:t>C</w:t>
      </w:r>
      <w:r w:rsidRPr="00CE1CB4">
        <w:t xml:space="preserve">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2277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E1CB4" w:rsidP="00CE1CB4"/>
    <w:sectPr w:rsidSect="00CE1CB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C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CB4" w:rsidRPr="00AF434B" w:rsidP="00AF43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C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34B" w:rsidP="00CE1C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F434B" w:rsidP="00CE1C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F434B" w:rsidP="00CE1C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C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3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1CB4" w:rsidRPr="00AF434B" w:rsidP="00AF43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C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34B" w:rsidRPr="002D2AF8" w:rsidP="00CE1C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CUASOU308 Install and disassemble audio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AF434B" w:rsidP="00CE1C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F247E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27457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7666F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1C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1C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1C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1C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1C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1C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1C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1C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1C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1C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1C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1CB4"/>
  </w:style>
  <w:style w:type="character" w:customStyle="1" w:styleId="Heading1Char">
    <w:name w:val="Heading 1 Char"/>
    <w:basedOn w:val="DefaultParagraphFont"/>
    <w:link w:val="Heading1"/>
    <w:rsid w:val="00CE1C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1CB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1CB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E1CB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E1CB4"/>
    <w:rPr>
      <w:b/>
      <w:spacing w:val="0"/>
    </w:rPr>
  </w:style>
  <w:style w:type="paragraph" w:styleId="ListBullet2">
    <w:name w:val="List Bullet 2"/>
    <w:basedOn w:val="List2"/>
    <w:rsid w:val="00CE1CB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E1C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1C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E1C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1C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1C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1C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1C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1C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1C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1C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1C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1C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1C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1C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1C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1C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1C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1C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1C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1CB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E1CB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E1C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E1C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1C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1C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E1C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1C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1C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1C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1C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1C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1C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1C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1CB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E1CB4"/>
    <w:rPr>
      <w:i/>
    </w:rPr>
  </w:style>
  <w:style w:type="paragraph" w:styleId="Caption">
    <w:name w:val="caption"/>
    <w:basedOn w:val="BodyText"/>
    <w:next w:val="Normal"/>
    <w:qFormat/>
    <w:rsid w:val="00CE1C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1C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1C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1CB4"/>
  </w:style>
  <w:style w:type="paragraph" w:styleId="TableofFigures">
    <w:name w:val="table of figures"/>
    <w:basedOn w:val="Normal"/>
    <w:next w:val="Normal"/>
    <w:semiHidden/>
    <w:rsid w:val="00CE1C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1CB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E1CB4"/>
    <w:rPr>
      <w:rFonts w:ascii="Wingdings" w:hAnsi="Wingdings"/>
    </w:rPr>
  </w:style>
  <w:style w:type="paragraph" w:customStyle="1" w:styleId="TableHeading">
    <w:name w:val="Table Heading"/>
    <w:basedOn w:val="HeadingBase"/>
    <w:rsid w:val="00CE1C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1CB4"/>
    <w:rPr>
      <w:color w:val="0033CC"/>
      <w:u w:val="none"/>
    </w:rPr>
  </w:style>
  <w:style w:type="paragraph" w:customStyle="1" w:styleId="BodyTextRight">
    <w:name w:val="Body Text Right"/>
    <w:basedOn w:val="BodyText"/>
    <w:rsid w:val="00CE1C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1C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1CB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1C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1C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1C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1CB4"/>
    <w:rPr>
      <w:sz w:val="32"/>
    </w:rPr>
  </w:style>
  <w:style w:type="paragraph" w:customStyle="1" w:styleId="HeadingProcedure">
    <w:name w:val="Heading Procedure"/>
    <w:basedOn w:val="HeadingBase"/>
    <w:next w:val="Normal"/>
    <w:rsid w:val="00CE1C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1CB4"/>
    <w:pPr>
      <w:spacing w:before="60" w:after="60"/>
    </w:pPr>
  </w:style>
  <w:style w:type="paragraph" w:styleId="ListContinue">
    <w:name w:val="List Continue"/>
    <w:basedOn w:val="List"/>
    <w:rsid w:val="00CE1CB4"/>
    <w:pPr>
      <w:ind w:firstLine="0"/>
    </w:pPr>
  </w:style>
  <w:style w:type="paragraph" w:customStyle="1" w:styleId="ListNote">
    <w:name w:val="List Note"/>
    <w:basedOn w:val="List"/>
    <w:rsid w:val="00CE1C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1C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1C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1CB4"/>
    <w:rPr>
      <w:rFonts w:ascii="Courier New" w:hAnsi="Courier New"/>
    </w:rPr>
  </w:style>
  <w:style w:type="paragraph" w:customStyle="1" w:styleId="NoteBullet">
    <w:name w:val="Note Bullet"/>
    <w:basedOn w:val="Note"/>
    <w:rsid w:val="00CE1C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1C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1C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1C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1CB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E1C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1C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1CB4"/>
    <w:rPr>
      <w:b/>
      <w:smallCaps/>
    </w:rPr>
  </w:style>
  <w:style w:type="paragraph" w:customStyle="1" w:styleId="TableListNumber">
    <w:name w:val="Table List Number"/>
    <w:basedOn w:val="ListNumber"/>
    <w:rsid w:val="00CE1C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1C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1CB4"/>
    <w:pPr>
      <w:numPr>
        <w:numId w:val="9"/>
      </w:numPr>
    </w:pPr>
  </w:style>
  <w:style w:type="paragraph" w:customStyle="1" w:styleId="ListAlpha2">
    <w:name w:val="List Alpha 2"/>
    <w:basedOn w:val="List2"/>
    <w:rsid w:val="00CE1CB4"/>
    <w:pPr>
      <w:numPr>
        <w:numId w:val="8"/>
      </w:numPr>
    </w:pPr>
  </w:style>
  <w:style w:type="paragraph" w:styleId="List2">
    <w:name w:val="List 2"/>
    <w:basedOn w:val="BodyText"/>
    <w:rsid w:val="00CE1C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1C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1C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1CB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1CB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1CB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E1CB4"/>
    <w:pPr>
      <w:numPr>
        <w:numId w:val="4"/>
      </w:numPr>
    </w:pPr>
  </w:style>
  <w:style w:type="paragraph" w:styleId="ListContinue2">
    <w:name w:val="List Continue 2"/>
    <w:basedOn w:val="List2"/>
    <w:rsid w:val="00CE1CB4"/>
    <w:pPr>
      <w:ind w:firstLine="0"/>
    </w:pPr>
  </w:style>
  <w:style w:type="paragraph" w:styleId="ListContinue3">
    <w:name w:val="List Continue 3"/>
    <w:basedOn w:val="List3"/>
    <w:rsid w:val="00CE1CB4"/>
    <w:pPr>
      <w:ind w:left="1021" w:firstLine="0"/>
    </w:pPr>
  </w:style>
  <w:style w:type="paragraph" w:styleId="ListContinue4">
    <w:name w:val="List Continue 4"/>
    <w:basedOn w:val="List4"/>
    <w:rsid w:val="00CE1CB4"/>
    <w:pPr>
      <w:ind w:firstLine="0"/>
    </w:pPr>
  </w:style>
  <w:style w:type="paragraph" w:styleId="ListContinue5">
    <w:name w:val="List Continue 5"/>
    <w:basedOn w:val="List5"/>
    <w:rsid w:val="00CE1CB4"/>
    <w:pPr>
      <w:ind w:firstLine="0"/>
    </w:pPr>
  </w:style>
  <w:style w:type="paragraph" w:styleId="ListNumber3">
    <w:name w:val="List Number 3"/>
    <w:basedOn w:val="List3"/>
    <w:rsid w:val="00CE1CB4"/>
    <w:pPr>
      <w:numPr>
        <w:numId w:val="5"/>
      </w:numPr>
    </w:pPr>
  </w:style>
  <w:style w:type="paragraph" w:styleId="ListNumber4">
    <w:name w:val="List Number 4"/>
    <w:basedOn w:val="List4"/>
    <w:rsid w:val="00CE1CB4"/>
    <w:pPr>
      <w:numPr>
        <w:numId w:val="6"/>
      </w:numPr>
    </w:pPr>
  </w:style>
  <w:style w:type="paragraph" w:styleId="ListNumber5">
    <w:name w:val="List Number 5"/>
    <w:basedOn w:val="List5"/>
    <w:rsid w:val="00CE1CB4"/>
    <w:pPr>
      <w:numPr>
        <w:numId w:val="7"/>
      </w:numPr>
    </w:pPr>
  </w:style>
  <w:style w:type="paragraph" w:styleId="BlockText">
    <w:name w:val="Block Text"/>
    <w:basedOn w:val="Normal"/>
    <w:rsid w:val="00CE1C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1C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1CB4"/>
    <w:rPr>
      <w:sz w:val="16"/>
      <w:vertAlign w:val="superscript"/>
    </w:rPr>
  </w:style>
  <w:style w:type="character" w:customStyle="1" w:styleId="Symbols">
    <w:name w:val="Symbols"/>
    <w:basedOn w:val="DefaultParagraphFont"/>
    <w:rsid w:val="00CE1CB4"/>
    <w:rPr>
      <w:rFonts w:ascii="Symbol" w:hAnsi="Symbol"/>
    </w:rPr>
  </w:style>
  <w:style w:type="character" w:customStyle="1" w:styleId="MenuOptions">
    <w:name w:val="Menu Options"/>
    <w:basedOn w:val="DefaultParagraphFont"/>
    <w:rsid w:val="00CE1C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1CB4"/>
    <w:rPr>
      <w:b/>
    </w:rPr>
  </w:style>
  <w:style w:type="character" w:customStyle="1" w:styleId="Underlined">
    <w:name w:val="Underlined"/>
    <w:basedOn w:val="DefaultParagraphFont"/>
    <w:rsid w:val="00CE1CB4"/>
    <w:rPr>
      <w:u w:val="single"/>
    </w:rPr>
  </w:style>
  <w:style w:type="paragraph" w:customStyle="1" w:styleId="TableBodyTextRight">
    <w:name w:val="Table Body Text Right"/>
    <w:basedOn w:val="TableBodyText"/>
    <w:rsid w:val="00CE1C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1CB4"/>
    <w:rPr>
      <w:sz w:val="18"/>
    </w:rPr>
  </w:style>
  <w:style w:type="paragraph" w:customStyle="1" w:styleId="BodySmallRight">
    <w:name w:val="Body Small Right"/>
    <w:basedOn w:val="BodyTextRight"/>
    <w:rsid w:val="00CE1CB4"/>
    <w:rPr>
      <w:sz w:val="18"/>
      <w:szCs w:val="18"/>
    </w:rPr>
  </w:style>
  <w:style w:type="paragraph" w:customStyle="1" w:styleId="MarginEdition">
    <w:name w:val="Margin Edition"/>
    <w:basedOn w:val="MarginNote"/>
    <w:rsid w:val="00CE1C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1CB4"/>
    <w:rPr>
      <w:sz w:val="2"/>
      <w:szCs w:val="2"/>
    </w:rPr>
  </w:style>
  <w:style w:type="character" w:customStyle="1" w:styleId="Small">
    <w:name w:val="Small"/>
    <w:basedOn w:val="DefaultParagraphFont"/>
    <w:rsid w:val="00CE1CB4"/>
    <w:rPr>
      <w:sz w:val="16"/>
    </w:rPr>
  </w:style>
  <w:style w:type="paragraph" w:customStyle="1" w:styleId="WideTable">
    <w:name w:val="Wide Table"/>
    <w:basedOn w:val="Normal"/>
    <w:rsid w:val="00CE1C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1CB4"/>
  </w:style>
  <w:style w:type="paragraph" w:styleId="Quote">
    <w:name w:val="Quote"/>
    <w:basedOn w:val="Heading1"/>
    <w:link w:val="QuoteChar"/>
    <w:qFormat/>
    <w:rsid w:val="00CE1C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1C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1CB4"/>
    <w:pPr>
      <w:pageBreakBefore/>
    </w:pPr>
  </w:style>
  <w:style w:type="paragraph" w:customStyle="1" w:styleId="Border">
    <w:name w:val="Border"/>
    <w:basedOn w:val="Normal"/>
    <w:qFormat/>
    <w:rsid w:val="00CE1C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1C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1C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1C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1C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1C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1C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1C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1C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1CB4"/>
    <w:rPr>
      <w:u w:val="single"/>
    </w:rPr>
  </w:style>
  <w:style w:type="character" w:customStyle="1" w:styleId="BoldandItalics">
    <w:name w:val="Bold and Italics"/>
    <w:qFormat/>
    <w:rsid w:val="00CE1CB4"/>
    <w:rPr>
      <w:b/>
      <w:i/>
      <w:u w:val="none"/>
    </w:rPr>
  </w:style>
  <w:style w:type="paragraph" w:styleId="BalloonText">
    <w:name w:val="Balloon Text"/>
    <w:basedOn w:val="Normal"/>
    <w:link w:val="BalloonTextChar"/>
    <w:rsid w:val="00CE1C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1C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1CB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1C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1C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1CB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1CB4"/>
    <w:pPr>
      <w:spacing w:before="0" w:after="0"/>
    </w:pPr>
  </w:style>
  <w:style w:type="paragraph" w:customStyle="1" w:styleId="BodyTextBold">
    <w:name w:val="Body Text Bold"/>
    <w:basedOn w:val="BodyText"/>
    <w:qFormat/>
    <w:rsid w:val="00CE1CB4"/>
    <w:rPr>
      <w:b/>
    </w:rPr>
  </w:style>
  <w:style w:type="character" w:styleId="Hyperlink">
    <w:name w:val="Hyperlink"/>
    <w:basedOn w:val="DefaultParagraphFont"/>
    <w:uiPriority w:val="99"/>
    <w:unhideWhenUsed/>
    <w:rsid w:val="00AF43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443</Words>
  <Characters>2996</Characters>
  <Application>Microsoft Office Word</Application>
  <DocSecurity>0</DocSecurity>
  <Lines>90</Lines>
  <Paragraphs>73</Paragraphs>
  <ScaleCrop>false</ScaleCrop>
  <Company>Author-it Software Corporation Ltd.</Company>
  <LinksUpToDate>false</LinksUpToDate>
  <CharactersWithSpaces>3366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CUASOU308 Install and disassemble audio equipment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2022-10-19T12:34:00Z</dcterms:created>
  <dcterms:modified xsi:type="dcterms:W3CDTF">2022-10-19T12:34:00Z</dcterms:modified>
</cp:coreProperties>
</file>