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361CC" w:rsidP="00D361C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CUASMT502 Call performances</w:t>
      </w:r>
      <w:r>
        <w:fldChar w:fldCharType="end"/>
      </w:r>
    </w:p>
    <w:p w:rsidR="00D361CC" w:rsidP="00D361CC">
      <w:pPr>
        <w:pStyle w:val="Version"/>
        <w:sectPr w:rsidSect="000E5DA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0E5DAC" w:rsidP="000E5DAC">
      <w:pPr>
        <w:pStyle w:val="SuperHeading"/>
      </w:pPr>
      <w:r w:rsidRPr="000E5DAC">
        <w:t>Assessment Requirements for CUASMT502 Call performances</w:t>
      </w:r>
    </w:p>
    <w:p w:rsidR="00000000" w:rsidRPr="000E5DAC" w:rsidP="000E5DAC">
      <w:pPr>
        <w:pStyle w:val="Heading1"/>
      </w:pPr>
      <w:bookmarkStart w:id="1" w:name="O_811311"/>
      <w:bookmarkEnd w:id="1"/>
      <w:r w:rsidRPr="000E5DAC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0E5DA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5DAC" w:rsidP="000E5DAC">
            <w:pPr>
              <w:pStyle w:val="BodyText"/>
            </w:pPr>
            <w:r w:rsidRPr="000E5DAC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5DAC">
            <w:pPr>
              <w:pStyle w:val="BodyText"/>
              <w:rPr>
                <w:lang w:val="en-NZ"/>
              </w:rPr>
            </w:pPr>
            <w:r w:rsidRPr="000E5DAC">
              <w:rPr>
                <w:rStyle w:val="SpecialBold"/>
              </w:rPr>
              <w:t>Comments</w:t>
            </w:r>
          </w:p>
        </w:tc>
      </w:tr>
      <w:tr w:rsidTr="000E5DA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5DAC">
            <w:pPr>
              <w:pStyle w:val="BodyText"/>
              <w:rPr>
                <w:lang w:val="en-NZ"/>
              </w:rPr>
            </w:pPr>
            <w:r w:rsidRPr="000E5DAC">
              <w:t>Release 2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5DAC">
            <w:pPr>
              <w:pStyle w:val="BodyText"/>
              <w:rPr>
                <w:lang w:val="en-NZ"/>
              </w:rPr>
            </w:pPr>
            <w:r w:rsidRPr="000E5DAC">
              <w:t>This version released with CUA Creative Arts and Culture Training Package version 2.0. Updated assessment conditions section. Updated modification history section to reflect changed name of t</w:t>
            </w:r>
            <w:r w:rsidRPr="000E5DAC">
              <w:t>raining package.</w:t>
            </w:r>
          </w:p>
        </w:tc>
      </w:tr>
      <w:tr w:rsidTr="000E5DA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5DAC">
            <w:pPr>
              <w:pStyle w:val="BodyText"/>
              <w:rPr>
                <w:lang w:val="en-NZ"/>
              </w:rPr>
            </w:pPr>
            <w:r w:rsidRPr="000E5DAC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5DAC" w:rsidP="000E5DAC">
            <w:pPr>
              <w:pStyle w:val="BodyText"/>
            </w:pPr>
            <w:r w:rsidRPr="000E5DAC">
              <w:t>This version first released with CUA Creative Arts and Culture Training Package version 1.0.</w:t>
            </w:r>
          </w:p>
        </w:tc>
      </w:tr>
    </w:tbl>
    <w:p w:rsidR="00000000" w:rsidRPr="000E5DAC" w:rsidP="000E5DAC">
      <w:pPr>
        <w:pStyle w:val="BodyText"/>
      </w:pPr>
    </w:p>
    <w:p w:rsidR="00000000" w:rsidRPr="000E5DAC" w:rsidP="000E5DAC">
      <w:pPr>
        <w:pStyle w:val="AllowPageBreak"/>
      </w:pPr>
    </w:p>
    <w:p w:rsidR="00000000" w:rsidRPr="000E5DAC" w:rsidP="000E5DAC">
      <w:pPr>
        <w:pStyle w:val="Heading1"/>
      </w:pPr>
      <w:bookmarkStart w:id="2" w:name="O_811310"/>
      <w:bookmarkEnd w:id="2"/>
      <w:r w:rsidRPr="000E5DAC">
        <w:t>Performance Evidence</w:t>
      </w:r>
    </w:p>
    <w:p w:rsidR="00000000" w:rsidRPr="000E5DAC" w:rsidP="00D361CC">
      <w:pPr>
        <w:pStyle w:val="BodyText"/>
      </w:pPr>
      <w:r w:rsidRPr="000E5DAC">
        <w:t>Evidence of the ability to:</w:t>
      </w:r>
    </w:p>
    <w:p w:rsidR="00000000" w:rsidRPr="000E5DAC" w:rsidP="000E5DAC">
      <w:pPr>
        <w:pStyle w:val="ListBullet"/>
      </w:pPr>
      <w:r w:rsidRPr="000E5DAC">
        <w:t>use call reference material to provide clear and accurate announc</w:t>
      </w:r>
      <w:r w:rsidRPr="000E5DAC">
        <w:t>ements, cues and calls for at least six performances over at least two different productions that have a range of technical and performance elements</w:t>
      </w:r>
    </w:p>
    <w:p w:rsidR="00000000" w:rsidRPr="000E5DAC" w:rsidP="000E5DAC">
      <w:pPr>
        <w:pStyle w:val="ListBullet"/>
      </w:pPr>
      <w:r w:rsidRPr="000E5DAC">
        <w:t>monitor performances and respond to variations with appropriate adjustments to the timing of cues</w:t>
      </w:r>
    </w:p>
    <w:p w:rsidR="00000000" w:rsidRPr="000E5DAC" w:rsidP="000E5DAC">
      <w:pPr>
        <w:pStyle w:val="ListBullet"/>
      </w:pPr>
      <w:r w:rsidRPr="000E5DAC">
        <w:t>manage a range of competing tasks within time constraints experienced during the running of live performances</w:t>
      </w:r>
    </w:p>
    <w:p w:rsidR="00000000" w:rsidRPr="000E5DAC" w:rsidP="000E5DAC">
      <w:pPr>
        <w:pStyle w:val="ListBullet"/>
      </w:pPr>
      <w:r w:rsidRPr="000E5DAC">
        <w:t>work collaboratively.</w:t>
      </w:r>
    </w:p>
    <w:p w:rsidR="00000000" w:rsidRPr="000E5DAC" w:rsidP="000E5DAC">
      <w:pPr>
        <w:pStyle w:val="BodyText"/>
      </w:pPr>
    </w:p>
    <w:p w:rsidR="00000000" w:rsidRPr="000E5DAC" w:rsidP="00D361CC">
      <w:pPr>
        <w:pStyle w:val="BodyText"/>
      </w:pPr>
      <w:r w:rsidRPr="000E5DAC">
        <w:t>Note: If a specific volume or frequency is not stated, then evidence must be provided for each of the above points at least</w:t>
      </w:r>
      <w:r w:rsidRPr="000E5DAC">
        <w:t xml:space="preserve"> once.</w:t>
      </w:r>
    </w:p>
    <w:p w:rsidR="00000000" w:rsidRPr="000E5DAC" w:rsidP="000E5DAC">
      <w:pPr>
        <w:pStyle w:val="Heading1"/>
      </w:pPr>
      <w:bookmarkStart w:id="3" w:name="O_811309"/>
      <w:bookmarkEnd w:id="3"/>
      <w:r w:rsidRPr="000E5DAC">
        <w:t>Knowledge Evidence</w:t>
      </w:r>
    </w:p>
    <w:p w:rsidR="00000000" w:rsidRPr="000E5DAC" w:rsidP="00D361CC">
      <w:pPr>
        <w:pStyle w:val="BodyText"/>
      </w:pPr>
      <w:r w:rsidRPr="000E5DAC">
        <w:t>To complete the unit requirements the individual must:</w:t>
      </w:r>
    </w:p>
    <w:p w:rsidR="00000000" w:rsidRPr="000E5DAC" w:rsidP="000E5DAC">
      <w:pPr>
        <w:pStyle w:val="ListBullet"/>
      </w:pPr>
      <w:r w:rsidRPr="000E5DAC">
        <w:t>explain the purpose of a range of documentation used for calling performances</w:t>
      </w:r>
    </w:p>
    <w:p w:rsidR="00000000" w:rsidRPr="000E5DAC" w:rsidP="000E5DAC">
      <w:pPr>
        <w:pStyle w:val="ListBullet"/>
      </w:pPr>
      <w:r w:rsidRPr="000E5DAC">
        <w:t>explain key factors involved in the effective calling of performances</w:t>
      </w:r>
    </w:p>
    <w:p w:rsidR="00000000" w:rsidRPr="000E5DAC" w:rsidP="000E5DAC">
      <w:pPr>
        <w:pStyle w:val="ListBullet"/>
      </w:pPr>
      <w:r w:rsidRPr="000E5DAC">
        <w:t>describe</w:t>
      </w:r>
      <w:r w:rsidRPr="000E5DAC">
        <w:t xml:space="preserve"> the features and purpose of different ways of communicating backstage during performances</w:t>
      </w:r>
    </w:p>
    <w:p w:rsidR="00000000" w:rsidRPr="000E5DAC" w:rsidP="000E5DAC">
      <w:pPr>
        <w:pStyle w:val="ListBullet"/>
      </w:pPr>
      <w:r w:rsidRPr="000E5DAC">
        <w:t>describe issues and challenges that can arise when calling performances, along with solutions to address them</w:t>
      </w:r>
    </w:p>
    <w:p w:rsidR="00000000" w:rsidRPr="000E5DAC" w:rsidP="000E5DAC">
      <w:pPr>
        <w:pStyle w:val="ListBullet"/>
      </w:pPr>
      <w:r w:rsidRPr="000E5DAC">
        <w:t>explain the role of stage management personnel in the f</w:t>
      </w:r>
      <w:r w:rsidRPr="000E5DAC">
        <w:t>ollowing production areas:</w:t>
      </w:r>
    </w:p>
    <w:p w:rsidR="00000000" w:rsidRPr="000E5DAC" w:rsidP="000E5DAC">
      <w:pPr>
        <w:pStyle w:val="ListBullet2"/>
      </w:pPr>
      <w:r w:rsidRPr="000E5DAC">
        <w:t>audio</w:t>
      </w:r>
    </w:p>
    <w:p w:rsidR="00000000" w:rsidRPr="000E5DAC" w:rsidP="000E5DAC">
      <w:pPr>
        <w:pStyle w:val="ListBullet2"/>
      </w:pPr>
      <w:r w:rsidRPr="000E5DAC">
        <w:t>costume</w:t>
      </w:r>
    </w:p>
    <w:p w:rsidR="00000000" w:rsidRPr="000E5DAC" w:rsidP="000E5DAC">
      <w:pPr>
        <w:pStyle w:val="ListBullet2"/>
      </w:pPr>
      <w:r w:rsidRPr="000E5DAC">
        <w:t>lighting</w:t>
      </w:r>
    </w:p>
    <w:p w:rsidR="00000000" w:rsidRPr="000E5DAC" w:rsidP="000E5DAC">
      <w:pPr>
        <w:pStyle w:val="ListBullet2"/>
      </w:pPr>
      <w:r w:rsidRPr="000E5DAC">
        <w:t>production management</w:t>
      </w:r>
    </w:p>
    <w:p w:rsidR="00000000" w:rsidRPr="000E5DAC" w:rsidP="000E5DAC">
      <w:pPr>
        <w:pStyle w:val="ListBullet2"/>
      </w:pPr>
      <w:r w:rsidRPr="000E5DAC">
        <w:t>show control</w:t>
      </w:r>
    </w:p>
    <w:p w:rsidR="00000000" w:rsidRPr="000E5DAC" w:rsidP="000E5DAC">
      <w:pPr>
        <w:pStyle w:val="ListBullet2"/>
      </w:pPr>
      <w:r w:rsidRPr="000E5DAC">
        <w:t>staging</w:t>
      </w:r>
    </w:p>
    <w:p w:rsidR="00000000" w:rsidRPr="000E5DAC" w:rsidP="000E5DAC">
      <w:pPr>
        <w:pStyle w:val="ListBullet2"/>
      </w:pPr>
      <w:r w:rsidRPr="000E5DAC">
        <w:t>vision systems.</w:t>
      </w:r>
    </w:p>
    <w:p w:rsidR="00000000" w:rsidRPr="000E5DAC" w:rsidP="000E5DAC">
      <w:pPr>
        <w:pStyle w:val="AllowPageBreak"/>
      </w:pPr>
    </w:p>
    <w:p w:rsidR="00000000" w:rsidRPr="000E5DAC" w:rsidP="000E5DAC">
      <w:pPr>
        <w:pStyle w:val="Heading1"/>
      </w:pPr>
      <w:bookmarkStart w:id="4" w:name="O_811308"/>
      <w:bookmarkEnd w:id="4"/>
      <w:r w:rsidRPr="000E5DAC">
        <w:t>Assessment Conditions</w:t>
      </w:r>
    </w:p>
    <w:p w:rsidR="00000000" w:rsidRPr="000E5DAC" w:rsidP="00D361CC">
      <w:pPr>
        <w:pStyle w:val="BodyText"/>
      </w:pPr>
      <w:r w:rsidRPr="000E5DAC">
        <w:t>Assessment must be conducted in a safe environment where evidence gathered demonstrates consistent performance of typical activities experienced in creative arts industry environments. The assessment environment must include access to calling material, pub</w:t>
      </w:r>
      <w:r w:rsidRPr="000E5DAC">
        <w:t>lic performances and industry-standard communication equipment used to make announcements, cues and calls.</w:t>
      </w:r>
    </w:p>
    <w:p w:rsidR="00000000" w:rsidRPr="000E5DAC" w:rsidP="00D361CC">
      <w:pPr>
        <w:pStyle w:val="BodyText"/>
      </w:pPr>
      <w:r w:rsidRPr="000E5DAC">
        <w:t xml:space="preserve">Assessors of this unit must satisfy the requirements for assessors in applicable vocational educational and training legislation, frameworks and/or </w:t>
      </w:r>
      <w:r w:rsidRPr="000E5DAC">
        <w:t>standards.</w:t>
      </w:r>
    </w:p>
    <w:p w:rsidR="00000000" w:rsidRPr="000E5DAC" w:rsidP="000E5DAC">
      <w:pPr>
        <w:pStyle w:val="Heading1"/>
      </w:pPr>
      <w:bookmarkStart w:id="5" w:name="O_811320"/>
      <w:bookmarkEnd w:id="5"/>
      <w:r w:rsidRPr="000E5DAC">
        <w:t>Links</w:t>
      </w:r>
    </w:p>
    <w:p w:rsidR="00000000" w:rsidRPr="000E5DAC" w:rsidP="00D361CC">
      <w:pPr>
        <w:pStyle w:val="BodyText"/>
      </w:pPr>
      <w:r w:rsidRPr="000E5DAC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"https://vetnet.education.gov.au/Pages/TrainingDocs.aspx?q=1db201d9-4006-4430-839f-382ef6b803d5" </w:instrText>
      </w:r>
      <w:r>
        <w:fldChar w:fldCharType="separate"/>
      </w:r>
      <w:r w:rsidRPr="00AB7C4D">
        <w:rPr>
          <w:rStyle w:val="Hyperlink"/>
        </w:rPr>
        <w:t>https://vetnet.education.gov.au/Pages/TrainingDocs.aspx?q=1db201d9-4006-4430-839f-382ef6b803d5</w:t>
      </w:r>
      <w:r>
        <w:fldChar w:fldCharType="end"/>
      </w:r>
    </w:p>
    <w:p w:rsidR="00000000" w:rsidRPr="000E5DAC" w:rsidP="000E5DAC"/>
    <w:sectPr w:rsidSect="000E5DAC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5DA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5DAC" w:rsidRPr="00D361CC" w:rsidP="00D361C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5DA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61CC" w:rsidP="000E5DA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D361CC" w:rsidP="000E5DA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D361CC" w:rsidP="000E5DA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5DA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61C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E5DAC" w:rsidRPr="00D361CC" w:rsidP="00D361C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5DA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61CC" w:rsidRPr="002D2AF8" w:rsidP="000E5DA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CUASMT502 Call performances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February 2019</w:t>
    </w:r>
    <w:r>
      <w:fldChar w:fldCharType="end"/>
    </w:r>
  </w:p>
  <w:p w:rsidR="00D361CC" w:rsidP="000E5DA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448915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270D05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778CD3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E5DA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E5DA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E5DA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E5DA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E5DA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E5DA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E5DA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E5DA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E5DA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E5DA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E5DA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E5DAC"/>
  </w:style>
  <w:style w:type="character" w:customStyle="1" w:styleId="Heading1Char">
    <w:name w:val="Heading 1 Char"/>
    <w:basedOn w:val="DefaultParagraphFont"/>
    <w:link w:val="Heading1"/>
    <w:rsid w:val="000E5DA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E5DA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E5DA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E5DAC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E5DAC"/>
    <w:rPr>
      <w:b/>
      <w:spacing w:val="0"/>
    </w:rPr>
  </w:style>
  <w:style w:type="paragraph" w:styleId="ListBullet2">
    <w:name w:val="List Bullet 2"/>
    <w:basedOn w:val="List2"/>
    <w:rsid w:val="000E5DAC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0E5DA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E5DA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E5DA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E5DA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E5DA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E5DA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E5DA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E5DA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E5DA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E5DA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E5DA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E5DA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E5DA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E5DA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E5DA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E5DA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E5DA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E5DA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E5DA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E5DA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E5DA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E5DA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E5DA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E5DA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E5DA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E5DA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E5DA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E5DA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E5DA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E5DA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E5DA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E5DA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E5DA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E5DA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E5DAC"/>
    <w:rPr>
      <w:i/>
    </w:rPr>
  </w:style>
  <w:style w:type="paragraph" w:styleId="Caption">
    <w:name w:val="caption"/>
    <w:basedOn w:val="BodyText"/>
    <w:next w:val="Normal"/>
    <w:qFormat/>
    <w:rsid w:val="000E5DA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E5DA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E5DA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E5DAC"/>
  </w:style>
  <w:style w:type="paragraph" w:styleId="TableofFigures">
    <w:name w:val="table of figures"/>
    <w:basedOn w:val="Normal"/>
    <w:next w:val="Normal"/>
    <w:semiHidden/>
    <w:rsid w:val="000E5DA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E5DAC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0E5DAC"/>
    <w:rPr>
      <w:rFonts w:ascii="Wingdings" w:hAnsi="Wingdings"/>
    </w:rPr>
  </w:style>
  <w:style w:type="paragraph" w:customStyle="1" w:styleId="TableHeading">
    <w:name w:val="Table Heading"/>
    <w:basedOn w:val="HeadingBase"/>
    <w:rsid w:val="000E5DA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E5DAC"/>
    <w:rPr>
      <w:color w:val="0033CC"/>
      <w:u w:val="none"/>
    </w:rPr>
  </w:style>
  <w:style w:type="paragraph" w:customStyle="1" w:styleId="BodyTextRight">
    <w:name w:val="Body Text Right"/>
    <w:basedOn w:val="BodyText"/>
    <w:rsid w:val="000E5DA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E5DA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E5DAC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E5DA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E5DA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E5DA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E5DAC"/>
    <w:rPr>
      <w:sz w:val="32"/>
    </w:rPr>
  </w:style>
  <w:style w:type="paragraph" w:customStyle="1" w:styleId="HeadingProcedure">
    <w:name w:val="Heading Procedure"/>
    <w:basedOn w:val="HeadingBase"/>
    <w:next w:val="Normal"/>
    <w:rsid w:val="000E5DA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E5DAC"/>
    <w:pPr>
      <w:spacing w:before="60" w:after="60"/>
    </w:pPr>
  </w:style>
  <w:style w:type="paragraph" w:styleId="ListContinue">
    <w:name w:val="List Continue"/>
    <w:basedOn w:val="List"/>
    <w:rsid w:val="000E5DAC"/>
    <w:pPr>
      <w:ind w:firstLine="0"/>
    </w:pPr>
  </w:style>
  <w:style w:type="paragraph" w:customStyle="1" w:styleId="ListNote">
    <w:name w:val="List Note"/>
    <w:basedOn w:val="List"/>
    <w:rsid w:val="000E5DA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E5DA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E5DA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E5DAC"/>
    <w:rPr>
      <w:rFonts w:ascii="Courier New" w:hAnsi="Courier New"/>
    </w:rPr>
  </w:style>
  <w:style w:type="paragraph" w:customStyle="1" w:styleId="NoteBullet">
    <w:name w:val="Note Bullet"/>
    <w:basedOn w:val="Note"/>
    <w:rsid w:val="000E5DA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E5DA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E5DA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E5DA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E5DAC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0E5DA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E5DA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E5DAC"/>
    <w:rPr>
      <w:b/>
      <w:smallCaps/>
    </w:rPr>
  </w:style>
  <w:style w:type="paragraph" w:customStyle="1" w:styleId="TableListNumber">
    <w:name w:val="Table List Number"/>
    <w:basedOn w:val="ListNumber"/>
    <w:rsid w:val="000E5DA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E5DA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E5DAC"/>
    <w:pPr>
      <w:numPr>
        <w:numId w:val="9"/>
      </w:numPr>
    </w:pPr>
  </w:style>
  <w:style w:type="paragraph" w:customStyle="1" w:styleId="ListAlpha2">
    <w:name w:val="List Alpha 2"/>
    <w:basedOn w:val="List2"/>
    <w:rsid w:val="000E5DAC"/>
    <w:pPr>
      <w:numPr>
        <w:numId w:val="8"/>
      </w:numPr>
    </w:pPr>
  </w:style>
  <w:style w:type="paragraph" w:styleId="List2">
    <w:name w:val="List 2"/>
    <w:basedOn w:val="BodyText"/>
    <w:rsid w:val="000E5DA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E5DA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E5DA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E5DA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E5DAC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E5DAC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0E5DAC"/>
    <w:pPr>
      <w:numPr>
        <w:numId w:val="4"/>
      </w:numPr>
    </w:pPr>
  </w:style>
  <w:style w:type="paragraph" w:styleId="ListContinue2">
    <w:name w:val="List Continue 2"/>
    <w:basedOn w:val="List2"/>
    <w:rsid w:val="000E5DAC"/>
    <w:pPr>
      <w:ind w:firstLine="0"/>
    </w:pPr>
  </w:style>
  <w:style w:type="paragraph" w:styleId="ListContinue3">
    <w:name w:val="List Continue 3"/>
    <w:basedOn w:val="List3"/>
    <w:rsid w:val="000E5DAC"/>
    <w:pPr>
      <w:ind w:left="1021" w:firstLine="0"/>
    </w:pPr>
  </w:style>
  <w:style w:type="paragraph" w:styleId="ListContinue4">
    <w:name w:val="List Continue 4"/>
    <w:basedOn w:val="List4"/>
    <w:rsid w:val="000E5DAC"/>
    <w:pPr>
      <w:ind w:firstLine="0"/>
    </w:pPr>
  </w:style>
  <w:style w:type="paragraph" w:styleId="ListContinue5">
    <w:name w:val="List Continue 5"/>
    <w:basedOn w:val="List5"/>
    <w:rsid w:val="000E5DAC"/>
    <w:pPr>
      <w:ind w:firstLine="0"/>
    </w:pPr>
  </w:style>
  <w:style w:type="paragraph" w:styleId="ListNumber3">
    <w:name w:val="List Number 3"/>
    <w:basedOn w:val="List3"/>
    <w:rsid w:val="000E5DAC"/>
    <w:pPr>
      <w:numPr>
        <w:numId w:val="5"/>
      </w:numPr>
    </w:pPr>
  </w:style>
  <w:style w:type="paragraph" w:styleId="ListNumber4">
    <w:name w:val="List Number 4"/>
    <w:basedOn w:val="List4"/>
    <w:rsid w:val="000E5DAC"/>
    <w:pPr>
      <w:numPr>
        <w:numId w:val="6"/>
      </w:numPr>
    </w:pPr>
  </w:style>
  <w:style w:type="paragraph" w:styleId="ListNumber5">
    <w:name w:val="List Number 5"/>
    <w:basedOn w:val="List5"/>
    <w:rsid w:val="000E5DAC"/>
    <w:pPr>
      <w:numPr>
        <w:numId w:val="7"/>
      </w:numPr>
    </w:pPr>
  </w:style>
  <w:style w:type="paragraph" w:styleId="BlockText">
    <w:name w:val="Block Text"/>
    <w:basedOn w:val="Normal"/>
    <w:rsid w:val="000E5DA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E5DA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E5DAC"/>
    <w:rPr>
      <w:sz w:val="16"/>
      <w:vertAlign w:val="superscript"/>
    </w:rPr>
  </w:style>
  <w:style w:type="character" w:customStyle="1" w:styleId="Symbols">
    <w:name w:val="Symbols"/>
    <w:basedOn w:val="DefaultParagraphFont"/>
    <w:rsid w:val="000E5DAC"/>
    <w:rPr>
      <w:rFonts w:ascii="Symbol" w:hAnsi="Symbol"/>
    </w:rPr>
  </w:style>
  <w:style w:type="character" w:customStyle="1" w:styleId="MenuOptions">
    <w:name w:val="Menu Options"/>
    <w:basedOn w:val="DefaultParagraphFont"/>
    <w:rsid w:val="000E5DA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E5DAC"/>
    <w:rPr>
      <w:b/>
    </w:rPr>
  </w:style>
  <w:style w:type="character" w:customStyle="1" w:styleId="Underlined">
    <w:name w:val="Underlined"/>
    <w:basedOn w:val="DefaultParagraphFont"/>
    <w:rsid w:val="000E5DAC"/>
    <w:rPr>
      <w:u w:val="single"/>
    </w:rPr>
  </w:style>
  <w:style w:type="paragraph" w:customStyle="1" w:styleId="TableBodyTextRight">
    <w:name w:val="Table Body Text Right"/>
    <w:basedOn w:val="TableBodyText"/>
    <w:rsid w:val="000E5DA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E5DAC"/>
    <w:rPr>
      <w:sz w:val="18"/>
    </w:rPr>
  </w:style>
  <w:style w:type="paragraph" w:customStyle="1" w:styleId="BodySmallRight">
    <w:name w:val="Body Small Right"/>
    <w:basedOn w:val="BodyTextRight"/>
    <w:rsid w:val="000E5DAC"/>
    <w:rPr>
      <w:sz w:val="18"/>
      <w:szCs w:val="18"/>
    </w:rPr>
  </w:style>
  <w:style w:type="paragraph" w:customStyle="1" w:styleId="MarginEdition">
    <w:name w:val="Margin Edition"/>
    <w:basedOn w:val="MarginNote"/>
    <w:rsid w:val="000E5DA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E5DAC"/>
    <w:rPr>
      <w:sz w:val="2"/>
      <w:szCs w:val="2"/>
    </w:rPr>
  </w:style>
  <w:style w:type="character" w:customStyle="1" w:styleId="Small">
    <w:name w:val="Small"/>
    <w:basedOn w:val="DefaultParagraphFont"/>
    <w:rsid w:val="000E5DAC"/>
    <w:rPr>
      <w:sz w:val="16"/>
    </w:rPr>
  </w:style>
  <w:style w:type="paragraph" w:customStyle="1" w:styleId="WideTable">
    <w:name w:val="Wide Table"/>
    <w:basedOn w:val="Normal"/>
    <w:rsid w:val="000E5DA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E5DAC"/>
  </w:style>
  <w:style w:type="paragraph" w:styleId="Quote">
    <w:name w:val="Quote"/>
    <w:basedOn w:val="Heading1"/>
    <w:link w:val="QuoteChar"/>
    <w:qFormat/>
    <w:rsid w:val="000E5DA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E5DA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E5DAC"/>
    <w:pPr>
      <w:pageBreakBefore/>
    </w:pPr>
  </w:style>
  <w:style w:type="paragraph" w:customStyle="1" w:styleId="Border">
    <w:name w:val="Border"/>
    <w:basedOn w:val="Normal"/>
    <w:qFormat/>
    <w:rsid w:val="000E5DA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E5DA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E5DA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E5DA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E5DA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E5DA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E5DA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E5DA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E5DA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E5DAC"/>
    <w:rPr>
      <w:u w:val="single"/>
    </w:rPr>
  </w:style>
  <w:style w:type="character" w:customStyle="1" w:styleId="BoldandItalics">
    <w:name w:val="Bold and Italics"/>
    <w:qFormat/>
    <w:rsid w:val="000E5DAC"/>
    <w:rPr>
      <w:b/>
      <w:i/>
      <w:u w:val="none"/>
    </w:rPr>
  </w:style>
  <w:style w:type="paragraph" w:styleId="BalloonText">
    <w:name w:val="Balloon Text"/>
    <w:basedOn w:val="Normal"/>
    <w:link w:val="BalloonTextChar"/>
    <w:rsid w:val="000E5DA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E5DA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E5DA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E5DA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E5DA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E5DA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E5DAC"/>
    <w:pPr>
      <w:spacing w:before="0" w:after="0"/>
    </w:pPr>
  </w:style>
  <w:style w:type="paragraph" w:customStyle="1" w:styleId="BodyTextBold">
    <w:name w:val="Body Text Bold"/>
    <w:basedOn w:val="BodyText"/>
    <w:qFormat/>
    <w:rsid w:val="000E5DAC"/>
    <w:rPr>
      <w:b/>
    </w:rPr>
  </w:style>
  <w:style w:type="character" w:styleId="Hyperlink">
    <w:name w:val="Hyperlink"/>
    <w:basedOn w:val="DefaultParagraphFont"/>
    <w:uiPriority w:val="99"/>
    <w:unhideWhenUsed/>
    <w:rsid w:val="00D361C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344</Words>
  <Characters>2250</Characters>
  <Application>Microsoft Office Word</Application>
  <DocSecurity>0</DocSecurity>
  <Lines>70</Lines>
  <Paragraphs>43</Paragraphs>
  <ScaleCrop>false</ScaleCrop>
  <Company>Author-it Software Corporation Ltd.</Company>
  <LinksUpToDate>false</LinksUpToDate>
  <CharactersWithSpaces>2551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CUASMT502 Call performances</dc:title>
  <dc:subject>Approved</dc:subject>
  <dc:creator>PwC’s Skills for Australia</dc:creator>
  <cp:keywords>Release: 2</cp:keywords>
  <dc:description>Review Date: 12 April 2008</dc:description>
  <cp:lastModifiedBy>HSD_TPCMSd.prod</cp:lastModifiedBy>
  <cp:revision>3</cp:revision>
  <dcterms:created xsi:type="dcterms:W3CDTF">2019-02-21T14:03:00Z</dcterms:created>
  <dcterms:modified xsi:type="dcterms:W3CDTF">2019-02-21T14:03:00Z</dcterms:modified>
</cp:coreProperties>
</file>