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A16" w:rsidP="00FC7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CUAPRF611 Extend musical theatre performance techniques to a professional level</w:t>
      </w:r>
      <w:r>
        <w:fldChar w:fldCharType="end"/>
      </w:r>
    </w:p>
    <w:p w:rsidR="00FC7A16" w:rsidP="00FC7A16">
      <w:pPr>
        <w:pStyle w:val="Version"/>
        <w:sectPr w:rsidSect="001A2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EEC" w:rsidP="001A2EEC">
      <w:pPr>
        <w:pStyle w:val="SuperHeading"/>
      </w:pPr>
      <w:r w:rsidRPr="001A2EEC">
        <w:t>Assessment Requirements for CUAPRF611 Extend musical theatre performance techniques to a professional level</w:t>
      </w:r>
    </w:p>
    <w:p w:rsidR="00000000" w:rsidRPr="001A2EEC" w:rsidP="001A2EEC">
      <w:pPr>
        <w:pStyle w:val="Heading1"/>
      </w:pPr>
      <w:bookmarkStart w:id="1" w:name="O_1146749"/>
      <w:bookmarkEnd w:id="1"/>
      <w:r w:rsidRPr="001A2E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2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EC" w:rsidP="001A2EEC">
            <w:pPr>
              <w:pStyle w:val="BodyText"/>
            </w:pPr>
            <w:r w:rsidRPr="001A2EE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EC">
            <w:pPr>
              <w:pStyle w:val="BodyText"/>
              <w:rPr>
                <w:lang w:val="en-NZ"/>
              </w:rPr>
            </w:pPr>
            <w:r w:rsidRPr="001A2EEC">
              <w:rPr>
                <w:rStyle w:val="SpecialBold"/>
              </w:rPr>
              <w:t>Comments</w:t>
            </w:r>
          </w:p>
        </w:tc>
      </w:tr>
      <w:tr w:rsidTr="001A2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EC">
            <w:pPr>
              <w:pStyle w:val="BodyText"/>
              <w:rPr>
                <w:lang w:val="en-NZ"/>
              </w:rPr>
            </w:pPr>
            <w:r w:rsidRPr="001A2EE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EC" w:rsidP="001A2EEC">
            <w:pPr>
              <w:pStyle w:val="BodyText"/>
            </w:pPr>
            <w:r w:rsidRPr="001A2EEC">
              <w:t>This version first released with CUA Creative Arts and Culture Training Package Version 5.0.</w:t>
            </w:r>
          </w:p>
        </w:tc>
      </w:tr>
    </w:tbl>
    <w:p w:rsidR="00000000" w:rsidRPr="001A2EEC" w:rsidP="001A2EEC">
      <w:pPr>
        <w:pStyle w:val="BodyText"/>
      </w:pPr>
    </w:p>
    <w:p w:rsidR="00000000" w:rsidRPr="001A2EEC" w:rsidP="001A2EEC">
      <w:pPr>
        <w:pStyle w:val="AllowPageBreak"/>
      </w:pPr>
    </w:p>
    <w:p w:rsidR="00000000" w:rsidRPr="001A2EEC" w:rsidP="001A2EEC">
      <w:pPr>
        <w:pStyle w:val="Heading1"/>
      </w:pPr>
      <w:bookmarkStart w:id="2" w:name="O_1146752"/>
      <w:bookmarkEnd w:id="2"/>
      <w:r w:rsidRPr="001A2EEC">
        <w:t>Performance Evidence</w:t>
      </w:r>
    </w:p>
    <w:p w:rsidR="00000000" w:rsidRPr="001A2EEC" w:rsidP="00FC7A16">
      <w:pPr>
        <w:pStyle w:val="BodyText"/>
      </w:pPr>
      <w:r w:rsidRPr="001A2EEC">
        <w:t>The candidate must demonstrate the ability to complete the tasks outlined in the elements, performance criteria and found</w:t>
      </w:r>
      <w:r w:rsidRPr="001A2EEC">
        <w:t>ation skills of this unit, including evidence of the ability to:</w:t>
      </w:r>
    </w:p>
    <w:p w:rsidR="00000000" w:rsidRPr="001A2EEC" w:rsidP="001A2EEC">
      <w:pPr>
        <w:pStyle w:val="ListBullet"/>
      </w:pPr>
      <w:r w:rsidRPr="001A2EEC">
        <w:t>integrate knowledge, technique and creativity in singing, acting and dancing at an advanced level in at least three musical theatre performances.</w:t>
      </w:r>
    </w:p>
    <w:p w:rsidR="00000000" w:rsidRPr="001A2EEC" w:rsidP="001A2EEC">
      <w:pPr>
        <w:pStyle w:val="List"/>
      </w:pPr>
    </w:p>
    <w:p w:rsidR="00000000" w:rsidRPr="001A2EEC" w:rsidP="00FC7A16">
      <w:pPr>
        <w:pStyle w:val="BodyText"/>
      </w:pPr>
      <w:r w:rsidRPr="001A2EEC">
        <w:t>In the course of the above, the candidate must:</w:t>
      </w:r>
    </w:p>
    <w:p w:rsidR="00000000" w:rsidRPr="001A2EEC" w:rsidP="001A2EEC">
      <w:pPr>
        <w:pStyle w:val="ListBullet"/>
      </w:pPr>
      <w:r w:rsidRPr="001A2EEC">
        <w:t>clarify creative and artistic goals for characterisation and performance</w:t>
      </w:r>
    </w:p>
    <w:p w:rsidR="00000000" w:rsidRPr="001A2EEC" w:rsidP="001A2EEC">
      <w:pPr>
        <w:pStyle w:val="ListBullet"/>
      </w:pPr>
      <w:r w:rsidRPr="001A2EEC">
        <w:t>explore and experiment with advanced musical theatre performance techniques</w:t>
      </w:r>
    </w:p>
    <w:p w:rsidR="00000000" w:rsidRPr="001A2EEC" w:rsidP="001A2EEC">
      <w:pPr>
        <w:pStyle w:val="ListBullet"/>
      </w:pPr>
      <w:r w:rsidRPr="001A2EEC">
        <w:t>rehearse musical theatre performance effectively to achiev</w:t>
      </w:r>
      <w:r w:rsidRPr="001A2EEC">
        <w:t>e required performance standard</w:t>
      </w:r>
    </w:p>
    <w:p w:rsidR="00000000" w:rsidRPr="001A2EEC" w:rsidP="001A2EEC">
      <w:pPr>
        <w:pStyle w:val="ListBullet"/>
      </w:pPr>
      <w:r w:rsidRPr="001A2EEC">
        <w:t xml:space="preserve">improve own musical theatre performance and work ethic using constructive feedback </w:t>
      </w:r>
    </w:p>
    <w:p w:rsidR="00000000" w:rsidRPr="001A2EEC" w:rsidP="001A2EEC">
      <w:pPr>
        <w:pStyle w:val="ListBullet"/>
      </w:pPr>
      <w:r w:rsidRPr="001A2EEC">
        <w:t xml:space="preserve">communicate mood and style of performance pieces to audiences </w:t>
      </w:r>
    </w:p>
    <w:p w:rsidR="00000000" w:rsidRPr="001A2EEC" w:rsidP="001A2EEC">
      <w:pPr>
        <w:pStyle w:val="ListBullet"/>
      </w:pPr>
      <w:r w:rsidRPr="001A2EEC">
        <w:t>exhibit imagination, spontaneity and confidence in performances</w:t>
      </w:r>
    </w:p>
    <w:p w:rsidR="00000000" w:rsidRPr="001A2EEC" w:rsidP="001A2EEC">
      <w:pPr>
        <w:pStyle w:val="ListBullet"/>
      </w:pPr>
      <w:r w:rsidRPr="001A2EEC">
        <w:t xml:space="preserve">perform with </w:t>
      </w:r>
      <w:r w:rsidRPr="001A2EEC">
        <w:t>precision, style and strong stage presence</w:t>
      </w:r>
    </w:p>
    <w:p w:rsidR="00000000" w:rsidRPr="001A2EEC" w:rsidP="001A2EEC">
      <w:pPr>
        <w:pStyle w:val="ListBullet"/>
      </w:pPr>
      <w:r w:rsidRPr="001A2EEC">
        <w:t>discuss role requirements with required personnel</w:t>
      </w:r>
    </w:p>
    <w:p w:rsidR="00000000" w:rsidRPr="001A2EEC" w:rsidP="001A2EEC">
      <w:pPr>
        <w:pStyle w:val="ListBullet"/>
      </w:pPr>
      <w:r w:rsidRPr="001A2EEC">
        <w:t>demonstrate flexibility when reacting to performance contingencies.</w:t>
      </w:r>
    </w:p>
    <w:p w:rsidR="00000000" w:rsidRPr="001A2EEC" w:rsidP="001A2EEC">
      <w:pPr>
        <w:pStyle w:val="AllowPageBreak"/>
      </w:pPr>
    </w:p>
    <w:p w:rsidR="00000000" w:rsidRPr="001A2EEC" w:rsidP="001A2EEC">
      <w:pPr>
        <w:pStyle w:val="Heading1"/>
      </w:pPr>
      <w:bookmarkStart w:id="3" w:name="O_1146751"/>
      <w:bookmarkEnd w:id="3"/>
      <w:r w:rsidRPr="001A2EEC">
        <w:t>Knowledge Evidence</w:t>
      </w:r>
    </w:p>
    <w:p w:rsidR="00000000" w:rsidRPr="001A2EEC" w:rsidP="00FC7A16">
      <w:pPr>
        <w:pStyle w:val="BodyText"/>
      </w:pPr>
      <w:r w:rsidRPr="001A2EEC">
        <w:t>The candidate must be able to demonstrate knowledge to co</w:t>
      </w:r>
      <w:r w:rsidRPr="001A2EEC">
        <w:t>mplete the tasks outlined in the elements, performance criteria and foundation skills of this unit, including knowledge of:</w:t>
      </w:r>
    </w:p>
    <w:p w:rsidR="00000000" w:rsidRPr="001A2EEC" w:rsidP="001A2EEC">
      <w:pPr>
        <w:pStyle w:val="ListBullet"/>
      </w:pPr>
      <w:r w:rsidRPr="001A2EEC">
        <w:t>relationship between acting, singing, dancing and movement in a musical theatre performance context</w:t>
      </w:r>
    </w:p>
    <w:p w:rsidR="00000000" w:rsidRPr="001A2EEC" w:rsidP="001A2EEC">
      <w:pPr>
        <w:pStyle w:val="ListBullet"/>
      </w:pPr>
      <w:r w:rsidRPr="001A2EEC">
        <w:t>tools and techniques used to an</w:t>
      </w:r>
      <w:r w:rsidRPr="001A2EEC">
        <w:t>alyse performances and improve own technique</w:t>
      </w:r>
    </w:p>
    <w:p w:rsidR="00000000" w:rsidRPr="001A2EEC" w:rsidP="001A2EEC">
      <w:pPr>
        <w:pStyle w:val="ListBullet"/>
      </w:pPr>
      <w:r w:rsidRPr="001A2EEC">
        <w:t xml:space="preserve">accepted industry practices for safe dance and general work ethic </w:t>
      </w:r>
    </w:p>
    <w:p w:rsidR="00000000" w:rsidRPr="001A2EEC" w:rsidP="001A2EEC">
      <w:pPr>
        <w:pStyle w:val="ListBullet"/>
      </w:pPr>
      <w:r w:rsidRPr="001A2EEC">
        <w:t>strategies to overcome performance anxiety</w:t>
      </w:r>
    </w:p>
    <w:p w:rsidR="00000000" w:rsidRPr="001A2EEC" w:rsidP="001A2EEC">
      <w:pPr>
        <w:pStyle w:val="ListBullet"/>
      </w:pPr>
      <w:r w:rsidRPr="001A2EEC">
        <w:t>influential theorists, choreographers and directors in musical theatre</w:t>
      </w:r>
    </w:p>
    <w:p w:rsidR="00000000" w:rsidRPr="001A2EEC" w:rsidP="001A2EEC">
      <w:pPr>
        <w:pStyle w:val="ListBullet"/>
      </w:pPr>
      <w:r w:rsidRPr="001A2EEC">
        <w:t>distinguishing characteristics</w:t>
      </w:r>
      <w:r w:rsidRPr="001A2EEC">
        <w:t xml:space="preserve"> and main historical aspects of musical theatre</w:t>
      </w:r>
    </w:p>
    <w:p w:rsidR="00000000" w:rsidRPr="001A2EEC" w:rsidP="001A2EEC">
      <w:pPr>
        <w:pStyle w:val="ListBullet"/>
      </w:pPr>
      <w:r w:rsidRPr="001A2EEC">
        <w:t>health and safety requirements relevant to performing live before audiences</w:t>
      </w:r>
    </w:p>
    <w:p w:rsidR="00000000" w:rsidRPr="001A2EEC" w:rsidP="001A2EEC">
      <w:pPr>
        <w:pStyle w:val="ListBullet"/>
      </w:pPr>
      <w:r w:rsidRPr="001A2EEC">
        <w:t>key aspects of the following, relating to musical theatre performances:</w:t>
      </w:r>
    </w:p>
    <w:p w:rsidR="00000000" w:rsidRPr="001A2EEC" w:rsidP="001A2EEC">
      <w:pPr>
        <w:pStyle w:val="ListBullet2"/>
      </w:pPr>
      <w:r w:rsidRPr="001A2EEC">
        <w:t>moral, social, physical and psychological issues associated with characterisation</w:t>
      </w:r>
    </w:p>
    <w:p w:rsidR="00000000" w:rsidRPr="001A2EEC" w:rsidP="001A2EEC">
      <w:pPr>
        <w:pStyle w:val="ListBullet2"/>
      </w:pPr>
      <w:r w:rsidRPr="001A2EEC">
        <w:t>alignment, breath and techniques for the release of tension</w:t>
      </w:r>
    </w:p>
    <w:p w:rsidR="00000000" w:rsidRPr="001A2EEC" w:rsidP="001A2EEC">
      <w:pPr>
        <w:pStyle w:val="ListBullet2"/>
      </w:pPr>
      <w:r w:rsidRPr="001A2EEC">
        <w:t>naturalistic and non-naturalistic performance styles</w:t>
      </w:r>
    </w:p>
    <w:p w:rsidR="00000000" w:rsidRPr="001A2EEC" w:rsidP="001A2EEC">
      <w:pPr>
        <w:pStyle w:val="ListBullet2"/>
      </w:pPr>
      <w:r w:rsidRPr="001A2EEC">
        <w:t>effect of voice and vocal processes on audiences</w:t>
      </w:r>
    </w:p>
    <w:p w:rsidR="00000000" w:rsidRPr="001A2EEC" w:rsidP="001A2EEC">
      <w:pPr>
        <w:pStyle w:val="ListBullet2"/>
      </w:pPr>
      <w:r w:rsidRPr="001A2EEC">
        <w:t>acting, sing</w:t>
      </w:r>
      <w:r w:rsidRPr="001A2EEC">
        <w:t>ing and dancing techniques and terminology</w:t>
      </w:r>
    </w:p>
    <w:p w:rsidR="00000000" w:rsidRPr="001A2EEC" w:rsidP="001A2EEC">
      <w:pPr>
        <w:pStyle w:val="ListBullet2"/>
      </w:pPr>
      <w:r w:rsidRPr="001A2EEC">
        <w:t>kinaesthetic awareness.</w:t>
      </w:r>
    </w:p>
    <w:p w:rsidR="00000000" w:rsidRPr="001A2EEC" w:rsidP="001A2EEC">
      <w:pPr>
        <w:pStyle w:val="AllowPageBreak"/>
      </w:pPr>
    </w:p>
    <w:p w:rsidR="00000000" w:rsidRPr="001A2EEC" w:rsidP="001A2EEC">
      <w:pPr>
        <w:pStyle w:val="Heading1"/>
      </w:pPr>
      <w:bookmarkStart w:id="4" w:name="O_1146750"/>
      <w:bookmarkEnd w:id="4"/>
      <w:r w:rsidRPr="001A2EEC">
        <w:t>Assessment Conditions</w:t>
      </w:r>
    </w:p>
    <w:p w:rsidR="00000000" w:rsidRPr="001A2EEC" w:rsidP="00FC7A16">
      <w:pPr>
        <w:pStyle w:val="BodyText"/>
      </w:pPr>
      <w:r w:rsidRPr="001A2EEC">
        <w:t xml:space="preserve">Skills in this unit must be demonstrated in a workplace or simulated environment where the conditions are typical of those in a working environment </w:t>
      </w:r>
      <w:r w:rsidRPr="001A2EEC">
        <w:t xml:space="preserve">in this industry. </w:t>
      </w:r>
    </w:p>
    <w:p w:rsidR="00000000" w:rsidRPr="001A2EEC" w:rsidP="00FC7A16">
      <w:pPr>
        <w:pStyle w:val="BodyText"/>
      </w:pPr>
      <w:r w:rsidRPr="001A2EEC">
        <w:t>This includes access to:</w:t>
      </w:r>
    </w:p>
    <w:p w:rsidR="00000000" w:rsidRPr="001A2EEC" w:rsidP="001A2EEC">
      <w:pPr>
        <w:pStyle w:val="ListBullet"/>
      </w:pPr>
      <w:r w:rsidRPr="001A2EEC">
        <w:t>opportunities for musical theatre performances</w:t>
      </w:r>
    </w:p>
    <w:p w:rsidR="00000000" w:rsidRPr="001A2EEC" w:rsidP="001A2EEC">
      <w:pPr>
        <w:pStyle w:val="ListBullet"/>
      </w:pPr>
      <w:r w:rsidRPr="001A2EEC">
        <w:t>rehearsal and performance spaces with required flooring for musical theatre performances.</w:t>
      </w:r>
    </w:p>
    <w:p w:rsidR="00000000" w:rsidRPr="001A2EEC" w:rsidP="001A2EEC">
      <w:pPr>
        <w:pStyle w:val="List"/>
      </w:pPr>
    </w:p>
    <w:p w:rsidR="00000000" w:rsidRPr="001A2EEC" w:rsidP="00FC7A16">
      <w:pPr>
        <w:pStyle w:val="BodyText"/>
      </w:pPr>
      <w:r w:rsidRPr="001A2EEC">
        <w:t>Assessors of this unit must satisfy the requirements for assessors in applicable vocational educational and training legislation, frameworks and/or standards.</w:t>
      </w:r>
    </w:p>
    <w:p w:rsidR="00000000" w:rsidRPr="001A2EEC" w:rsidP="001A2EEC">
      <w:pPr>
        <w:pStyle w:val="Heading1"/>
      </w:pPr>
      <w:bookmarkStart w:id="5" w:name="O_1146748"/>
      <w:bookmarkEnd w:id="5"/>
      <w:r w:rsidRPr="001A2EEC">
        <w:t>Links</w:t>
      </w:r>
    </w:p>
    <w:p w:rsidR="00000000" w:rsidRPr="001A2EEC" w:rsidP="00FC7A16">
      <w:pPr>
        <w:pStyle w:val="BodyText"/>
      </w:pPr>
      <w:r w:rsidRPr="001A2E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35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2EEC" w:rsidP="001A2EEC"/>
    <w:sectPr w:rsidSect="001A2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EC" w:rsidRPr="00FC7A16" w:rsidP="00FC7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6" w:rsidP="001A2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A16" w:rsidP="001A2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A16" w:rsidP="001A2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EEC" w:rsidRPr="00FC7A16" w:rsidP="00FC7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6" w:rsidRPr="002D2AF8" w:rsidP="001A2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CUAPRF611 Extend musical theatre performance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7A16" w:rsidP="001A2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8E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5E1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A9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EEC"/>
  </w:style>
  <w:style w:type="character" w:customStyle="1" w:styleId="Heading1Char">
    <w:name w:val="Heading 1 Char"/>
    <w:basedOn w:val="DefaultParagraphFont"/>
    <w:link w:val="Heading1"/>
    <w:rsid w:val="001A2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E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E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E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EEC"/>
    <w:rPr>
      <w:b/>
      <w:spacing w:val="0"/>
    </w:rPr>
  </w:style>
  <w:style w:type="paragraph" w:styleId="ListBullet2">
    <w:name w:val="List Bullet 2"/>
    <w:basedOn w:val="List2"/>
    <w:rsid w:val="001A2E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E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EEC"/>
    <w:rPr>
      <w:i/>
    </w:rPr>
  </w:style>
  <w:style w:type="paragraph" w:styleId="Caption">
    <w:name w:val="caption"/>
    <w:basedOn w:val="BodyText"/>
    <w:next w:val="Normal"/>
    <w:qFormat/>
    <w:rsid w:val="001A2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EEC"/>
  </w:style>
  <w:style w:type="paragraph" w:styleId="TableofFigures">
    <w:name w:val="table of figures"/>
    <w:basedOn w:val="Normal"/>
    <w:next w:val="Normal"/>
    <w:semiHidden/>
    <w:rsid w:val="001A2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E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EEC"/>
    <w:rPr>
      <w:rFonts w:ascii="Wingdings" w:hAnsi="Wingdings"/>
    </w:rPr>
  </w:style>
  <w:style w:type="paragraph" w:customStyle="1" w:styleId="TableHeading">
    <w:name w:val="Table Heading"/>
    <w:basedOn w:val="HeadingBase"/>
    <w:rsid w:val="001A2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EEC"/>
    <w:rPr>
      <w:color w:val="0033CC"/>
      <w:u w:val="none"/>
    </w:rPr>
  </w:style>
  <w:style w:type="paragraph" w:customStyle="1" w:styleId="BodyTextRight">
    <w:name w:val="Body Text Right"/>
    <w:basedOn w:val="BodyText"/>
    <w:rsid w:val="001A2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E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EEC"/>
    <w:rPr>
      <w:sz w:val="32"/>
    </w:rPr>
  </w:style>
  <w:style w:type="paragraph" w:customStyle="1" w:styleId="HeadingProcedure">
    <w:name w:val="Heading Procedure"/>
    <w:basedOn w:val="HeadingBase"/>
    <w:next w:val="Normal"/>
    <w:rsid w:val="001A2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EEC"/>
    <w:pPr>
      <w:spacing w:before="60" w:after="60"/>
    </w:pPr>
  </w:style>
  <w:style w:type="paragraph" w:styleId="ListContinue">
    <w:name w:val="List Continue"/>
    <w:basedOn w:val="List"/>
    <w:rsid w:val="001A2EEC"/>
    <w:pPr>
      <w:ind w:firstLine="0"/>
    </w:pPr>
  </w:style>
  <w:style w:type="paragraph" w:customStyle="1" w:styleId="ListNote">
    <w:name w:val="List Note"/>
    <w:basedOn w:val="List"/>
    <w:rsid w:val="001A2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EEC"/>
    <w:rPr>
      <w:rFonts w:ascii="Courier New" w:hAnsi="Courier New"/>
    </w:rPr>
  </w:style>
  <w:style w:type="paragraph" w:customStyle="1" w:styleId="NoteBullet">
    <w:name w:val="Note Bullet"/>
    <w:basedOn w:val="Note"/>
    <w:rsid w:val="001A2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E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EEC"/>
    <w:rPr>
      <w:b/>
      <w:smallCaps/>
    </w:rPr>
  </w:style>
  <w:style w:type="paragraph" w:customStyle="1" w:styleId="TableListNumber">
    <w:name w:val="Table List Number"/>
    <w:basedOn w:val="ListNumber"/>
    <w:rsid w:val="001A2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EEC"/>
    <w:pPr>
      <w:numPr>
        <w:numId w:val="9"/>
      </w:numPr>
    </w:pPr>
  </w:style>
  <w:style w:type="paragraph" w:customStyle="1" w:styleId="ListAlpha2">
    <w:name w:val="List Alpha 2"/>
    <w:basedOn w:val="List2"/>
    <w:rsid w:val="001A2EEC"/>
    <w:pPr>
      <w:numPr>
        <w:numId w:val="8"/>
      </w:numPr>
    </w:pPr>
  </w:style>
  <w:style w:type="paragraph" w:styleId="List2">
    <w:name w:val="List 2"/>
    <w:basedOn w:val="BodyText"/>
    <w:rsid w:val="001A2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E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E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EEC"/>
    <w:pPr>
      <w:numPr>
        <w:numId w:val="4"/>
      </w:numPr>
    </w:pPr>
  </w:style>
  <w:style w:type="paragraph" w:styleId="ListContinue2">
    <w:name w:val="List Continue 2"/>
    <w:basedOn w:val="List2"/>
    <w:rsid w:val="001A2EEC"/>
    <w:pPr>
      <w:ind w:firstLine="0"/>
    </w:pPr>
  </w:style>
  <w:style w:type="paragraph" w:styleId="ListContinue3">
    <w:name w:val="List Continue 3"/>
    <w:basedOn w:val="List3"/>
    <w:rsid w:val="001A2EEC"/>
    <w:pPr>
      <w:ind w:left="1021" w:firstLine="0"/>
    </w:pPr>
  </w:style>
  <w:style w:type="paragraph" w:styleId="ListContinue4">
    <w:name w:val="List Continue 4"/>
    <w:basedOn w:val="List4"/>
    <w:rsid w:val="001A2EEC"/>
    <w:pPr>
      <w:ind w:firstLine="0"/>
    </w:pPr>
  </w:style>
  <w:style w:type="paragraph" w:styleId="ListContinue5">
    <w:name w:val="List Continue 5"/>
    <w:basedOn w:val="List5"/>
    <w:rsid w:val="001A2EEC"/>
    <w:pPr>
      <w:ind w:firstLine="0"/>
    </w:pPr>
  </w:style>
  <w:style w:type="paragraph" w:styleId="ListNumber3">
    <w:name w:val="List Number 3"/>
    <w:basedOn w:val="List3"/>
    <w:rsid w:val="001A2EEC"/>
    <w:pPr>
      <w:numPr>
        <w:numId w:val="5"/>
      </w:numPr>
    </w:pPr>
  </w:style>
  <w:style w:type="paragraph" w:styleId="ListNumber4">
    <w:name w:val="List Number 4"/>
    <w:basedOn w:val="List4"/>
    <w:rsid w:val="001A2EEC"/>
    <w:pPr>
      <w:numPr>
        <w:numId w:val="6"/>
      </w:numPr>
    </w:pPr>
  </w:style>
  <w:style w:type="paragraph" w:styleId="ListNumber5">
    <w:name w:val="List Number 5"/>
    <w:basedOn w:val="List5"/>
    <w:rsid w:val="001A2EEC"/>
    <w:pPr>
      <w:numPr>
        <w:numId w:val="7"/>
      </w:numPr>
    </w:pPr>
  </w:style>
  <w:style w:type="paragraph" w:styleId="BlockText">
    <w:name w:val="Block Text"/>
    <w:basedOn w:val="Normal"/>
    <w:rsid w:val="001A2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EEC"/>
    <w:rPr>
      <w:sz w:val="16"/>
      <w:vertAlign w:val="superscript"/>
    </w:rPr>
  </w:style>
  <w:style w:type="character" w:customStyle="1" w:styleId="Symbols">
    <w:name w:val="Symbols"/>
    <w:basedOn w:val="DefaultParagraphFont"/>
    <w:rsid w:val="001A2EEC"/>
    <w:rPr>
      <w:rFonts w:ascii="Symbol" w:hAnsi="Symbol"/>
    </w:rPr>
  </w:style>
  <w:style w:type="character" w:customStyle="1" w:styleId="MenuOptions">
    <w:name w:val="Menu Options"/>
    <w:basedOn w:val="DefaultParagraphFont"/>
    <w:rsid w:val="001A2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EEC"/>
    <w:rPr>
      <w:b/>
    </w:rPr>
  </w:style>
  <w:style w:type="character" w:customStyle="1" w:styleId="Underlined">
    <w:name w:val="Underlined"/>
    <w:basedOn w:val="DefaultParagraphFont"/>
    <w:rsid w:val="001A2EEC"/>
    <w:rPr>
      <w:u w:val="single"/>
    </w:rPr>
  </w:style>
  <w:style w:type="paragraph" w:customStyle="1" w:styleId="TableBodyTextRight">
    <w:name w:val="Table Body Text Right"/>
    <w:basedOn w:val="TableBodyText"/>
    <w:rsid w:val="001A2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EEC"/>
    <w:rPr>
      <w:sz w:val="18"/>
    </w:rPr>
  </w:style>
  <w:style w:type="paragraph" w:customStyle="1" w:styleId="BodySmallRight">
    <w:name w:val="Body Small Right"/>
    <w:basedOn w:val="BodyTextRight"/>
    <w:rsid w:val="001A2EEC"/>
    <w:rPr>
      <w:sz w:val="18"/>
      <w:szCs w:val="18"/>
    </w:rPr>
  </w:style>
  <w:style w:type="paragraph" w:customStyle="1" w:styleId="MarginEdition">
    <w:name w:val="Margin Edition"/>
    <w:basedOn w:val="MarginNote"/>
    <w:rsid w:val="001A2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EEC"/>
    <w:rPr>
      <w:sz w:val="2"/>
      <w:szCs w:val="2"/>
    </w:rPr>
  </w:style>
  <w:style w:type="character" w:customStyle="1" w:styleId="Small">
    <w:name w:val="Small"/>
    <w:basedOn w:val="DefaultParagraphFont"/>
    <w:rsid w:val="001A2EEC"/>
    <w:rPr>
      <w:sz w:val="16"/>
    </w:rPr>
  </w:style>
  <w:style w:type="paragraph" w:customStyle="1" w:styleId="WideTable">
    <w:name w:val="Wide Table"/>
    <w:basedOn w:val="Normal"/>
    <w:rsid w:val="001A2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EEC"/>
  </w:style>
  <w:style w:type="paragraph" w:styleId="Quote">
    <w:name w:val="Quote"/>
    <w:basedOn w:val="Heading1"/>
    <w:link w:val="QuoteChar"/>
    <w:qFormat/>
    <w:rsid w:val="001A2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EEC"/>
    <w:pPr>
      <w:pageBreakBefore/>
    </w:pPr>
  </w:style>
  <w:style w:type="paragraph" w:customStyle="1" w:styleId="Border">
    <w:name w:val="Border"/>
    <w:basedOn w:val="Normal"/>
    <w:qFormat/>
    <w:rsid w:val="001A2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EEC"/>
    <w:rPr>
      <w:u w:val="single"/>
    </w:rPr>
  </w:style>
  <w:style w:type="character" w:customStyle="1" w:styleId="BoldandItalics">
    <w:name w:val="Bold and Italics"/>
    <w:qFormat/>
    <w:rsid w:val="001A2EEC"/>
    <w:rPr>
      <w:b/>
      <w:i/>
      <w:u w:val="none"/>
    </w:rPr>
  </w:style>
  <w:style w:type="paragraph" w:styleId="BalloonText">
    <w:name w:val="Balloon Text"/>
    <w:basedOn w:val="Normal"/>
    <w:link w:val="BalloonTextChar"/>
    <w:rsid w:val="001A2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EEC"/>
    <w:pPr>
      <w:spacing w:before="0" w:after="0"/>
    </w:pPr>
  </w:style>
  <w:style w:type="paragraph" w:customStyle="1" w:styleId="BodyTextBold">
    <w:name w:val="Body Text Bold"/>
    <w:basedOn w:val="BodyText"/>
    <w:qFormat/>
    <w:rsid w:val="001A2EEC"/>
    <w:rPr>
      <w:b/>
    </w:rPr>
  </w:style>
  <w:style w:type="character" w:styleId="Hyperlink">
    <w:name w:val="Hyperlink"/>
    <w:basedOn w:val="DefaultParagraphFont"/>
    <w:uiPriority w:val="99"/>
    <w:unhideWhenUsed/>
    <w:rsid w:val="00FC7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2909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CUAPRF611 Extend musical theatre performance techniques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