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7DF2" w:rsidP="00707D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CUAPRF504 Refine musical theatre techniques</w:t>
      </w:r>
      <w:r>
        <w:fldChar w:fldCharType="end"/>
      </w:r>
    </w:p>
    <w:p w:rsidR="00707DF2" w:rsidP="00707DF2">
      <w:pPr>
        <w:pStyle w:val="Version"/>
        <w:sectPr w:rsidSect="00B53E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53E9C" w:rsidP="00B53E9C">
      <w:pPr>
        <w:pStyle w:val="SuperHeading"/>
      </w:pPr>
      <w:r w:rsidRPr="00B53E9C">
        <w:t>Assessment Requirements for CUAPRF504 Refine musical theatre techniques</w:t>
      </w:r>
    </w:p>
    <w:p w:rsidR="00000000" w:rsidRPr="00B53E9C" w:rsidP="00B53E9C">
      <w:pPr>
        <w:pStyle w:val="Heading1"/>
      </w:pPr>
      <w:bookmarkStart w:id="1" w:name="O_809634"/>
      <w:bookmarkEnd w:id="1"/>
      <w:r w:rsidRPr="00B53E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53E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E9C" w:rsidP="00B53E9C">
            <w:pPr>
              <w:pStyle w:val="BodyText"/>
            </w:pPr>
            <w:r w:rsidRPr="00B53E9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9C">
            <w:pPr>
              <w:pStyle w:val="BodyText"/>
              <w:rPr>
                <w:lang w:val="en-NZ"/>
              </w:rPr>
            </w:pPr>
            <w:r w:rsidRPr="00B53E9C">
              <w:rPr>
                <w:rStyle w:val="SpecialBold"/>
              </w:rPr>
              <w:t>Comments</w:t>
            </w:r>
          </w:p>
        </w:tc>
      </w:tr>
      <w:tr w:rsidTr="00B53E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9C">
            <w:pPr>
              <w:pStyle w:val="BodyText"/>
              <w:rPr>
                <w:lang w:val="en-NZ"/>
              </w:rPr>
            </w:pPr>
            <w:r w:rsidRPr="00B53E9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9C">
            <w:pPr>
              <w:pStyle w:val="BodyText"/>
              <w:rPr>
                <w:lang w:val="en-NZ"/>
              </w:rPr>
            </w:pPr>
            <w:r w:rsidRPr="00B53E9C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B53E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9C">
            <w:pPr>
              <w:pStyle w:val="BodyText"/>
              <w:rPr>
                <w:lang w:val="en-NZ"/>
              </w:rPr>
            </w:pPr>
            <w:r w:rsidRPr="00B53E9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E9C" w:rsidP="00B53E9C">
            <w:pPr>
              <w:pStyle w:val="BodyText"/>
            </w:pPr>
            <w:r w:rsidRPr="00B53E9C">
              <w:t xml:space="preserve">This version first released with CUA </w:t>
            </w:r>
            <w:r w:rsidRPr="00B53E9C">
              <w:t>Creative Arts and Culture Training Package version 1.0.</w:t>
            </w:r>
          </w:p>
        </w:tc>
      </w:tr>
    </w:tbl>
    <w:p w:rsidR="00000000" w:rsidRPr="00B53E9C" w:rsidP="00B53E9C">
      <w:pPr>
        <w:pStyle w:val="BodyText"/>
      </w:pPr>
    </w:p>
    <w:p w:rsidR="00000000" w:rsidRPr="00B53E9C" w:rsidP="00B53E9C">
      <w:pPr>
        <w:pStyle w:val="AllowPageBreak"/>
      </w:pPr>
    </w:p>
    <w:p w:rsidR="00000000" w:rsidRPr="00B53E9C" w:rsidP="00B53E9C">
      <w:pPr>
        <w:pStyle w:val="Heading1"/>
      </w:pPr>
      <w:bookmarkStart w:id="2" w:name="O_809633"/>
      <w:bookmarkEnd w:id="2"/>
      <w:r w:rsidRPr="00B53E9C">
        <w:t>Performance Evidence</w:t>
      </w:r>
    </w:p>
    <w:p w:rsidR="00000000" w:rsidRPr="00B53E9C" w:rsidP="00707DF2">
      <w:pPr>
        <w:pStyle w:val="BodyText"/>
      </w:pPr>
      <w:r w:rsidRPr="00B53E9C">
        <w:t>Evidence of the ability to:</w:t>
      </w:r>
    </w:p>
    <w:p w:rsidR="00000000" w:rsidRPr="00B53E9C" w:rsidP="00B53E9C">
      <w:pPr>
        <w:pStyle w:val="ListBullet"/>
      </w:pPr>
      <w:r w:rsidRPr="00B53E9C">
        <w:t>maintain an effective physical conditioning program</w:t>
      </w:r>
    </w:p>
    <w:p w:rsidR="00000000" w:rsidRPr="00B53E9C" w:rsidP="00B53E9C">
      <w:pPr>
        <w:pStyle w:val="ListBullet"/>
      </w:pPr>
      <w:r w:rsidRPr="00B53E9C">
        <w:t>explore and practise a range of singing and vocal techniques for musical theatre performance</w:t>
      </w:r>
    </w:p>
    <w:p w:rsidR="00000000" w:rsidRPr="00B53E9C" w:rsidP="00B53E9C">
      <w:pPr>
        <w:pStyle w:val="ListBullet"/>
      </w:pPr>
      <w:r w:rsidRPr="00B53E9C">
        <w:t>successfully perform a musical theatre role by integrating singing, dancing and acting techniques</w:t>
      </w:r>
    </w:p>
    <w:p w:rsidR="00000000" w:rsidRPr="00B53E9C" w:rsidP="00B53E9C">
      <w:pPr>
        <w:pStyle w:val="ListBullet"/>
      </w:pPr>
      <w:r w:rsidRPr="00B53E9C">
        <w:t>maintain own expertise in musical theatre performance skills.</w:t>
      </w:r>
    </w:p>
    <w:p w:rsidR="00000000" w:rsidRPr="00B53E9C" w:rsidP="00B53E9C">
      <w:pPr>
        <w:pStyle w:val="BodyText"/>
      </w:pPr>
    </w:p>
    <w:p w:rsidR="00000000" w:rsidRPr="00B53E9C" w:rsidP="00707DF2">
      <w:pPr>
        <w:pStyle w:val="BodyText"/>
      </w:pPr>
      <w:r w:rsidRPr="00B53E9C">
        <w:t>No</w:t>
      </w:r>
      <w:r w:rsidRPr="00B53E9C">
        <w:t>te: If a specific volume or frequency is not stated, then evidence must be provided for each of the above points at least once.</w:t>
      </w:r>
    </w:p>
    <w:p w:rsidR="00000000" w:rsidRPr="00B53E9C" w:rsidP="00B53E9C">
      <w:pPr>
        <w:pStyle w:val="Heading1"/>
      </w:pPr>
      <w:bookmarkStart w:id="3" w:name="O_809632"/>
      <w:bookmarkEnd w:id="3"/>
      <w:r w:rsidRPr="00B53E9C">
        <w:t>Knowledge Evidence</w:t>
      </w:r>
    </w:p>
    <w:p w:rsidR="00000000" w:rsidRPr="00B53E9C" w:rsidP="00707DF2">
      <w:pPr>
        <w:pStyle w:val="BodyText"/>
      </w:pPr>
      <w:r w:rsidRPr="00B53E9C">
        <w:t>To complete the unit requirements the individual must:</w:t>
      </w:r>
    </w:p>
    <w:p w:rsidR="00000000" w:rsidRPr="00B53E9C" w:rsidP="00B53E9C">
      <w:pPr>
        <w:pStyle w:val="ListBullet"/>
      </w:pPr>
      <w:r w:rsidRPr="00B53E9C">
        <w:t>explain how the following principle</w:t>
      </w:r>
      <w:r w:rsidRPr="00B53E9C">
        <w:t>s relate to physical movements and dance techniques:</w:t>
      </w:r>
    </w:p>
    <w:p w:rsidR="00000000" w:rsidRPr="00B53E9C" w:rsidP="00B53E9C">
      <w:pPr>
        <w:pStyle w:val="ListBullet2"/>
      </w:pPr>
      <w:r w:rsidRPr="00B53E9C">
        <w:t>relationship with gravity</w:t>
      </w:r>
    </w:p>
    <w:p w:rsidR="00000000" w:rsidRPr="00B53E9C" w:rsidP="00B53E9C">
      <w:pPr>
        <w:pStyle w:val="ListBullet2"/>
      </w:pPr>
      <w:r w:rsidRPr="00B53E9C">
        <w:t>spatial awareness</w:t>
      </w:r>
    </w:p>
    <w:p w:rsidR="00000000" w:rsidRPr="00B53E9C" w:rsidP="00B53E9C">
      <w:pPr>
        <w:pStyle w:val="ListBullet2"/>
      </w:pPr>
      <w:r w:rsidRPr="00B53E9C">
        <w:t>successional movement</w:t>
      </w:r>
    </w:p>
    <w:p w:rsidR="00000000" w:rsidRPr="00B53E9C" w:rsidP="00B53E9C">
      <w:pPr>
        <w:pStyle w:val="ListBullet2"/>
      </w:pPr>
      <w:r w:rsidRPr="00B53E9C">
        <w:t>use of breath</w:t>
      </w:r>
    </w:p>
    <w:p w:rsidR="00000000" w:rsidRPr="00B53E9C" w:rsidP="00B53E9C">
      <w:pPr>
        <w:pStyle w:val="ListBullet2"/>
      </w:pPr>
      <w:r w:rsidRPr="00B53E9C">
        <w:t>folding</w:t>
      </w:r>
    </w:p>
    <w:p w:rsidR="00000000" w:rsidRPr="00B53E9C" w:rsidP="00B53E9C">
      <w:pPr>
        <w:pStyle w:val="ListBullet2"/>
      </w:pPr>
      <w:r w:rsidRPr="00B53E9C">
        <w:t>extending</w:t>
      </w:r>
    </w:p>
    <w:p w:rsidR="00000000" w:rsidRPr="00B53E9C" w:rsidP="00B53E9C">
      <w:pPr>
        <w:pStyle w:val="ListBullet2"/>
      </w:pPr>
      <w:r w:rsidRPr="00B53E9C">
        <w:t>rotating</w:t>
      </w:r>
    </w:p>
    <w:p w:rsidR="00000000" w:rsidRPr="00B53E9C" w:rsidP="00B53E9C">
      <w:pPr>
        <w:pStyle w:val="ListBullet2"/>
      </w:pPr>
      <w:r w:rsidRPr="00B53E9C">
        <w:t>shifting weight</w:t>
      </w:r>
    </w:p>
    <w:p w:rsidR="00000000" w:rsidRPr="00B53E9C" w:rsidP="00B53E9C">
      <w:pPr>
        <w:pStyle w:val="ListBullet"/>
      </w:pPr>
      <w:r w:rsidRPr="00B53E9C">
        <w:t>explain principles underlying vocal techniques in a musical theatre performance context</w:t>
      </w:r>
    </w:p>
    <w:p w:rsidR="00000000" w:rsidRPr="00B53E9C" w:rsidP="00B53E9C">
      <w:pPr>
        <w:pStyle w:val="ListBullet"/>
      </w:pPr>
      <w:r w:rsidRPr="00B53E9C">
        <w:t>explain and demonstrate how the musical elements of time signatures, beat, tempo and syncopation apply to performing in musical theatre</w:t>
      </w:r>
    </w:p>
    <w:p w:rsidR="00000000" w:rsidRPr="00B53E9C" w:rsidP="00B53E9C">
      <w:pPr>
        <w:pStyle w:val="ListBullet"/>
      </w:pPr>
      <w:r w:rsidRPr="00B53E9C">
        <w:t>demonstrate knowledge of:</w:t>
      </w:r>
    </w:p>
    <w:p w:rsidR="00000000" w:rsidRPr="00B53E9C" w:rsidP="00B53E9C">
      <w:pPr>
        <w:pStyle w:val="ListBullet2"/>
      </w:pPr>
      <w:r w:rsidRPr="00B53E9C">
        <w:t>key t</w:t>
      </w:r>
      <w:r w:rsidRPr="00B53E9C">
        <w:t>heorists, choreographers and directors in musical theatre</w:t>
      </w:r>
    </w:p>
    <w:p w:rsidR="00000000" w:rsidRPr="00B53E9C" w:rsidP="00B53E9C">
      <w:pPr>
        <w:pStyle w:val="ListBullet2"/>
      </w:pPr>
      <w:r w:rsidRPr="00B53E9C">
        <w:t>distinguishing characteristics and main historical aspects of musical theatre</w:t>
      </w:r>
    </w:p>
    <w:p w:rsidR="00000000" w:rsidRPr="00B53E9C" w:rsidP="00B53E9C">
      <w:pPr>
        <w:pStyle w:val="ListBullet2"/>
      </w:pPr>
      <w:r w:rsidRPr="00B53E9C">
        <w:t>health and safety requirements relevant to performing live before audiences</w:t>
      </w:r>
    </w:p>
    <w:p w:rsidR="00000000" w:rsidRPr="00B53E9C" w:rsidP="00B53E9C">
      <w:pPr>
        <w:pStyle w:val="ListBullet"/>
      </w:pPr>
      <w:r w:rsidRPr="00B53E9C">
        <w:t>in relation to musical theatre, describe ke</w:t>
      </w:r>
      <w:r w:rsidRPr="00B53E9C">
        <w:t>y aspects of the following:</w:t>
      </w:r>
    </w:p>
    <w:p w:rsidR="00000000" w:rsidRPr="00B53E9C" w:rsidP="00B53E9C">
      <w:pPr>
        <w:pStyle w:val="ListBullet2"/>
      </w:pPr>
      <w:r w:rsidRPr="00B53E9C">
        <w:t>moral, social, physical and psychological issues associated with characterisation</w:t>
      </w:r>
    </w:p>
    <w:p w:rsidR="00000000" w:rsidRPr="00B53E9C" w:rsidP="00B53E9C">
      <w:pPr>
        <w:pStyle w:val="ListBullet2"/>
      </w:pPr>
      <w:r w:rsidRPr="00B53E9C">
        <w:t>principles underlying vocal techniques</w:t>
      </w:r>
    </w:p>
    <w:p w:rsidR="00000000" w:rsidRPr="00B53E9C" w:rsidP="00B53E9C">
      <w:pPr>
        <w:pStyle w:val="ListBullet2"/>
      </w:pPr>
      <w:r w:rsidRPr="00B53E9C">
        <w:t>effect of voice and vocal processes on audiences</w:t>
      </w:r>
    </w:p>
    <w:p w:rsidR="00000000" w:rsidRPr="00B53E9C" w:rsidP="00B53E9C">
      <w:pPr>
        <w:pStyle w:val="ListBullet2"/>
      </w:pPr>
      <w:r w:rsidRPr="00B53E9C">
        <w:t>acting, singing and dancing techniques and terminology</w:t>
      </w:r>
    </w:p>
    <w:p w:rsidR="00000000" w:rsidRPr="00B53E9C" w:rsidP="00B53E9C">
      <w:pPr>
        <w:pStyle w:val="ListBullet2"/>
      </w:pPr>
      <w:r w:rsidRPr="00B53E9C">
        <w:t>kinaesthetic awareness</w:t>
      </w:r>
    </w:p>
    <w:p w:rsidR="00000000" w:rsidRPr="00B53E9C" w:rsidP="00B53E9C">
      <w:pPr>
        <w:pStyle w:val="ListBullet2"/>
      </w:pPr>
      <w:r w:rsidRPr="00B53E9C">
        <w:t>relationship between performers and audiences.</w:t>
      </w:r>
    </w:p>
    <w:p w:rsidR="00000000" w:rsidRPr="00B53E9C" w:rsidP="00B53E9C">
      <w:pPr>
        <w:pStyle w:val="AllowPageBreak"/>
      </w:pPr>
    </w:p>
    <w:p w:rsidR="00000000" w:rsidRPr="00B53E9C" w:rsidP="00B53E9C">
      <w:pPr>
        <w:pStyle w:val="Heading1"/>
      </w:pPr>
      <w:bookmarkStart w:id="4" w:name="O_809631"/>
      <w:bookmarkEnd w:id="4"/>
      <w:r w:rsidRPr="00B53E9C">
        <w:t>Assessment Conditions</w:t>
      </w:r>
    </w:p>
    <w:p w:rsidR="00000000" w:rsidRPr="00B53E9C" w:rsidP="00707DF2">
      <w:pPr>
        <w:pStyle w:val="BodyText"/>
      </w:pPr>
      <w:r w:rsidRPr="00B53E9C">
        <w:t>Assessment must be conducted in a safe environment where evidence gathered demonstrates consistent performance of typical activities experienced in</w:t>
      </w:r>
      <w:r w:rsidRPr="00B53E9C">
        <w:t xml:space="preserve"> creative arts industry environments. The assessment environment must include access to: </w:t>
      </w:r>
    </w:p>
    <w:p w:rsidR="00000000" w:rsidRPr="00B53E9C" w:rsidP="00B53E9C">
      <w:pPr>
        <w:pStyle w:val="ListBullet"/>
      </w:pPr>
      <w:r w:rsidRPr="00B53E9C">
        <w:t>rehearsal and performance spaces with appropriate flooring</w:t>
      </w:r>
    </w:p>
    <w:p w:rsidR="00000000" w:rsidRPr="00B53E9C" w:rsidP="00B53E9C">
      <w:pPr>
        <w:pStyle w:val="ListBullet"/>
      </w:pPr>
      <w:r w:rsidRPr="00B53E9C">
        <w:t>relevant resources and equipment.</w:t>
      </w:r>
    </w:p>
    <w:p w:rsidR="00000000" w:rsidRPr="00B53E9C" w:rsidP="00B53E9C">
      <w:pPr>
        <w:pStyle w:val="BodyText"/>
      </w:pPr>
    </w:p>
    <w:p w:rsidR="00000000" w:rsidRPr="00B53E9C" w:rsidP="00707DF2">
      <w:pPr>
        <w:pStyle w:val="BodyText"/>
      </w:pPr>
      <w:r w:rsidRPr="00B53E9C">
        <w:t>Assessors of this unit must satisfy the requirements for assessors in a</w:t>
      </w:r>
      <w:r w:rsidRPr="00B53E9C">
        <w:t>pplicable vocational educational and training legislation, frameworks and/or standards.</w:t>
      </w:r>
    </w:p>
    <w:p w:rsidR="00000000" w:rsidRPr="00B53E9C" w:rsidP="00B53E9C">
      <w:pPr>
        <w:pStyle w:val="Heading1"/>
      </w:pPr>
      <w:bookmarkStart w:id="5" w:name="O_809643"/>
      <w:bookmarkEnd w:id="5"/>
      <w:r w:rsidRPr="00B53E9C">
        <w:t>Links</w:t>
      </w:r>
    </w:p>
    <w:p w:rsidR="00000000" w:rsidRPr="00B53E9C" w:rsidP="00707DF2">
      <w:pPr>
        <w:pStyle w:val="BodyText"/>
      </w:pPr>
      <w:r w:rsidRPr="00B53E9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B7637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B53E9C" w:rsidP="00B53E9C"/>
    <w:sectPr w:rsidSect="00B53E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E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E9C" w:rsidRPr="00707DF2" w:rsidP="00707D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E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DF2" w:rsidP="00B53E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7DF2" w:rsidP="00B53E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07DF2" w:rsidP="00B53E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E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D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3E9C" w:rsidRPr="00707DF2" w:rsidP="00707D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E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DF2" w:rsidRPr="002D2AF8" w:rsidP="00B53E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CUAPRF504 Refine musical theatre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707DF2" w:rsidP="00B53E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642A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28F2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6C67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E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3E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3E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3E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3E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3E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3E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3E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3E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3E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3E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3E9C"/>
  </w:style>
  <w:style w:type="character" w:customStyle="1" w:styleId="Heading1Char">
    <w:name w:val="Heading 1 Char"/>
    <w:basedOn w:val="DefaultParagraphFont"/>
    <w:link w:val="Heading1"/>
    <w:rsid w:val="00B53E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3E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3E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3E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3E9C"/>
    <w:rPr>
      <w:b/>
      <w:spacing w:val="0"/>
    </w:rPr>
  </w:style>
  <w:style w:type="paragraph" w:styleId="ListBullet2">
    <w:name w:val="List Bullet 2"/>
    <w:basedOn w:val="List2"/>
    <w:rsid w:val="00B53E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3E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3E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3E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3E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3E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3E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3E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3E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3E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3E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3E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3E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3E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3E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3E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3E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3E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3E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3E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3E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3E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3E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3E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3E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3E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3E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3E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3E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3E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3E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3E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3E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3E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3E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3E9C"/>
    <w:rPr>
      <w:i/>
    </w:rPr>
  </w:style>
  <w:style w:type="paragraph" w:styleId="Caption">
    <w:name w:val="caption"/>
    <w:basedOn w:val="BodyText"/>
    <w:next w:val="Normal"/>
    <w:qFormat/>
    <w:rsid w:val="00B53E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3E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3E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3E9C"/>
  </w:style>
  <w:style w:type="paragraph" w:styleId="TableofFigures">
    <w:name w:val="table of figures"/>
    <w:basedOn w:val="Normal"/>
    <w:next w:val="Normal"/>
    <w:semiHidden/>
    <w:rsid w:val="00B53E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3E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3E9C"/>
    <w:rPr>
      <w:rFonts w:ascii="Wingdings" w:hAnsi="Wingdings"/>
    </w:rPr>
  </w:style>
  <w:style w:type="paragraph" w:customStyle="1" w:styleId="TableHeading">
    <w:name w:val="Table Heading"/>
    <w:basedOn w:val="HeadingBase"/>
    <w:rsid w:val="00B53E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3E9C"/>
    <w:rPr>
      <w:color w:val="0033CC"/>
      <w:u w:val="none"/>
    </w:rPr>
  </w:style>
  <w:style w:type="paragraph" w:customStyle="1" w:styleId="BodyTextRight">
    <w:name w:val="Body Text Right"/>
    <w:basedOn w:val="BodyText"/>
    <w:rsid w:val="00B53E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3E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3E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3E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3E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3E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3E9C"/>
    <w:rPr>
      <w:sz w:val="32"/>
    </w:rPr>
  </w:style>
  <w:style w:type="paragraph" w:customStyle="1" w:styleId="HeadingProcedure">
    <w:name w:val="Heading Procedure"/>
    <w:basedOn w:val="HeadingBase"/>
    <w:next w:val="Normal"/>
    <w:rsid w:val="00B53E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3E9C"/>
    <w:pPr>
      <w:spacing w:before="60" w:after="60"/>
    </w:pPr>
  </w:style>
  <w:style w:type="paragraph" w:styleId="ListContinue">
    <w:name w:val="List Continue"/>
    <w:basedOn w:val="List"/>
    <w:rsid w:val="00B53E9C"/>
    <w:pPr>
      <w:ind w:firstLine="0"/>
    </w:pPr>
  </w:style>
  <w:style w:type="paragraph" w:customStyle="1" w:styleId="ListNote">
    <w:name w:val="List Note"/>
    <w:basedOn w:val="List"/>
    <w:rsid w:val="00B53E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3E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3E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3E9C"/>
    <w:rPr>
      <w:rFonts w:ascii="Courier New" w:hAnsi="Courier New"/>
    </w:rPr>
  </w:style>
  <w:style w:type="paragraph" w:customStyle="1" w:styleId="NoteBullet">
    <w:name w:val="Note Bullet"/>
    <w:basedOn w:val="Note"/>
    <w:rsid w:val="00B53E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3E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3E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3E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3E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3E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3E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3E9C"/>
    <w:rPr>
      <w:b/>
      <w:smallCaps/>
    </w:rPr>
  </w:style>
  <w:style w:type="paragraph" w:customStyle="1" w:styleId="TableListNumber">
    <w:name w:val="Table List Number"/>
    <w:basedOn w:val="ListNumber"/>
    <w:rsid w:val="00B53E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3E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3E9C"/>
    <w:pPr>
      <w:numPr>
        <w:numId w:val="9"/>
      </w:numPr>
    </w:pPr>
  </w:style>
  <w:style w:type="paragraph" w:customStyle="1" w:styleId="ListAlpha2">
    <w:name w:val="List Alpha 2"/>
    <w:basedOn w:val="List2"/>
    <w:rsid w:val="00B53E9C"/>
    <w:pPr>
      <w:numPr>
        <w:numId w:val="8"/>
      </w:numPr>
    </w:pPr>
  </w:style>
  <w:style w:type="paragraph" w:styleId="List2">
    <w:name w:val="List 2"/>
    <w:basedOn w:val="BodyText"/>
    <w:rsid w:val="00B53E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3E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3E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3E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3E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3E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3E9C"/>
    <w:pPr>
      <w:numPr>
        <w:numId w:val="4"/>
      </w:numPr>
    </w:pPr>
  </w:style>
  <w:style w:type="paragraph" w:styleId="ListContinue2">
    <w:name w:val="List Continue 2"/>
    <w:basedOn w:val="List2"/>
    <w:rsid w:val="00B53E9C"/>
    <w:pPr>
      <w:ind w:firstLine="0"/>
    </w:pPr>
  </w:style>
  <w:style w:type="paragraph" w:styleId="ListContinue3">
    <w:name w:val="List Continue 3"/>
    <w:basedOn w:val="List3"/>
    <w:rsid w:val="00B53E9C"/>
    <w:pPr>
      <w:ind w:left="1021" w:firstLine="0"/>
    </w:pPr>
  </w:style>
  <w:style w:type="paragraph" w:styleId="ListContinue4">
    <w:name w:val="List Continue 4"/>
    <w:basedOn w:val="List4"/>
    <w:rsid w:val="00B53E9C"/>
    <w:pPr>
      <w:ind w:firstLine="0"/>
    </w:pPr>
  </w:style>
  <w:style w:type="paragraph" w:styleId="ListContinue5">
    <w:name w:val="List Continue 5"/>
    <w:basedOn w:val="List5"/>
    <w:rsid w:val="00B53E9C"/>
    <w:pPr>
      <w:ind w:firstLine="0"/>
    </w:pPr>
  </w:style>
  <w:style w:type="paragraph" w:styleId="ListNumber3">
    <w:name w:val="List Number 3"/>
    <w:basedOn w:val="List3"/>
    <w:rsid w:val="00B53E9C"/>
    <w:pPr>
      <w:numPr>
        <w:numId w:val="5"/>
      </w:numPr>
    </w:pPr>
  </w:style>
  <w:style w:type="paragraph" w:styleId="ListNumber4">
    <w:name w:val="List Number 4"/>
    <w:basedOn w:val="List4"/>
    <w:rsid w:val="00B53E9C"/>
    <w:pPr>
      <w:numPr>
        <w:numId w:val="6"/>
      </w:numPr>
    </w:pPr>
  </w:style>
  <w:style w:type="paragraph" w:styleId="ListNumber5">
    <w:name w:val="List Number 5"/>
    <w:basedOn w:val="List5"/>
    <w:rsid w:val="00B53E9C"/>
    <w:pPr>
      <w:numPr>
        <w:numId w:val="7"/>
      </w:numPr>
    </w:pPr>
  </w:style>
  <w:style w:type="paragraph" w:styleId="BlockText">
    <w:name w:val="Block Text"/>
    <w:basedOn w:val="Normal"/>
    <w:rsid w:val="00B53E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3E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3E9C"/>
    <w:rPr>
      <w:sz w:val="16"/>
      <w:vertAlign w:val="superscript"/>
    </w:rPr>
  </w:style>
  <w:style w:type="character" w:customStyle="1" w:styleId="Symbols">
    <w:name w:val="Symbols"/>
    <w:basedOn w:val="DefaultParagraphFont"/>
    <w:rsid w:val="00B53E9C"/>
    <w:rPr>
      <w:rFonts w:ascii="Symbol" w:hAnsi="Symbol"/>
    </w:rPr>
  </w:style>
  <w:style w:type="character" w:customStyle="1" w:styleId="MenuOptions">
    <w:name w:val="Menu Options"/>
    <w:basedOn w:val="DefaultParagraphFont"/>
    <w:rsid w:val="00B53E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3E9C"/>
    <w:rPr>
      <w:b/>
    </w:rPr>
  </w:style>
  <w:style w:type="character" w:customStyle="1" w:styleId="Underlined">
    <w:name w:val="Underlined"/>
    <w:basedOn w:val="DefaultParagraphFont"/>
    <w:rsid w:val="00B53E9C"/>
    <w:rPr>
      <w:u w:val="single"/>
    </w:rPr>
  </w:style>
  <w:style w:type="paragraph" w:customStyle="1" w:styleId="TableBodyTextRight">
    <w:name w:val="Table Body Text Right"/>
    <w:basedOn w:val="TableBodyText"/>
    <w:rsid w:val="00B53E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3E9C"/>
    <w:rPr>
      <w:sz w:val="18"/>
    </w:rPr>
  </w:style>
  <w:style w:type="paragraph" w:customStyle="1" w:styleId="BodySmallRight">
    <w:name w:val="Body Small Right"/>
    <w:basedOn w:val="BodyTextRight"/>
    <w:rsid w:val="00B53E9C"/>
    <w:rPr>
      <w:sz w:val="18"/>
      <w:szCs w:val="18"/>
    </w:rPr>
  </w:style>
  <w:style w:type="paragraph" w:customStyle="1" w:styleId="MarginEdition">
    <w:name w:val="Margin Edition"/>
    <w:basedOn w:val="MarginNote"/>
    <w:rsid w:val="00B53E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3E9C"/>
    <w:rPr>
      <w:sz w:val="2"/>
      <w:szCs w:val="2"/>
    </w:rPr>
  </w:style>
  <w:style w:type="character" w:customStyle="1" w:styleId="Small">
    <w:name w:val="Small"/>
    <w:basedOn w:val="DefaultParagraphFont"/>
    <w:rsid w:val="00B53E9C"/>
    <w:rPr>
      <w:sz w:val="16"/>
    </w:rPr>
  </w:style>
  <w:style w:type="paragraph" w:customStyle="1" w:styleId="WideTable">
    <w:name w:val="Wide Table"/>
    <w:basedOn w:val="Normal"/>
    <w:rsid w:val="00B53E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3E9C"/>
  </w:style>
  <w:style w:type="paragraph" w:styleId="Quote">
    <w:name w:val="Quote"/>
    <w:basedOn w:val="Heading1"/>
    <w:link w:val="QuoteChar"/>
    <w:qFormat/>
    <w:rsid w:val="00B53E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3E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3E9C"/>
    <w:pPr>
      <w:pageBreakBefore/>
    </w:pPr>
  </w:style>
  <w:style w:type="paragraph" w:customStyle="1" w:styleId="Border">
    <w:name w:val="Border"/>
    <w:basedOn w:val="Normal"/>
    <w:qFormat/>
    <w:rsid w:val="00B53E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3E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E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E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3E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3E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3E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3E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3E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3E9C"/>
    <w:rPr>
      <w:u w:val="single"/>
    </w:rPr>
  </w:style>
  <w:style w:type="character" w:customStyle="1" w:styleId="BoldandItalics">
    <w:name w:val="Bold and Italics"/>
    <w:qFormat/>
    <w:rsid w:val="00B53E9C"/>
    <w:rPr>
      <w:b/>
      <w:i/>
      <w:u w:val="none"/>
    </w:rPr>
  </w:style>
  <w:style w:type="paragraph" w:styleId="BalloonText">
    <w:name w:val="Balloon Text"/>
    <w:basedOn w:val="Normal"/>
    <w:link w:val="BalloonTextChar"/>
    <w:rsid w:val="00B53E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3E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3E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3E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3E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3E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3E9C"/>
    <w:pPr>
      <w:spacing w:before="0" w:after="0"/>
    </w:pPr>
  </w:style>
  <w:style w:type="paragraph" w:customStyle="1" w:styleId="BodyTextBold">
    <w:name w:val="Body Text Bold"/>
    <w:basedOn w:val="BodyText"/>
    <w:qFormat/>
    <w:rsid w:val="00B53E9C"/>
    <w:rPr>
      <w:b/>
    </w:rPr>
  </w:style>
  <w:style w:type="character" w:styleId="Hyperlink">
    <w:name w:val="Hyperlink"/>
    <w:basedOn w:val="DefaultParagraphFont"/>
    <w:uiPriority w:val="99"/>
    <w:unhideWhenUsed/>
    <w:rsid w:val="00707D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2600</Characters>
  <Application>Microsoft Office Word</Application>
  <DocSecurity>0</DocSecurity>
  <Lines>78</Lines>
  <Paragraphs>57</Paragraphs>
  <ScaleCrop>false</ScaleCrop>
  <Company>Author-it Software Corporation Ltd.</Company>
  <LinksUpToDate>false</LinksUpToDate>
  <CharactersWithSpaces>2921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CUAPRF504 Refine musical theatre techniques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2019-02-21T13:53:00Z</dcterms:created>
  <dcterms:modified xsi:type="dcterms:W3CDTF">2019-02-21T13:53:00Z</dcterms:modified>
</cp:coreProperties>
</file>