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8B0" w:rsidP="00F14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CUAPPR407 Select and prepare creative work for exhibition</w:t>
      </w:r>
      <w:r>
        <w:fldChar w:fldCharType="end"/>
      </w:r>
    </w:p>
    <w:p w:rsidR="00F148B0" w:rsidP="00F148B0">
      <w:pPr>
        <w:pStyle w:val="Version"/>
        <w:sectPr w:rsidSect="00284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F42" w:rsidP="00284F42">
      <w:pPr>
        <w:pStyle w:val="SuperHeading"/>
      </w:pPr>
      <w:r w:rsidRPr="00284F42">
        <w:t>CUAPPR407 Select and prepare creative work for exhibition</w:t>
      </w:r>
    </w:p>
    <w:p w:rsidR="00000000" w:rsidRPr="00284F42" w:rsidP="00284F42">
      <w:pPr>
        <w:pStyle w:val="Heading1"/>
      </w:pPr>
      <w:bookmarkStart w:id="1" w:name="O_790824"/>
      <w:bookmarkEnd w:id="1"/>
      <w:r w:rsidRPr="00284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4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rPr>
                <w:rStyle w:val="SpecialBold"/>
              </w:rPr>
              <w:t>Comments</w:t>
            </w:r>
          </w:p>
        </w:tc>
      </w:tr>
      <w:tr w:rsidTr="00284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t>This version first released with CUA Creative Arts and Culture Training Package version 2.0.</w:t>
            </w:r>
          </w:p>
        </w:tc>
      </w:tr>
    </w:tbl>
    <w:p w:rsidR="00000000" w:rsidRPr="00284F42" w:rsidP="00284F42">
      <w:pPr>
        <w:pStyle w:val="BodyText"/>
      </w:pPr>
    </w:p>
    <w:p w:rsidR="00000000" w:rsidRPr="00284F42" w:rsidP="00284F42">
      <w:pPr>
        <w:pStyle w:val="AllowPageBreak"/>
      </w:pPr>
    </w:p>
    <w:p w:rsidR="00000000" w:rsidRPr="00284F42" w:rsidP="00284F42">
      <w:pPr>
        <w:pStyle w:val="Heading1"/>
      </w:pPr>
      <w:bookmarkStart w:id="2" w:name="O_790825"/>
      <w:bookmarkEnd w:id="2"/>
      <w:r w:rsidRPr="00284F42">
        <w:t>Application</w:t>
      </w:r>
    </w:p>
    <w:p w:rsidR="00000000" w:rsidRPr="00284F42" w:rsidP="00F148B0">
      <w:pPr>
        <w:pStyle w:val="BodyText"/>
      </w:pPr>
      <w:r w:rsidRPr="00284F42">
        <w:t>This unit describes the skills and knowledge required to select, or</w:t>
      </w:r>
      <w:r w:rsidRPr="00284F42">
        <w:t>ganise and prepare creative work for display or exhibition.</w:t>
      </w:r>
    </w:p>
    <w:p w:rsidR="00000000" w:rsidRPr="00284F42" w:rsidP="00F148B0">
      <w:pPr>
        <w:pStyle w:val="BodyText"/>
      </w:pPr>
      <w:r w:rsidRPr="00284F42">
        <w:t xml:space="preserve">It applies to individuals who might work as exhibition venue staff, or to those who work independently to assist in preparing works for exhibition in galleries or other spaces, including virtual </w:t>
      </w:r>
      <w:r w:rsidRPr="00284F42">
        <w:t>spaces. Exhibitions may take place in many different contexts and environments across both business and community contexts. They may be temporary or permanent in nature.</w:t>
      </w:r>
    </w:p>
    <w:p w:rsidR="00000000" w:rsidRPr="00284F42" w:rsidP="00F148B0">
      <w:pPr>
        <w:pStyle w:val="BodyText"/>
      </w:pPr>
      <w:r w:rsidRPr="00284F42">
        <w:t xml:space="preserve">No licensing, legislative or certification conditions apply to this unit at the time </w:t>
      </w:r>
      <w:r w:rsidRPr="00284F42">
        <w:t>of publication.</w:t>
      </w:r>
    </w:p>
    <w:p w:rsidR="00000000" w:rsidRPr="00284F42" w:rsidP="00284F42">
      <w:pPr>
        <w:pStyle w:val="Heading1"/>
      </w:pPr>
      <w:bookmarkStart w:id="3" w:name="O_790828"/>
      <w:bookmarkEnd w:id="3"/>
      <w:r w:rsidRPr="00284F42">
        <w:t>Unit Sector</w:t>
      </w:r>
    </w:p>
    <w:p w:rsidR="00000000" w:rsidRPr="00284F42" w:rsidP="00F148B0">
      <w:pPr>
        <w:pStyle w:val="BodyText"/>
      </w:pPr>
      <w:r w:rsidRPr="00284F42">
        <w:t>Industry capability – professional practice</w:t>
      </w:r>
    </w:p>
    <w:p w:rsidR="00000000" w:rsidRPr="00284F42" w:rsidP="00284F42">
      <w:pPr>
        <w:pStyle w:val="Heading1"/>
      </w:pPr>
      <w:bookmarkStart w:id="4" w:name="O_790829"/>
      <w:bookmarkEnd w:id="4"/>
      <w:r w:rsidRPr="00284F4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4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rPr>
                <w:rStyle w:val="SpecialBold"/>
              </w:rPr>
              <w:t>PERFORMANCE CRITERIA</w:t>
            </w:r>
          </w:p>
        </w:tc>
      </w:tr>
      <w:tr w:rsidTr="00284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4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1. Select work for exhibition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t>1.1 Review criteria for selecting works for exhibition</w:t>
            </w:r>
          </w:p>
          <w:p w:rsidR="00000000" w:rsidRPr="00284F42" w:rsidP="00284F42">
            <w:pPr>
              <w:pStyle w:val="BodyText"/>
            </w:pPr>
            <w:r w:rsidRPr="00284F42">
              <w:t>1.2 Clarify issues about the criteria in consultation with appropriate peo</w:t>
            </w:r>
            <w:r w:rsidRPr="00284F42">
              <w:t>ple</w:t>
            </w:r>
          </w:p>
          <w:p w:rsidR="00000000" w:rsidRPr="00284F42" w:rsidP="00284F42">
            <w:pPr>
              <w:pStyle w:val="BodyText"/>
            </w:pPr>
            <w:r w:rsidRPr="00284F42">
              <w:t>1.3 Select works according to criteria</w:t>
            </w:r>
          </w:p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1.4 Confirm final selection with appropriate people as required</w:t>
            </w:r>
          </w:p>
        </w:tc>
      </w:tr>
      <w:tr w:rsidTr="00284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2. Organise selected work for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t>2.1 Check completeness of work to be displayed and take action as required</w:t>
            </w:r>
          </w:p>
          <w:p w:rsidR="00000000" w:rsidRPr="00284F42" w:rsidP="00284F42">
            <w:pPr>
              <w:pStyle w:val="BodyText"/>
            </w:pPr>
            <w:r w:rsidRPr="00284F42">
              <w:t>2.2 Determine specific exhibition requirements of selected works in consultation with appropriate people</w:t>
            </w:r>
          </w:p>
          <w:p w:rsidR="00000000" w:rsidRPr="00284F42" w:rsidP="00284F42">
            <w:pPr>
              <w:pStyle w:val="BodyText"/>
            </w:pPr>
            <w:r w:rsidRPr="00284F42">
              <w:t>2.3 Identify steps and processes required to prepare selected works for exhibition</w:t>
            </w:r>
          </w:p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 xml:space="preserve">2.4 Monitor process and resolve problems that arise within scope of </w:t>
            </w:r>
            <w:r w:rsidRPr="00284F42">
              <w:t>own role, or escalate as appropriate</w:t>
            </w:r>
          </w:p>
        </w:tc>
      </w:tr>
      <w:tr w:rsidTr="00284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3. Prepare creative work for display or exhibition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t>3.1 Prepare selected works in line with exhibition requirements, using appropriate techniques, or arrange for the services of others as required</w:t>
            </w:r>
          </w:p>
          <w:p w:rsidR="00000000" w:rsidRPr="00284F42" w:rsidP="00284F42">
            <w:pPr>
              <w:pStyle w:val="BodyText"/>
            </w:pPr>
            <w:r w:rsidRPr="00284F42">
              <w:t>3.2 Provide accurate i</w:t>
            </w:r>
            <w:r w:rsidRPr="00284F42">
              <w:t>nformation on works to appropriate people</w:t>
            </w:r>
          </w:p>
          <w:p w:rsidR="00000000" w:rsidRPr="00284F42" w:rsidP="00284F42">
            <w:pPr>
              <w:pStyle w:val="BodyText"/>
            </w:pPr>
            <w:r w:rsidRPr="00284F42">
              <w:t>3.3 Submit works for exhibition within agreed timeframe and according to other agreed requirements</w:t>
            </w:r>
          </w:p>
          <w:p w:rsidR="00000000" w:rsidRPr="00284F42" w:rsidP="00284F42">
            <w:pPr>
              <w:pStyle w:val="BodyText"/>
            </w:pPr>
            <w:r w:rsidRPr="00284F42">
              <w:t>3.4 Provide assistance with installation or hanging of works as required</w:t>
            </w:r>
          </w:p>
          <w:p w:rsidR="00000000" w:rsidRPr="00284F42" w:rsidP="00284F42">
            <w:pPr>
              <w:pStyle w:val="BodyText"/>
            </w:pPr>
            <w:r w:rsidRPr="00284F42">
              <w:t>3.5 Use feedback from others to improve ow</w:t>
            </w:r>
            <w:r w:rsidRPr="00284F42">
              <w:t>n performance in preparing works for display</w:t>
            </w:r>
          </w:p>
        </w:tc>
      </w:tr>
    </w:tbl>
    <w:p w:rsidR="00000000" w:rsidRPr="00284F42" w:rsidP="00284F42">
      <w:pPr>
        <w:pStyle w:val="BodyText"/>
      </w:pPr>
    </w:p>
    <w:p w:rsidR="00000000" w:rsidRPr="00284F42" w:rsidP="00284F42">
      <w:pPr>
        <w:pStyle w:val="AllowPageBreak"/>
      </w:pPr>
    </w:p>
    <w:p w:rsidR="00000000" w:rsidRPr="00284F42" w:rsidP="00284F42">
      <w:pPr>
        <w:pStyle w:val="Heading1"/>
      </w:pPr>
      <w:bookmarkStart w:id="5" w:name="O_790830"/>
      <w:bookmarkEnd w:id="5"/>
      <w:r w:rsidRPr="00284F42">
        <w:t>Foundation Skills</w:t>
      </w:r>
    </w:p>
    <w:p w:rsidR="00000000" w:rsidRPr="00F148B0" w:rsidP="00F148B0">
      <w:pPr>
        <w:pStyle w:val="BodyText"/>
        <w:rPr>
          <w:i/>
        </w:rPr>
      </w:pPr>
      <w:r w:rsidRPr="00F148B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84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Performa</w:t>
            </w:r>
            <w:r w:rsidRPr="00284F42">
              <w:rPr>
                <w:rStyle w:val="SpecialBold"/>
              </w:rPr>
              <w:t>nce</w:t>
            </w:r>
          </w:p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rPr>
                <w:rStyle w:val="SpecialBold"/>
              </w:rPr>
              <w:t>Description</w:t>
            </w:r>
          </w:p>
        </w:tc>
      </w:tr>
      <w:tr w:rsidTr="00284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ListBullet"/>
              <w:rPr>
                <w:lang w:val="en-NZ"/>
              </w:rPr>
            </w:pPr>
            <w:r w:rsidRPr="00284F42">
              <w:t xml:space="preserve">Identifies strategies to improve own skills </w:t>
            </w:r>
          </w:p>
        </w:tc>
      </w:tr>
      <w:tr w:rsidTr="00284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ListBullet"/>
              <w:rPr>
                <w:lang w:val="en-NZ"/>
              </w:rPr>
            </w:pPr>
            <w:r w:rsidRPr="00284F42">
              <w:t>Reads and interprets a range of familiar and some less familiar exhibition or display information to determine requirements for preparation process</w:t>
            </w:r>
          </w:p>
        </w:tc>
      </w:tr>
      <w:tr w:rsidTr="00284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1.2, 1.4, 2.2, 3.5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ListBullet"/>
            </w:pPr>
            <w:r w:rsidRPr="00284F42">
              <w:t>Gathers and provides information, questioning the implications of new information</w:t>
            </w:r>
          </w:p>
          <w:p w:rsidR="00000000" w:rsidP="00284F42">
            <w:pPr>
              <w:pStyle w:val="ListBullet"/>
              <w:rPr>
                <w:lang w:val="en-NZ"/>
              </w:rPr>
            </w:pPr>
            <w:r w:rsidRPr="00284F42">
              <w:t>Canvasses appropriate people for views on practical issues associated with the selection and preparation processes, using questioning t</w:t>
            </w:r>
            <w:r w:rsidRPr="00284F42">
              <w:t>o confirm understanding</w:t>
            </w:r>
          </w:p>
        </w:tc>
      </w:tr>
      <w:tr w:rsidTr="00284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 xml:space="preserve">Interact with </w:t>
            </w:r>
            <w:r w:rsidRPr="00284F42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1.2, 1.4, 3.4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ListBullet"/>
              <w:rPr>
                <w:lang w:val="en-NZ"/>
              </w:rPr>
            </w:pPr>
            <w:r w:rsidRPr="00284F42">
              <w:t xml:space="preserve">Works cooperatively with others and contributes to </w:t>
            </w:r>
            <w:r w:rsidRPr="00284F42">
              <w:t>routine tasks requiring a group effort</w:t>
            </w:r>
          </w:p>
        </w:tc>
      </w:tr>
      <w:tr w:rsidTr="00284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1.3, 2.1, 2.2, 2.3, 3.1, 3.3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ListBullet"/>
            </w:pPr>
            <w:r w:rsidRPr="00284F42">
              <w:t>Organises and plans job processes and logically prioritises work commitments to complete job requirements within allocated timeframes</w:t>
            </w:r>
          </w:p>
          <w:p w:rsidR="00000000" w:rsidRPr="00284F42" w:rsidP="00284F42">
            <w:pPr>
              <w:pStyle w:val="ListBullet"/>
            </w:pPr>
            <w:r w:rsidRPr="00284F42">
              <w:t>Recognises and responds appropriately to routine problems within scope of own role</w:t>
            </w:r>
          </w:p>
          <w:p w:rsidR="00000000" w:rsidRPr="00284F42" w:rsidP="00284F42">
            <w:pPr>
              <w:pStyle w:val="ListBullet"/>
            </w:pPr>
            <w:r w:rsidRPr="00284F42">
              <w:t>Makes decisions within familiar situati</w:t>
            </w:r>
            <w:r w:rsidRPr="00284F42">
              <w:t>ons</w:t>
            </w:r>
          </w:p>
        </w:tc>
      </w:tr>
    </w:tbl>
    <w:p w:rsidR="00000000" w:rsidRPr="00284F42" w:rsidP="00284F42">
      <w:pPr>
        <w:pStyle w:val="BodyText"/>
      </w:pPr>
    </w:p>
    <w:p w:rsidR="00000000" w:rsidRPr="00284F42" w:rsidP="00284F42">
      <w:pPr>
        <w:pStyle w:val="AllowPageBreak"/>
      </w:pPr>
    </w:p>
    <w:p w:rsidR="00000000" w:rsidRPr="00284F42" w:rsidP="00284F42">
      <w:pPr>
        <w:pStyle w:val="Heading1"/>
      </w:pPr>
      <w:bookmarkStart w:id="6" w:name="O_790832"/>
      <w:bookmarkEnd w:id="6"/>
      <w:r w:rsidRPr="00284F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84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 xml:space="preserve">Code and title </w:t>
            </w:r>
          </w:p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Code and title</w:t>
            </w:r>
          </w:p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rPr>
                <w:rStyle w:val="SpecialBold"/>
              </w:rPr>
              <w:t>Equivalence status</w:t>
            </w:r>
          </w:p>
        </w:tc>
      </w:tr>
      <w:tr w:rsidTr="00284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CUAPPR407 Select and prepare creative work for exhibition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CUVPRP303A Select and prepare creative work for exhibition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 xml:space="preserve">Updated to meet Standards for Training Packages. Minor edits to clarify required level of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t>Equivalent unit</w:t>
            </w:r>
          </w:p>
        </w:tc>
      </w:tr>
    </w:tbl>
    <w:p w:rsidR="00000000" w:rsidRPr="00284F42" w:rsidP="00284F42">
      <w:pPr>
        <w:pStyle w:val="BodyText"/>
      </w:pPr>
    </w:p>
    <w:p w:rsidR="00000000" w:rsidRPr="00284F42" w:rsidP="00284F42">
      <w:pPr>
        <w:pStyle w:val="AllowPageBreak"/>
      </w:pPr>
    </w:p>
    <w:p w:rsidR="00000000" w:rsidRPr="00284F42" w:rsidP="00284F42">
      <w:pPr>
        <w:pStyle w:val="Heading1"/>
      </w:pPr>
      <w:bookmarkStart w:id="7" w:name="O_790839"/>
      <w:bookmarkEnd w:id="7"/>
      <w:r w:rsidRPr="00284F42">
        <w:t>Links</w:t>
      </w:r>
    </w:p>
    <w:p w:rsidR="00000000" w:rsidRPr="00284F42" w:rsidP="00F148B0">
      <w:pPr>
        <w:pStyle w:val="BodyText"/>
      </w:pPr>
      <w:r w:rsidRPr="00284F42">
        <w:t>Compan</w:t>
      </w:r>
      <w:r w:rsidRPr="00284F42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1A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4F42" w:rsidP="00F148B0">
      <w:pPr>
        <w:pStyle w:val="BodyText"/>
        <w:sectPr w:rsidSect="00284F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4F42" w:rsidP="00284F42">
      <w:pPr>
        <w:pStyle w:val="SuperHeading"/>
      </w:pPr>
      <w:r w:rsidRPr="00284F42">
        <w:t xml:space="preserve">Assessment </w:t>
      </w:r>
      <w:r w:rsidRPr="00284F42">
        <w:t>Requirements for CUAPPR407 Select and prepare creative work for exhibition</w:t>
      </w:r>
    </w:p>
    <w:p w:rsidR="00000000" w:rsidRPr="00284F42" w:rsidP="00284F42">
      <w:pPr>
        <w:pStyle w:val="Heading1"/>
      </w:pPr>
      <w:bookmarkStart w:id="8" w:name="O_790834"/>
      <w:bookmarkEnd w:id="8"/>
      <w:r w:rsidRPr="00284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4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rPr>
                <w:rStyle w:val="SpecialBold"/>
              </w:rPr>
              <w:t>Comments</w:t>
            </w:r>
          </w:p>
        </w:tc>
      </w:tr>
      <w:tr w:rsidTr="00284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F42">
            <w:pPr>
              <w:pStyle w:val="BodyText"/>
              <w:rPr>
                <w:lang w:val="en-NZ"/>
              </w:rPr>
            </w:pPr>
            <w:r w:rsidRPr="00284F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F42" w:rsidP="00284F42">
            <w:pPr>
              <w:pStyle w:val="BodyText"/>
            </w:pPr>
            <w:r w:rsidRPr="00284F42">
              <w:t>This version first released with CUA Creative Arts and Culture Training Package version 2.0.</w:t>
            </w:r>
          </w:p>
        </w:tc>
      </w:tr>
    </w:tbl>
    <w:p w:rsidR="00000000" w:rsidRPr="00284F42" w:rsidP="00284F42">
      <w:pPr>
        <w:pStyle w:val="BodyText"/>
      </w:pPr>
    </w:p>
    <w:p w:rsidR="00000000" w:rsidRPr="00284F42" w:rsidP="00284F42">
      <w:pPr>
        <w:pStyle w:val="AllowPageBreak"/>
      </w:pPr>
    </w:p>
    <w:p w:rsidR="00000000" w:rsidRPr="00284F42" w:rsidP="00284F42">
      <w:pPr>
        <w:pStyle w:val="Heading1"/>
      </w:pPr>
      <w:bookmarkStart w:id="9" w:name="O_790835"/>
      <w:bookmarkEnd w:id="9"/>
      <w:r w:rsidRPr="00284F42">
        <w:t>Perf</w:t>
      </w:r>
      <w:r w:rsidRPr="00284F42">
        <w:t>ormance Evidence</w:t>
      </w:r>
    </w:p>
    <w:p w:rsidR="00000000" w:rsidRPr="00284F42" w:rsidP="00F148B0">
      <w:pPr>
        <w:pStyle w:val="BodyText"/>
      </w:pPr>
      <w:r w:rsidRPr="00284F42">
        <w:t>Evidence of the ability to:</w:t>
      </w:r>
    </w:p>
    <w:p w:rsidR="00000000" w:rsidRPr="00284F42" w:rsidP="00284F42">
      <w:pPr>
        <w:pStyle w:val="ListBullet"/>
      </w:pPr>
      <w:r w:rsidRPr="00284F42">
        <w:t>select creative work for exhibition consistent with given criteria</w:t>
      </w:r>
    </w:p>
    <w:p w:rsidR="00000000" w:rsidRPr="00284F42" w:rsidP="00284F42">
      <w:pPr>
        <w:pStyle w:val="ListBullet"/>
      </w:pPr>
      <w:r w:rsidRPr="00284F42">
        <w:t>prepare selected work for exhibition using appropriate techniques</w:t>
      </w:r>
    </w:p>
    <w:p w:rsidR="00000000" w:rsidRPr="00284F42" w:rsidP="00284F42">
      <w:pPr>
        <w:pStyle w:val="ListBullet"/>
      </w:pPr>
      <w:r w:rsidRPr="00284F42">
        <w:t>check completeness of work to be submitted, ensuring all elements are present and exhibition requirements have been met</w:t>
      </w:r>
    </w:p>
    <w:p w:rsidR="00000000" w:rsidRPr="00284F42" w:rsidP="00284F42">
      <w:pPr>
        <w:pStyle w:val="ListBullet"/>
      </w:pPr>
      <w:r w:rsidRPr="00284F42">
        <w:t>submit work for exhibition within agreed timeframe</w:t>
      </w:r>
    </w:p>
    <w:p w:rsidR="00000000" w:rsidRPr="00284F42" w:rsidP="00284F42">
      <w:pPr>
        <w:pStyle w:val="ListBullet"/>
      </w:pPr>
      <w:r w:rsidRPr="00284F42">
        <w:t>provide information and assistance to facilitate exhibition of work.</w:t>
      </w:r>
    </w:p>
    <w:p w:rsidR="00000000" w:rsidRPr="00284F42" w:rsidP="00284F42">
      <w:pPr>
        <w:pStyle w:val="BodyText"/>
      </w:pPr>
    </w:p>
    <w:p w:rsidR="00000000" w:rsidRPr="00284F42" w:rsidP="00F148B0">
      <w:pPr>
        <w:pStyle w:val="BodyText"/>
      </w:pPr>
      <w:r w:rsidRPr="00284F42">
        <w:t>Note: If a spec</w:t>
      </w:r>
      <w:r w:rsidRPr="00284F42">
        <w:t>ific volume or frequency is not stated, then evidence must be provided at least once.</w:t>
      </w:r>
    </w:p>
    <w:p w:rsidR="00000000" w:rsidRPr="00284F42" w:rsidP="00284F42">
      <w:pPr>
        <w:pStyle w:val="Heading1"/>
      </w:pPr>
      <w:bookmarkStart w:id="10" w:name="O_790836"/>
      <w:bookmarkEnd w:id="10"/>
      <w:r w:rsidRPr="00284F42">
        <w:t>Knowledge Evidence</w:t>
      </w:r>
    </w:p>
    <w:p w:rsidR="00000000" w:rsidRPr="00284F42" w:rsidP="00F148B0">
      <w:pPr>
        <w:pStyle w:val="BodyText"/>
      </w:pPr>
      <w:r w:rsidRPr="00284F42">
        <w:t>To complete the unit requirements safely and effectively, the individual must:</w:t>
      </w:r>
    </w:p>
    <w:p w:rsidR="00000000" w:rsidRPr="00284F42" w:rsidP="00284F42">
      <w:pPr>
        <w:pStyle w:val="ListBullet"/>
      </w:pPr>
      <w:r w:rsidRPr="00284F42">
        <w:t>outline exhibition, display or presentation requiremen</w:t>
      </w:r>
      <w:r w:rsidRPr="00284F42">
        <w:t xml:space="preserve">ts and practice relevant to different creative work and contexts </w:t>
      </w:r>
    </w:p>
    <w:p w:rsidR="00000000" w:rsidRPr="00284F42" w:rsidP="00284F42">
      <w:pPr>
        <w:pStyle w:val="ListBullet"/>
      </w:pPr>
      <w:r w:rsidRPr="00284F42">
        <w:t>discuss techniques for the display or exhibition of work relevant to the area of creative practice, including those relating to work health and safety and sustainability considerations</w:t>
      </w:r>
    </w:p>
    <w:p w:rsidR="00000000" w:rsidRPr="00284F42" w:rsidP="00284F42">
      <w:pPr>
        <w:pStyle w:val="ListBullet"/>
      </w:pPr>
      <w:r w:rsidRPr="00284F42">
        <w:t>descr</w:t>
      </w:r>
      <w:r w:rsidRPr="00284F42">
        <w:t>ibe ways in which space is planned for physical and virtual display or exhibition purposes.</w:t>
      </w:r>
    </w:p>
    <w:p w:rsidR="00000000" w:rsidRPr="00284F42" w:rsidP="00284F42">
      <w:pPr>
        <w:pStyle w:val="AllowPageBreak"/>
      </w:pPr>
    </w:p>
    <w:p w:rsidR="00000000" w:rsidRPr="00284F42" w:rsidP="00284F42">
      <w:pPr>
        <w:pStyle w:val="Heading1"/>
      </w:pPr>
      <w:bookmarkStart w:id="11" w:name="O_790837"/>
      <w:bookmarkEnd w:id="11"/>
      <w:r w:rsidRPr="00284F42">
        <w:t>Assessment Conditions</w:t>
      </w:r>
    </w:p>
    <w:p w:rsidR="00000000" w:rsidRPr="00284F42" w:rsidP="00F148B0">
      <w:pPr>
        <w:pStyle w:val="BodyText"/>
      </w:pPr>
      <w:r w:rsidRPr="00284F42">
        <w:t>Assessment must be conducted in a safe environment where evidence gathered demonstrates consistent performance of typical act</w:t>
      </w:r>
      <w:r w:rsidRPr="00284F42">
        <w:t xml:space="preserve">ivities experienced in creative arts industry environments. The assessment environment must include access to: </w:t>
      </w:r>
    </w:p>
    <w:p w:rsidR="00000000" w:rsidRPr="00284F42" w:rsidP="00284F42">
      <w:pPr>
        <w:pStyle w:val="ListBullet"/>
      </w:pPr>
      <w:r w:rsidRPr="00284F42">
        <w:t>a selection of works for exhibition</w:t>
      </w:r>
    </w:p>
    <w:p w:rsidR="00000000" w:rsidRPr="00284F42" w:rsidP="00284F42">
      <w:pPr>
        <w:pStyle w:val="ListBullet"/>
      </w:pPr>
      <w:r w:rsidRPr="00284F42">
        <w:t>tools, material and technologies used to prepare works for exhibition.</w:t>
      </w:r>
    </w:p>
    <w:p w:rsidR="00000000" w:rsidRPr="00284F42" w:rsidP="00284F42">
      <w:pPr>
        <w:pStyle w:val="BodyText"/>
      </w:pPr>
    </w:p>
    <w:p w:rsidR="00000000" w:rsidRPr="00284F42" w:rsidP="00F148B0">
      <w:pPr>
        <w:pStyle w:val="BodyText"/>
      </w:pPr>
      <w:r w:rsidRPr="00284F42">
        <w:t>Assessors of this unit must satisfy</w:t>
      </w:r>
      <w:r w:rsidRPr="00284F42">
        <w:t xml:space="preserve"> the requirements for assessors in applicable vocational educational and training legislation, frameworks and/or standards.</w:t>
      </w:r>
    </w:p>
    <w:p w:rsidR="00000000" w:rsidRPr="00284F42" w:rsidP="00284F42">
      <w:pPr>
        <w:pStyle w:val="Heading1"/>
      </w:pPr>
      <w:bookmarkStart w:id="12" w:name="O_790840"/>
      <w:bookmarkEnd w:id="12"/>
      <w:r w:rsidRPr="00284F42">
        <w:t>Links</w:t>
      </w:r>
    </w:p>
    <w:p w:rsidR="00000000" w:rsidRPr="00284F42" w:rsidP="00F148B0">
      <w:pPr>
        <w:pStyle w:val="BodyText"/>
      </w:pPr>
      <w:r w:rsidRPr="00284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1A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4F42" w:rsidP="00284F42"/>
    <w:sectPr w:rsidSect="00284F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42" w:rsidRPr="00F148B0" w:rsidP="00F14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B0" w:rsidP="00284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8B0" w:rsidP="00284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48B0" w:rsidP="00284F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42" w:rsidP="00284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48B0">
      <w:t>Approved</w:t>
    </w:r>
    <w:r w:rsidR="00F148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48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48B0">
      <w:rPr>
        <w:noProof/>
      </w:rPr>
      <w:t>4</w:t>
    </w:r>
    <w:r>
      <w:rPr>
        <w:noProof/>
      </w:rPr>
      <w:fldChar w:fldCharType="end"/>
    </w:r>
  </w:p>
  <w:p w:rsidR="00284F42" w:rsidP="00284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48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48B0">
      <w:t>Service and Creative Skills Australia</w:t>
    </w:r>
    <w:r w:rsidR="00F148B0">
      <w:fldChar w:fldCharType="end"/>
    </w:r>
  </w:p>
  <w:p w:rsidR="00284F42" w:rsidP="00284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F42" w:rsidRPr="00F148B0" w:rsidP="00F14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B0" w:rsidRPr="002D2AF8" w:rsidP="00284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CUAPPR407 Select and prepare creative work for exhibition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148B0" w:rsidP="00284F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42" w:rsidRPr="002D2AF8" w:rsidP="00284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48B0">
      <w:t>CUAPPR407 Select and prepare creative work for exhibition</w:t>
    </w:r>
    <w:r w:rsidR="00F148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48B0">
      <w:rPr>
        <w:noProof/>
      </w:rPr>
      <w:t>1 March 2025</w:t>
    </w:r>
    <w:r>
      <w:fldChar w:fldCharType="end"/>
    </w:r>
  </w:p>
  <w:p w:rsidR="00284F42" w:rsidP="00284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94B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886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F42"/>
  </w:style>
  <w:style w:type="character" w:customStyle="1" w:styleId="Heading1Char">
    <w:name w:val="Heading 1 Char"/>
    <w:basedOn w:val="DefaultParagraphFont"/>
    <w:link w:val="Heading1"/>
    <w:rsid w:val="00284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F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F42"/>
    <w:rPr>
      <w:b/>
      <w:spacing w:val="0"/>
    </w:rPr>
  </w:style>
  <w:style w:type="character" w:styleId="Emphasis">
    <w:name w:val="Emphasis"/>
    <w:basedOn w:val="DefaultParagraphFont"/>
    <w:qFormat/>
    <w:rsid w:val="00284F42"/>
    <w:rPr>
      <w:i/>
    </w:rPr>
  </w:style>
  <w:style w:type="paragraph" w:customStyle="1" w:styleId="SuperHeading">
    <w:name w:val="SuperHeading"/>
    <w:basedOn w:val="Normal"/>
    <w:rsid w:val="00284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F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F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4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F42"/>
  </w:style>
  <w:style w:type="paragraph" w:styleId="TableofFigures">
    <w:name w:val="table of figures"/>
    <w:basedOn w:val="Normal"/>
    <w:next w:val="Normal"/>
    <w:semiHidden/>
    <w:rsid w:val="00284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F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4F42"/>
    <w:rPr>
      <w:rFonts w:ascii="Wingdings" w:hAnsi="Wingdings"/>
    </w:rPr>
  </w:style>
  <w:style w:type="paragraph" w:customStyle="1" w:styleId="TableHeading">
    <w:name w:val="Table Heading"/>
    <w:basedOn w:val="HeadingBase"/>
    <w:rsid w:val="00284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F42"/>
    <w:rPr>
      <w:color w:val="0033CC"/>
      <w:u w:val="none"/>
    </w:rPr>
  </w:style>
  <w:style w:type="paragraph" w:customStyle="1" w:styleId="BodyTextRight">
    <w:name w:val="Body Text Right"/>
    <w:basedOn w:val="BodyText"/>
    <w:rsid w:val="00284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F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F42"/>
    <w:rPr>
      <w:sz w:val="32"/>
    </w:rPr>
  </w:style>
  <w:style w:type="paragraph" w:customStyle="1" w:styleId="HeadingProcedure">
    <w:name w:val="Heading Procedure"/>
    <w:basedOn w:val="HeadingBase"/>
    <w:next w:val="Normal"/>
    <w:rsid w:val="00284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F42"/>
    <w:pPr>
      <w:spacing w:before="60" w:after="60"/>
    </w:pPr>
  </w:style>
  <w:style w:type="paragraph" w:styleId="ListContinue">
    <w:name w:val="List Continue"/>
    <w:basedOn w:val="List"/>
    <w:rsid w:val="00284F42"/>
    <w:pPr>
      <w:ind w:firstLine="0"/>
    </w:pPr>
  </w:style>
  <w:style w:type="paragraph" w:customStyle="1" w:styleId="ListNote">
    <w:name w:val="List Note"/>
    <w:basedOn w:val="List"/>
    <w:rsid w:val="00284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F42"/>
    <w:rPr>
      <w:rFonts w:ascii="Courier New" w:hAnsi="Courier New"/>
    </w:rPr>
  </w:style>
  <w:style w:type="paragraph" w:customStyle="1" w:styleId="NoteBullet">
    <w:name w:val="Note Bullet"/>
    <w:basedOn w:val="Note"/>
    <w:rsid w:val="00284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F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4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F42"/>
    <w:rPr>
      <w:b/>
      <w:smallCaps/>
    </w:rPr>
  </w:style>
  <w:style w:type="paragraph" w:customStyle="1" w:styleId="TableListNumber">
    <w:name w:val="Table List Number"/>
    <w:basedOn w:val="ListNumber"/>
    <w:rsid w:val="00284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F42"/>
    <w:pPr>
      <w:numPr>
        <w:numId w:val="8"/>
      </w:numPr>
    </w:pPr>
  </w:style>
  <w:style w:type="paragraph" w:customStyle="1" w:styleId="ListAlpha2">
    <w:name w:val="List Alpha 2"/>
    <w:basedOn w:val="List2"/>
    <w:rsid w:val="00284F42"/>
    <w:pPr>
      <w:numPr>
        <w:numId w:val="7"/>
      </w:numPr>
    </w:pPr>
  </w:style>
  <w:style w:type="paragraph" w:styleId="List2">
    <w:name w:val="List 2"/>
    <w:basedOn w:val="BodyText"/>
    <w:rsid w:val="00284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F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F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4F42"/>
    <w:pPr>
      <w:numPr>
        <w:numId w:val="3"/>
      </w:numPr>
    </w:pPr>
  </w:style>
  <w:style w:type="paragraph" w:styleId="ListContinue2">
    <w:name w:val="List Continue 2"/>
    <w:basedOn w:val="List2"/>
    <w:rsid w:val="00284F42"/>
    <w:pPr>
      <w:ind w:firstLine="0"/>
    </w:pPr>
  </w:style>
  <w:style w:type="paragraph" w:styleId="ListContinue3">
    <w:name w:val="List Continue 3"/>
    <w:basedOn w:val="List3"/>
    <w:rsid w:val="00284F42"/>
    <w:pPr>
      <w:ind w:left="1021" w:firstLine="0"/>
    </w:pPr>
  </w:style>
  <w:style w:type="paragraph" w:styleId="ListContinue4">
    <w:name w:val="List Continue 4"/>
    <w:basedOn w:val="List4"/>
    <w:rsid w:val="00284F42"/>
    <w:pPr>
      <w:ind w:firstLine="0"/>
    </w:pPr>
  </w:style>
  <w:style w:type="paragraph" w:styleId="ListContinue5">
    <w:name w:val="List Continue 5"/>
    <w:basedOn w:val="List5"/>
    <w:rsid w:val="00284F42"/>
    <w:pPr>
      <w:ind w:firstLine="0"/>
    </w:pPr>
  </w:style>
  <w:style w:type="paragraph" w:styleId="ListNumber3">
    <w:name w:val="List Number 3"/>
    <w:basedOn w:val="List3"/>
    <w:rsid w:val="00284F42"/>
    <w:pPr>
      <w:numPr>
        <w:numId w:val="4"/>
      </w:numPr>
    </w:pPr>
  </w:style>
  <w:style w:type="paragraph" w:styleId="ListNumber4">
    <w:name w:val="List Number 4"/>
    <w:basedOn w:val="List4"/>
    <w:rsid w:val="00284F42"/>
    <w:pPr>
      <w:numPr>
        <w:numId w:val="5"/>
      </w:numPr>
    </w:pPr>
  </w:style>
  <w:style w:type="paragraph" w:styleId="ListNumber5">
    <w:name w:val="List Number 5"/>
    <w:basedOn w:val="List5"/>
    <w:rsid w:val="00284F42"/>
    <w:pPr>
      <w:numPr>
        <w:numId w:val="6"/>
      </w:numPr>
    </w:pPr>
  </w:style>
  <w:style w:type="paragraph" w:styleId="BlockText">
    <w:name w:val="Block Text"/>
    <w:basedOn w:val="Normal"/>
    <w:rsid w:val="00284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F42"/>
    <w:rPr>
      <w:sz w:val="16"/>
      <w:vertAlign w:val="superscript"/>
    </w:rPr>
  </w:style>
  <w:style w:type="character" w:customStyle="1" w:styleId="Symbols">
    <w:name w:val="Symbols"/>
    <w:basedOn w:val="DefaultParagraphFont"/>
    <w:rsid w:val="00284F42"/>
    <w:rPr>
      <w:rFonts w:ascii="Symbol" w:hAnsi="Symbol"/>
    </w:rPr>
  </w:style>
  <w:style w:type="character" w:customStyle="1" w:styleId="MenuOptions">
    <w:name w:val="Menu Options"/>
    <w:basedOn w:val="DefaultParagraphFont"/>
    <w:rsid w:val="00284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F42"/>
    <w:rPr>
      <w:b/>
    </w:rPr>
  </w:style>
  <w:style w:type="character" w:customStyle="1" w:styleId="Underlined">
    <w:name w:val="Underlined"/>
    <w:basedOn w:val="DefaultParagraphFont"/>
    <w:rsid w:val="00284F42"/>
    <w:rPr>
      <w:u w:val="single"/>
    </w:rPr>
  </w:style>
  <w:style w:type="paragraph" w:customStyle="1" w:styleId="TableBodyTextRight">
    <w:name w:val="Table Body Text Right"/>
    <w:basedOn w:val="TableBodyText"/>
    <w:rsid w:val="00284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F42"/>
    <w:rPr>
      <w:sz w:val="18"/>
    </w:rPr>
  </w:style>
  <w:style w:type="paragraph" w:customStyle="1" w:styleId="BodySmallRight">
    <w:name w:val="Body Small Right"/>
    <w:basedOn w:val="BodyTextRight"/>
    <w:rsid w:val="00284F42"/>
    <w:rPr>
      <w:sz w:val="18"/>
      <w:szCs w:val="18"/>
    </w:rPr>
  </w:style>
  <w:style w:type="paragraph" w:customStyle="1" w:styleId="MarginEdition">
    <w:name w:val="Margin Edition"/>
    <w:basedOn w:val="MarginNote"/>
    <w:rsid w:val="00284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F42"/>
    <w:rPr>
      <w:sz w:val="2"/>
      <w:szCs w:val="2"/>
    </w:rPr>
  </w:style>
  <w:style w:type="character" w:customStyle="1" w:styleId="Small">
    <w:name w:val="Small"/>
    <w:basedOn w:val="DefaultParagraphFont"/>
    <w:rsid w:val="00284F42"/>
    <w:rPr>
      <w:sz w:val="16"/>
    </w:rPr>
  </w:style>
  <w:style w:type="paragraph" w:customStyle="1" w:styleId="WideTable">
    <w:name w:val="Wide Table"/>
    <w:basedOn w:val="Normal"/>
    <w:rsid w:val="00284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F42"/>
  </w:style>
  <w:style w:type="paragraph" w:styleId="Quote">
    <w:name w:val="Quote"/>
    <w:basedOn w:val="Heading1"/>
    <w:link w:val="QuoteChar"/>
    <w:qFormat/>
    <w:rsid w:val="00284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F42"/>
    <w:pPr>
      <w:pageBreakBefore/>
    </w:pPr>
  </w:style>
  <w:style w:type="paragraph" w:customStyle="1" w:styleId="Border">
    <w:name w:val="Border"/>
    <w:basedOn w:val="Normal"/>
    <w:qFormat/>
    <w:rsid w:val="00284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F42"/>
    <w:rPr>
      <w:u w:val="single"/>
    </w:rPr>
  </w:style>
  <w:style w:type="character" w:customStyle="1" w:styleId="BoldandItalics">
    <w:name w:val="Bold and Italics"/>
    <w:qFormat/>
    <w:rsid w:val="00284F42"/>
    <w:rPr>
      <w:b/>
      <w:i/>
      <w:u w:val="none"/>
    </w:rPr>
  </w:style>
  <w:style w:type="paragraph" w:styleId="BalloonText">
    <w:name w:val="Balloon Text"/>
    <w:basedOn w:val="Normal"/>
    <w:link w:val="BalloonTextChar"/>
    <w:rsid w:val="0028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F42"/>
    <w:pPr>
      <w:spacing w:before="0" w:after="0"/>
    </w:pPr>
  </w:style>
  <w:style w:type="paragraph" w:customStyle="1" w:styleId="BodyTextBold">
    <w:name w:val="Body Text Bold"/>
    <w:basedOn w:val="BodyText"/>
    <w:qFormat/>
    <w:rsid w:val="00284F42"/>
    <w:rPr>
      <w:b/>
    </w:rPr>
  </w:style>
  <w:style w:type="character" w:styleId="Hyperlink">
    <w:name w:val="Hyperlink"/>
    <w:basedOn w:val="DefaultParagraphFont"/>
    <w:uiPriority w:val="99"/>
    <w:unhideWhenUsed/>
    <w:rsid w:val="00F14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5379</Characters>
  <Application>Microsoft Office Word</Application>
  <DocSecurity>0</DocSecurity>
  <Lines>192</Lines>
  <Paragraphs>117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CUAPPR407 Select and prepare creative work for exhibition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