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4B4" w:rsidP="00874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CUAMLT602 Analyse harmony</w:t>
      </w:r>
      <w:r>
        <w:fldChar w:fldCharType="end"/>
      </w:r>
    </w:p>
    <w:p w:rsidR="008744B4" w:rsidP="008744B4">
      <w:pPr>
        <w:pStyle w:val="Version"/>
        <w:sectPr w:rsidSect="00F11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610" w:rsidP="00F11610">
      <w:pPr>
        <w:pStyle w:val="SuperHeading"/>
      </w:pPr>
      <w:r w:rsidRPr="00F11610">
        <w:t>CUAMLT602 Analyse harmony</w:t>
      </w:r>
    </w:p>
    <w:p w:rsidR="00000000" w:rsidRPr="00F11610" w:rsidP="00F11610">
      <w:pPr>
        <w:pStyle w:val="Heading1"/>
      </w:pPr>
      <w:bookmarkStart w:id="1" w:name="O_798604"/>
      <w:bookmarkEnd w:id="1"/>
      <w:r w:rsidRPr="00F11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rPr>
                <w:rStyle w:val="SpecialBold"/>
              </w:rPr>
              <w:t>Comments</w:t>
            </w:r>
          </w:p>
        </w:tc>
      </w:tr>
      <w:tr w:rsidTr="00F1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t>This version first released with CUA Creative Arts and Culture Training Package version 2.0.</w:t>
            </w:r>
          </w:p>
        </w:tc>
      </w:tr>
    </w:tbl>
    <w:p w:rsidR="00000000" w:rsidRPr="00F11610" w:rsidP="00F11610">
      <w:pPr>
        <w:pStyle w:val="BodyText"/>
      </w:pPr>
    </w:p>
    <w:p w:rsidR="00000000" w:rsidRPr="00F11610" w:rsidP="00F11610">
      <w:pPr>
        <w:pStyle w:val="AllowPageBreak"/>
      </w:pPr>
    </w:p>
    <w:p w:rsidR="00000000" w:rsidRPr="00F11610" w:rsidP="00F11610">
      <w:pPr>
        <w:pStyle w:val="Heading1"/>
      </w:pPr>
      <w:bookmarkStart w:id="2" w:name="O_798605"/>
      <w:bookmarkEnd w:id="2"/>
      <w:r w:rsidRPr="00F11610">
        <w:t>Application</w:t>
      </w:r>
    </w:p>
    <w:p w:rsidR="00000000" w:rsidRPr="00F11610" w:rsidP="008744B4">
      <w:pPr>
        <w:pStyle w:val="BodyText"/>
      </w:pPr>
      <w:r w:rsidRPr="00F11610">
        <w:t>This unit describes the skills and knowledge required to analyse and deconstruct ha</w:t>
      </w:r>
      <w:r w:rsidRPr="00F11610">
        <w:t>rmony for its component parts.</w:t>
      </w:r>
    </w:p>
    <w:p w:rsidR="00000000" w:rsidRPr="00F11610" w:rsidP="008744B4">
      <w:pPr>
        <w:pStyle w:val="BodyText"/>
      </w:pPr>
      <w:r w:rsidRPr="00F11610">
        <w:t xml:space="preserve">It applies to individuals who apply high level knowledge of music theory to analyse harmony. They may work as musicians, composers, arrangers, music producers or music writers. </w:t>
      </w:r>
    </w:p>
    <w:p w:rsidR="008744B4" w:rsidP="008744B4">
      <w:pPr>
        <w:pStyle w:val="BodyText"/>
      </w:pPr>
      <w:r w:rsidRPr="00F11610">
        <w:t>No licensing, legislative or certification re</w:t>
      </w:r>
      <w:r w:rsidRPr="00F11610">
        <w:t>quirements apply to this unit at the time of publication.</w:t>
      </w:r>
    </w:p>
    <w:p w:rsidR="00000000" w:rsidRPr="00F11610" w:rsidP="00F11610">
      <w:pPr>
        <w:pStyle w:val="Heading1"/>
      </w:pPr>
      <w:bookmarkStart w:id="3" w:name="O_798608"/>
      <w:bookmarkEnd w:id="3"/>
      <w:r w:rsidRPr="00F11610">
        <w:t>Unit Sector</w:t>
      </w:r>
    </w:p>
    <w:p w:rsidR="00000000" w:rsidRPr="00F11610" w:rsidP="008744B4">
      <w:pPr>
        <w:pStyle w:val="BodyText"/>
      </w:pPr>
      <w:r w:rsidRPr="00F11610">
        <w:t>Performing arts – music literacy</w:t>
      </w:r>
    </w:p>
    <w:p w:rsidR="00000000" w:rsidRPr="00F11610" w:rsidP="00F11610">
      <w:pPr>
        <w:pStyle w:val="Heading1"/>
      </w:pPr>
      <w:bookmarkStart w:id="4" w:name="O_798609"/>
      <w:bookmarkEnd w:id="4"/>
      <w:r w:rsidRPr="00F116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116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rPr>
                <w:rStyle w:val="SpecialBold"/>
              </w:rPr>
              <w:t>PERFORMANCE CRITERIA</w:t>
            </w:r>
          </w:p>
        </w:tc>
      </w:tr>
      <w:tr w:rsidTr="00F116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16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1. Clarify analysis requirements of the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t>1.1 Discuss with appropriate people the purpose and scope of harmonic analysis</w:t>
            </w:r>
          </w:p>
          <w:p w:rsidR="00000000" w:rsidRPr="00F11610" w:rsidP="00F11610">
            <w:pPr>
              <w:pStyle w:val="BodyText"/>
            </w:pPr>
            <w:r w:rsidRPr="00F11610">
              <w:t>1.2 Determine appropriate methodol</w:t>
            </w:r>
            <w:r w:rsidRPr="00F11610">
              <w:t>ogies for analysing or creating harmonisations in the context of the required task</w:t>
            </w:r>
          </w:p>
          <w:p w:rsidR="00000000" w:rsidRPr="00F11610" w:rsidP="00F11610">
            <w:pPr>
              <w:pStyle w:val="BodyText"/>
            </w:pPr>
            <w:r w:rsidRPr="00F11610">
              <w:t>1.3 Confirm the musical styles and genres of the music to be analysed or harmonised</w:t>
            </w:r>
          </w:p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1.4 Clarify timelines for completion of tasks and factors that may impact on it</w:t>
            </w:r>
          </w:p>
        </w:tc>
      </w:tr>
      <w:tr w:rsidTr="00F116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2. Identify musical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t>2.1 Analyse selected music to identify elements of melody and harmony</w:t>
            </w:r>
          </w:p>
          <w:p w:rsidR="00000000" w:rsidRPr="00F11610" w:rsidP="00F11610">
            <w:pPr>
              <w:pStyle w:val="BodyText"/>
            </w:pPr>
            <w:r w:rsidRPr="00F11610">
              <w:t>2.2 Examine melodies and implied harmonic solutions</w:t>
            </w:r>
          </w:p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2.3 Confirm that the range of music elements is appropriate to meet the standard required for the analysi</w:t>
            </w:r>
            <w:r w:rsidRPr="00F11610">
              <w:t>s or harmonisation</w:t>
            </w:r>
          </w:p>
        </w:tc>
      </w:tr>
      <w:tr w:rsidTr="00F116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3. Analyse the contribution of harmony to performance and compositional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t>3.1 Assess the way harmony functions to inform the distinctive character of composition, performance or arrangement in selected musical pieces</w:t>
            </w:r>
          </w:p>
          <w:p w:rsidR="00000000" w:rsidRPr="00F11610" w:rsidP="00F11610">
            <w:pPr>
              <w:pStyle w:val="BodyText"/>
            </w:pPr>
            <w:r w:rsidRPr="00F11610">
              <w:t xml:space="preserve">3.2 Analyse </w:t>
            </w:r>
            <w:r w:rsidRPr="00F11610">
              <w:t>the ways harmonic elements are combined, manipulated and interpreted to achieve aesthetic, technical and/or expressive outcomes</w:t>
            </w:r>
          </w:p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3.3 Discuss aspects of work in progress with peers, and incorporate different ideas into the analysis as appropriate</w:t>
            </w:r>
          </w:p>
        </w:tc>
      </w:tr>
      <w:tr w:rsidTr="00F116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4. Present</w:t>
            </w:r>
            <w:r w:rsidRPr="00F11610">
              <w:t xml:space="preserve"> analysis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t>4.1 Incorporate theory of harmony and related vocabulary to the analysis</w:t>
            </w:r>
          </w:p>
          <w:p w:rsidR="00000000" w:rsidRPr="00F11610" w:rsidP="00F11610">
            <w:pPr>
              <w:pStyle w:val="BodyText"/>
            </w:pPr>
            <w:r w:rsidRPr="00F11610">
              <w:t>4.2 Compile and document the harmonic analysis in required format within agreed timelines</w:t>
            </w:r>
          </w:p>
          <w:p w:rsidR="00000000" w:rsidRPr="00F11610" w:rsidP="00F11610">
            <w:pPr>
              <w:pStyle w:val="BodyText"/>
            </w:pPr>
            <w:r w:rsidRPr="00F11610">
              <w:t>4.3 Discuss harmonic analysis with appropriate people, and adjust as required</w:t>
            </w:r>
          </w:p>
          <w:p w:rsidR="00000000" w:rsidRPr="00F11610" w:rsidP="00F11610">
            <w:pPr>
              <w:pStyle w:val="BodyText"/>
            </w:pPr>
            <w:r w:rsidRPr="00F11610">
              <w:t xml:space="preserve">4.4 </w:t>
            </w:r>
            <w:r w:rsidRPr="00F11610">
              <w:t>Seek feedback from appropriate people, evaluate own harmonic analysis and processes used for analysing harmony, and note areas for future improvement</w:t>
            </w:r>
          </w:p>
        </w:tc>
      </w:tr>
    </w:tbl>
    <w:p w:rsidR="00000000" w:rsidRPr="00F11610" w:rsidP="00F11610">
      <w:pPr>
        <w:pStyle w:val="BodyText"/>
      </w:pPr>
    </w:p>
    <w:p w:rsidR="00000000" w:rsidRPr="00F11610" w:rsidP="00F11610">
      <w:pPr>
        <w:pStyle w:val="AllowPageBreak"/>
      </w:pPr>
    </w:p>
    <w:p w:rsidR="00000000" w:rsidRPr="00F11610" w:rsidP="00F11610">
      <w:pPr>
        <w:pStyle w:val="Heading1"/>
      </w:pPr>
      <w:bookmarkStart w:id="5" w:name="O_798610"/>
      <w:bookmarkEnd w:id="5"/>
      <w:r w:rsidRPr="00F11610">
        <w:t>Foundation Skills</w:t>
      </w:r>
    </w:p>
    <w:p w:rsidR="00000000" w:rsidRPr="008744B4" w:rsidP="008744B4">
      <w:pPr>
        <w:pStyle w:val="BodyText"/>
        <w:rPr>
          <w:i/>
        </w:rPr>
      </w:pPr>
      <w:r w:rsidRPr="008744B4">
        <w:rPr>
          <w:rStyle w:val="Emphasis"/>
        </w:rPr>
        <w:t>This section describes language, literacy, numeracy and employment sk</w:t>
      </w:r>
      <w:r w:rsidRPr="008744B4">
        <w:rPr>
          <w:rStyle w:val="Emphasis"/>
        </w:rPr>
        <w:t>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116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rPr>
                <w:rStyle w:val="SpecialBold"/>
              </w:rPr>
              <w:t>Description</w:t>
            </w:r>
          </w:p>
        </w:tc>
      </w:tr>
      <w:tr w:rsidTr="00F116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ListBullet"/>
              <w:rPr>
                <w:lang w:val="en-NZ"/>
              </w:rPr>
            </w:pPr>
            <w:r w:rsidRPr="00F11610">
              <w:t>Uses feedback to plan, implement and adjust own music analysis skills</w:t>
            </w:r>
          </w:p>
        </w:tc>
      </w:tr>
      <w:tr w:rsidTr="00F116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2.1, 2.2, 4.2, 4.4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ListBullet"/>
              <w:rPr>
                <w:lang w:val="en-NZ"/>
              </w:rPr>
            </w:pPr>
            <w:r w:rsidRPr="00F11610">
              <w:t>Identifies and interprets textual information in a variety of forms</w:t>
            </w:r>
          </w:p>
        </w:tc>
      </w:tr>
      <w:tr w:rsidTr="00F116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ListBullet"/>
              <w:rPr>
                <w:lang w:val="en-NZ"/>
              </w:rPr>
            </w:pPr>
            <w:r w:rsidRPr="00F11610">
              <w:t>Prepares specific information using required terminology and formats</w:t>
            </w:r>
          </w:p>
        </w:tc>
      </w:tr>
      <w:tr w:rsidTr="00F116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1.1, 3.1-3,3,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ListBullet"/>
            </w:pPr>
            <w:r w:rsidRPr="00F11610">
              <w:t>Participates in a verbal exchange of ideas</w:t>
            </w:r>
          </w:p>
          <w:p w:rsidR="00000000" w:rsidRPr="00F11610" w:rsidP="00F11610">
            <w:pPr>
              <w:pStyle w:val="ListBullet"/>
            </w:pPr>
            <w:r w:rsidRPr="00F11610">
              <w:t>Uses listening and questioning skills to seek information and check understanding</w:t>
            </w:r>
          </w:p>
          <w:p w:rsidR="00000000" w:rsidP="00F11610">
            <w:pPr>
              <w:pStyle w:val="ListBullet"/>
              <w:rPr>
                <w:lang w:val="en-NZ"/>
              </w:rPr>
            </w:pPr>
            <w:r w:rsidRPr="00F11610">
              <w:t>Derives meaning from an aural analysis of harmonic options</w:t>
            </w:r>
          </w:p>
        </w:tc>
      </w:tr>
      <w:tr w:rsidTr="00F116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1.4, 3.1, 4.2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ListBullet"/>
            </w:pPr>
            <w:r w:rsidRPr="00F11610">
              <w:t>Defines and clarifies timeframes in accordance with schedule requirements</w:t>
            </w:r>
          </w:p>
          <w:p w:rsidR="00000000" w:rsidP="00F11610">
            <w:pPr>
              <w:pStyle w:val="ListBullet"/>
              <w:rPr>
                <w:lang w:val="en-NZ"/>
              </w:rPr>
            </w:pPr>
            <w:r w:rsidRPr="00F11610">
              <w:t>Selects from, a</w:t>
            </w:r>
            <w:r w:rsidRPr="00F11610">
              <w:t>nd flexibly applies, a wide range of harmonic elements to meet the requirements of the brief</w:t>
            </w:r>
          </w:p>
        </w:tc>
      </w:tr>
      <w:tr w:rsidTr="00F116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1.1, 3.3, 4.3, 4.4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ListBullet"/>
              <w:rPr>
                <w:lang w:val="en-NZ"/>
              </w:rPr>
            </w:pPr>
            <w:r w:rsidRPr="00F11610">
              <w:t>Uses appropriate communication practices and protocols in discussions about own work</w:t>
            </w:r>
          </w:p>
        </w:tc>
      </w:tr>
      <w:tr w:rsidTr="00F116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1.2</w:t>
            </w:r>
            <w:r w:rsidRPr="00F11610">
              <w:t>-1.4, 2.3, 4.2, 4.4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ListBullet"/>
            </w:pPr>
            <w:r w:rsidRPr="00F11610">
              <w:t>Plans and completes tasks required to achieve goals in a logical and efficient sequence</w:t>
            </w:r>
          </w:p>
          <w:p w:rsidR="00000000" w:rsidRPr="00F11610" w:rsidP="00F11610">
            <w:pPr>
              <w:pStyle w:val="ListBullet"/>
            </w:pPr>
            <w:r w:rsidRPr="00F11610">
              <w:t>Applies analytical processes to make decisions</w:t>
            </w:r>
          </w:p>
        </w:tc>
      </w:tr>
    </w:tbl>
    <w:p w:rsidR="00000000" w:rsidRPr="00F11610" w:rsidP="00F11610">
      <w:pPr>
        <w:pStyle w:val="BodyText"/>
      </w:pPr>
    </w:p>
    <w:p w:rsidR="00000000" w:rsidRPr="00F11610" w:rsidP="00F11610">
      <w:pPr>
        <w:pStyle w:val="AllowPageBreak"/>
      </w:pPr>
    </w:p>
    <w:p w:rsidR="00000000" w:rsidRPr="00F11610" w:rsidP="00F11610">
      <w:pPr>
        <w:pStyle w:val="Heading1"/>
      </w:pPr>
      <w:bookmarkStart w:id="6" w:name="O_798612"/>
      <w:bookmarkEnd w:id="6"/>
      <w:r w:rsidRPr="00F116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1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 xml:space="preserve">Code and title </w:t>
            </w:r>
          </w:p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Code and title</w:t>
            </w:r>
          </w:p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rPr>
                <w:rStyle w:val="SpecialBold"/>
              </w:rPr>
              <w:t>Equivalence status</w:t>
            </w:r>
          </w:p>
        </w:tc>
      </w:tr>
      <w:tr w:rsidTr="00F1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CUAMLT602 Analyse harmony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CUSMLT602A Analyse harmony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t>Equivalent unit</w:t>
            </w:r>
          </w:p>
        </w:tc>
      </w:tr>
    </w:tbl>
    <w:p w:rsidR="008744B4" w:rsidP="00F11610">
      <w:pPr>
        <w:pStyle w:val="BodyText"/>
      </w:pPr>
    </w:p>
    <w:p w:rsidR="008744B4" w:rsidP="00F11610">
      <w:pPr>
        <w:pStyle w:val="BodyText"/>
      </w:pPr>
    </w:p>
    <w:p w:rsidR="00000000" w:rsidRPr="00F11610" w:rsidP="00F11610">
      <w:pPr>
        <w:pStyle w:val="Heading1"/>
      </w:pPr>
      <w:bookmarkStart w:id="7" w:name="O_798619"/>
      <w:bookmarkEnd w:id="7"/>
      <w:r w:rsidRPr="00F11610">
        <w:t>Links</w:t>
      </w:r>
    </w:p>
    <w:p w:rsidR="00000000" w:rsidRPr="00F11610" w:rsidP="008744B4">
      <w:pPr>
        <w:pStyle w:val="BodyText"/>
      </w:pPr>
      <w:r w:rsidRPr="00F116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13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1610" w:rsidP="008744B4">
      <w:pPr>
        <w:pStyle w:val="BodyText"/>
        <w:sectPr w:rsidSect="00F116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1610" w:rsidP="00F11610">
      <w:pPr>
        <w:pStyle w:val="SuperHeading"/>
      </w:pPr>
      <w:r w:rsidRPr="00F11610">
        <w:t>Assessment Requirements for CUAMLT602 Analyse harmony</w:t>
      </w:r>
    </w:p>
    <w:p w:rsidR="00000000" w:rsidRPr="00F11610" w:rsidP="00F11610">
      <w:pPr>
        <w:pStyle w:val="Heading1"/>
      </w:pPr>
      <w:bookmarkStart w:id="8" w:name="O_798614"/>
      <w:bookmarkEnd w:id="8"/>
      <w:r w:rsidRPr="00F11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rPr>
                <w:rStyle w:val="SpecialBold"/>
              </w:rPr>
              <w:t>Comments</w:t>
            </w:r>
          </w:p>
        </w:tc>
      </w:tr>
      <w:tr w:rsidTr="00F1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610">
            <w:pPr>
              <w:pStyle w:val="BodyText"/>
              <w:rPr>
                <w:lang w:val="en-NZ"/>
              </w:rPr>
            </w:pPr>
            <w:r w:rsidRPr="00F116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610" w:rsidP="00F11610">
            <w:pPr>
              <w:pStyle w:val="BodyText"/>
            </w:pPr>
            <w:r w:rsidRPr="00F11610">
              <w:t>This version first released with CUA Creative Arts and Culture Training Package version 2.0.</w:t>
            </w:r>
          </w:p>
        </w:tc>
      </w:tr>
    </w:tbl>
    <w:p w:rsidR="00000000" w:rsidRPr="00F11610" w:rsidP="00F11610">
      <w:pPr>
        <w:pStyle w:val="BodyText"/>
      </w:pPr>
    </w:p>
    <w:p w:rsidR="00000000" w:rsidRPr="00F11610" w:rsidP="00F11610">
      <w:pPr>
        <w:pStyle w:val="AllowPageBreak"/>
      </w:pPr>
    </w:p>
    <w:p w:rsidR="00000000" w:rsidRPr="00F11610" w:rsidP="00F11610">
      <w:pPr>
        <w:pStyle w:val="Heading1"/>
      </w:pPr>
      <w:bookmarkStart w:id="9" w:name="O_798615"/>
      <w:bookmarkEnd w:id="9"/>
      <w:r w:rsidRPr="00F11610">
        <w:t>Performance Evidence</w:t>
      </w:r>
    </w:p>
    <w:p w:rsidR="00000000" w:rsidRPr="00F11610" w:rsidP="008744B4">
      <w:pPr>
        <w:pStyle w:val="BodyText"/>
      </w:pPr>
      <w:r w:rsidRPr="00F11610">
        <w:t>Evidence of the ability to:</w:t>
      </w:r>
    </w:p>
    <w:p w:rsidR="00000000" w:rsidRPr="00F11610" w:rsidP="00F11610">
      <w:pPr>
        <w:pStyle w:val="ListBullet"/>
      </w:pPr>
      <w:r w:rsidRPr="00F11610">
        <w:t>complete at least three harmonic analyses that incorporate advanced harmonic theories and prin</w:t>
      </w:r>
      <w:r w:rsidRPr="00F11610">
        <w:t>ciples</w:t>
      </w:r>
    </w:p>
    <w:p w:rsidR="00000000" w:rsidRPr="00F11610" w:rsidP="00F11610">
      <w:pPr>
        <w:pStyle w:val="ListBullet"/>
      </w:pPr>
      <w:r w:rsidRPr="00F11610">
        <w:t>discuss harmony in relation to performance and compositional outcomes</w:t>
      </w:r>
    </w:p>
    <w:p w:rsidR="00000000" w:rsidRPr="00F11610" w:rsidP="00F11610">
      <w:pPr>
        <w:pStyle w:val="ListBullet"/>
      </w:pPr>
      <w:r w:rsidRPr="00F11610">
        <w:t>apply harmonic analysis to own professional practice</w:t>
      </w:r>
    </w:p>
    <w:p w:rsidR="00000000" w:rsidRPr="00F11610" w:rsidP="00F11610">
      <w:pPr>
        <w:pStyle w:val="ListBullet"/>
      </w:pPr>
      <w:r w:rsidRPr="00F11610">
        <w:t>evaluate own analysis of harmony for future improvement.</w:t>
      </w:r>
    </w:p>
    <w:p w:rsidR="00000000" w:rsidRPr="00F11610" w:rsidP="00F11610">
      <w:pPr>
        <w:pStyle w:val="BodyText"/>
      </w:pPr>
    </w:p>
    <w:p w:rsidR="008744B4" w:rsidP="008744B4">
      <w:pPr>
        <w:pStyle w:val="BodyText"/>
      </w:pPr>
      <w:r w:rsidRPr="00F11610">
        <w:t>Note: If a specific volume or frequency is not stated, then evidence must be provided at least once.</w:t>
      </w:r>
    </w:p>
    <w:p w:rsidR="00000000" w:rsidRPr="00F11610" w:rsidP="00F11610">
      <w:pPr>
        <w:pStyle w:val="Heading1"/>
      </w:pPr>
      <w:bookmarkStart w:id="10" w:name="O_798616"/>
      <w:bookmarkEnd w:id="10"/>
      <w:r w:rsidRPr="00F11610">
        <w:t>Knowledge Evidence</w:t>
      </w:r>
    </w:p>
    <w:p w:rsidR="00000000" w:rsidRPr="00F11610" w:rsidP="008744B4">
      <w:pPr>
        <w:pStyle w:val="BodyText"/>
      </w:pPr>
      <w:r w:rsidRPr="00F11610">
        <w:t>To complete the unit requirements safely and effectively, the individual must:</w:t>
      </w:r>
    </w:p>
    <w:p w:rsidR="00000000" w:rsidRPr="00F11610" w:rsidP="00F11610">
      <w:pPr>
        <w:pStyle w:val="ListBullet"/>
      </w:pPr>
      <w:r w:rsidRPr="00F11610">
        <w:t>explain methodologies and theories use</w:t>
      </w:r>
      <w:r w:rsidRPr="00F11610">
        <w:t>d for analysis of harmony</w:t>
      </w:r>
    </w:p>
    <w:p w:rsidR="00000000" w:rsidRPr="00F11610" w:rsidP="00F11610">
      <w:pPr>
        <w:pStyle w:val="ListBullet"/>
      </w:pPr>
      <w:r w:rsidRPr="00F11610">
        <w:t>describe harmonic elements and explain ways in which they can be used to achieve different aesthetic, technical and/or expressive musical outcomes.</w:t>
      </w:r>
    </w:p>
    <w:p w:rsidR="00000000" w:rsidRPr="00F11610" w:rsidP="00F11610">
      <w:pPr>
        <w:pStyle w:val="AllowPageBreak"/>
      </w:pPr>
    </w:p>
    <w:p w:rsidR="00000000" w:rsidRPr="00F11610" w:rsidP="00F11610">
      <w:pPr>
        <w:pStyle w:val="Heading1"/>
      </w:pPr>
      <w:bookmarkStart w:id="11" w:name="O_798617"/>
      <w:bookmarkEnd w:id="11"/>
      <w:r w:rsidRPr="00F11610">
        <w:t>Assessment Conditions</w:t>
      </w:r>
    </w:p>
    <w:p w:rsidR="00000000" w:rsidRPr="00F11610" w:rsidP="008744B4">
      <w:pPr>
        <w:pStyle w:val="BodyText"/>
      </w:pPr>
      <w:r w:rsidRPr="00F11610">
        <w:t>Assessment must be conducted in a safe envi</w:t>
      </w:r>
      <w:r w:rsidRPr="00F11610">
        <w:t xml:space="preserve">ronment where evidence gathered demonstrates consistent performance of typical activities experienced in creative arts industry environments. The assessment environment must include access to: </w:t>
      </w:r>
    </w:p>
    <w:p w:rsidR="00000000" w:rsidRPr="00F11610" w:rsidP="00F11610">
      <w:pPr>
        <w:pStyle w:val="ListBullet"/>
      </w:pPr>
      <w:r w:rsidRPr="00F11610">
        <w:t xml:space="preserve">opportunities to apply analyses in a practical context </w:t>
      </w:r>
    </w:p>
    <w:p w:rsidR="00000000" w:rsidRPr="00F11610" w:rsidP="00F11610">
      <w:pPr>
        <w:pStyle w:val="ListBullet"/>
      </w:pPr>
      <w:r w:rsidRPr="00F11610">
        <w:t>print</w:t>
      </w:r>
      <w:r w:rsidRPr="00F11610">
        <w:t>ed scores and/or recorded/live performances and realisations.</w:t>
      </w:r>
    </w:p>
    <w:p w:rsidR="00000000" w:rsidRPr="00F11610" w:rsidP="00F11610">
      <w:pPr>
        <w:pStyle w:val="BodyText"/>
      </w:pPr>
    </w:p>
    <w:p w:rsidR="008744B4" w:rsidP="008744B4">
      <w:pPr>
        <w:pStyle w:val="BodyText"/>
      </w:pPr>
      <w:r w:rsidRPr="00F11610">
        <w:t>Assessors of this unit must satisfy the requirements for assessors in applicable vocational educational and training legislation, frameworks and/or standards.</w:t>
      </w:r>
    </w:p>
    <w:p w:rsidR="00000000" w:rsidRPr="00F11610" w:rsidP="00F11610">
      <w:pPr>
        <w:pStyle w:val="Heading1"/>
      </w:pPr>
      <w:bookmarkStart w:id="12" w:name="O_798620"/>
      <w:bookmarkEnd w:id="12"/>
      <w:r w:rsidRPr="00F11610">
        <w:t>Links</w:t>
      </w:r>
    </w:p>
    <w:p w:rsidR="00000000" w:rsidRPr="00F11610" w:rsidP="008744B4">
      <w:pPr>
        <w:pStyle w:val="BodyText"/>
      </w:pPr>
      <w:r w:rsidRPr="00F116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13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1610" w:rsidP="00F11610"/>
    <w:sectPr w:rsidSect="00F116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10" w:rsidRPr="008744B4" w:rsidP="00874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B4" w:rsidP="00F11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4B4" w:rsidP="00F11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744B4" w:rsidP="00F116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10" w:rsidP="00F11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44B4">
      <w:t>Approved</w:t>
    </w:r>
    <w:r w:rsidR="008744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44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44B4">
      <w:rPr>
        <w:noProof/>
      </w:rPr>
      <w:t>4</w:t>
    </w:r>
    <w:r>
      <w:rPr>
        <w:noProof/>
      </w:rPr>
      <w:fldChar w:fldCharType="end"/>
    </w:r>
  </w:p>
  <w:p w:rsidR="00F11610" w:rsidP="00F11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44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44B4">
      <w:t>Service and Creative Skills Australia</w:t>
    </w:r>
    <w:r w:rsidR="008744B4">
      <w:fldChar w:fldCharType="end"/>
    </w:r>
  </w:p>
  <w:p w:rsidR="00F11610" w:rsidP="00F11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610" w:rsidRPr="008744B4" w:rsidP="00874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B4" w:rsidRPr="002D2AF8" w:rsidP="00F11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CUAMLT602 Analyse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44B4" w:rsidP="00F116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10" w:rsidRPr="002D2AF8" w:rsidP="00F11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44B4">
      <w:t>CUAMLT602 Analyse harmony</w:t>
    </w:r>
    <w:r w:rsidR="008744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44B4">
      <w:rPr>
        <w:noProof/>
      </w:rPr>
      <w:t>1 March 2025</w:t>
    </w:r>
    <w:r>
      <w:fldChar w:fldCharType="end"/>
    </w:r>
  </w:p>
  <w:p w:rsidR="00F11610" w:rsidP="00F11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AAF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2D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610"/>
  </w:style>
  <w:style w:type="character" w:customStyle="1" w:styleId="Heading1Char">
    <w:name w:val="Heading 1 Char"/>
    <w:basedOn w:val="DefaultParagraphFont"/>
    <w:link w:val="Heading1"/>
    <w:rsid w:val="00F11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6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610"/>
    <w:rPr>
      <w:b/>
      <w:spacing w:val="0"/>
    </w:rPr>
  </w:style>
  <w:style w:type="character" w:styleId="Emphasis">
    <w:name w:val="Emphasis"/>
    <w:basedOn w:val="DefaultParagraphFont"/>
    <w:qFormat/>
    <w:rsid w:val="00F11610"/>
    <w:rPr>
      <w:i/>
    </w:rPr>
  </w:style>
  <w:style w:type="paragraph" w:customStyle="1" w:styleId="SuperHeading">
    <w:name w:val="SuperHeading"/>
    <w:basedOn w:val="Normal"/>
    <w:rsid w:val="00F11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6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6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1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610"/>
  </w:style>
  <w:style w:type="paragraph" w:styleId="TableofFigures">
    <w:name w:val="table of figures"/>
    <w:basedOn w:val="Normal"/>
    <w:next w:val="Normal"/>
    <w:semiHidden/>
    <w:rsid w:val="00F11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6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1610"/>
    <w:rPr>
      <w:rFonts w:ascii="Wingdings" w:hAnsi="Wingdings"/>
    </w:rPr>
  </w:style>
  <w:style w:type="paragraph" w:customStyle="1" w:styleId="TableHeading">
    <w:name w:val="Table Heading"/>
    <w:basedOn w:val="HeadingBase"/>
    <w:rsid w:val="00F11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610"/>
    <w:rPr>
      <w:color w:val="0033CC"/>
      <w:u w:val="none"/>
    </w:rPr>
  </w:style>
  <w:style w:type="paragraph" w:customStyle="1" w:styleId="BodyTextRight">
    <w:name w:val="Body Text Right"/>
    <w:basedOn w:val="BodyText"/>
    <w:rsid w:val="00F11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6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610"/>
    <w:rPr>
      <w:sz w:val="32"/>
    </w:rPr>
  </w:style>
  <w:style w:type="paragraph" w:customStyle="1" w:styleId="HeadingProcedure">
    <w:name w:val="Heading Procedure"/>
    <w:basedOn w:val="HeadingBase"/>
    <w:next w:val="Normal"/>
    <w:rsid w:val="00F11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610"/>
    <w:pPr>
      <w:spacing w:before="60" w:after="60"/>
    </w:pPr>
  </w:style>
  <w:style w:type="paragraph" w:styleId="ListContinue">
    <w:name w:val="List Continue"/>
    <w:basedOn w:val="List"/>
    <w:rsid w:val="00F11610"/>
    <w:pPr>
      <w:ind w:firstLine="0"/>
    </w:pPr>
  </w:style>
  <w:style w:type="paragraph" w:customStyle="1" w:styleId="ListNote">
    <w:name w:val="List Note"/>
    <w:basedOn w:val="List"/>
    <w:rsid w:val="00F11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610"/>
    <w:rPr>
      <w:rFonts w:ascii="Courier New" w:hAnsi="Courier New"/>
    </w:rPr>
  </w:style>
  <w:style w:type="paragraph" w:customStyle="1" w:styleId="NoteBullet">
    <w:name w:val="Note Bullet"/>
    <w:basedOn w:val="Note"/>
    <w:rsid w:val="00F11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6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1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610"/>
    <w:rPr>
      <w:b/>
      <w:smallCaps/>
    </w:rPr>
  </w:style>
  <w:style w:type="paragraph" w:customStyle="1" w:styleId="TableListNumber">
    <w:name w:val="Table List Number"/>
    <w:basedOn w:val="ListNumber"/>
    <w:rsid w:val="00F11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610"/>
    <w:pPr>
      <w:numPr>
        <w:numId w:val="8"/>
      </w:numPr>
    </w:pPr>
  </w:style>
  <w:style w:type="paragraph" w:customStyle="1" w:styleId="ListAlpha2">
    <w:name w:val="List Alpha 2"/>
    <w:basedOn w:val="List2"/>
    <w:rsid w:val="00F11610"/>
    <w:pPr>
      <w:numPr>
        <w:numId w:val="7"/>
      </w:numPr>
    </w:pPr>
  </w:style>
  <w:style w:type="paragraph" w:styleId="List2">
    <w:name w:val="List 2"/>
    <w:basedOn w:val="BodyText"/>
    <w:rsid w:val="00F11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6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6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1610"/>
    <w:pPr>
      <w:numPr>
        <w:numId w:val="3"/>
      </w:numPr>
    </w:pPr>
  </w:style>
  <w:style w:type="paragraph" w:styleId="ListContinue2">
    <w:name w:val="List Continue 2"/>
    <w:basedOn w:val="List2"/>
    <w:rsid w:val="00F11610"/>
    <w:pPr>
      <w:ind w:firstLine="0"/>
    </w:pPr>
  </w:style>
  <w:style w:type="paragraph" w:styleId="ListContinue3">
    <w:name w:val="List Continue 3"/>
    <w:basedOn w:val="List3"/>
    <w:rsid w:val="00F11610"/>
    <w:pPr>
      <w:ind w:left="1021" w:firstLine="0"/>
    </w:pPr>
  </w:style>
  <w:style w:type="paragraph" w:styleId="ListContinue4">
    <w:name w:val="List Continue 4"/>
    <w:basedOn w:val="List4"/>
    <w:rsid w:val="00F11610"/>
    <w:pPr>
      <w:ind w:firstLine="0"/>
    </w:pPr>
  </w:style>
  <w:style w:type="paragraph" w:styleId="ListContinue5">
    <w:name w:val="List Continue 5"/>
    <w:basedOn w:val="List5"/>
    <w:rsid w:val="00F11610"/>
    <w:pPr>
      <w:ind w:firstLine="0"/>
    </w:pPr>
  </w:style>
  <w:style w:type="paragraph" w:styleId="ListNumber3">
    <w:name w:val="List Number 3"/>
    <w:basedOn w:val="List3"/>
    <w:rsid w:val="00F11610"/>
    <w:pPr>
      <w:numPr>
        <w:numId w:val="4"/>
      </w:numPr>
    </w:pPr>
  </w:style>
  <w:style w:type="paragraph" w:styleId="ListNumber4">
    <w:name w:val="List Number 4"/>
    <w:basedOn w:val="List4"/>
    <w:rsid w:val="00F11610"/>
    <w:pPr>
      <w:numPr>
        <w:numId w:val="5"/>
      </w:numPr>
    </w:pPr>
  </w:style>
  <w:style w:type="paragraph" w:styleId="ListNumber5">
    <w:name w:val="List Number 5"/>
    <w:basedOn w:val="List5"/>
    <w:rsid w:val="00F11610"/>
    <w:pPr>
      <w:numPr>
        <w:numId w:val="6"/>
      </w:numPr>
    </w:pPr>
  </w:style>
  <w:style w:type="paragraph" w:styleId="BlockText">
    <w:name w:val="Block Text"/>
    <w:basedOn w:val="Normal"/>
    <w:rsid w:val="00F11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610"/>
    <w:rPr>
      <w:sz w:val="16"/>
      <w:vertAlign w:val="superscript"/>
    </w:rPr>
  </w:style>
  <w:style w:type="character" w:customStyle="1" w:styleId="Symbols">
    <w:name w:val="Symbols"/>
    <w:basedOn w:val="DefaultParagraphFont"/>
    <w:rsid w:val="00F11610"/>
    <w:rPr>
      <w:rFonts w:ascii="Symbol" w:hAnsi="Symbol"/>
    </w:rPr>
  </w:style>
  <w:style w:type="character" w:customStyle="1" w:styleId="MenuOptions">
    <w:name w:val="Menu Options"/>
    <w:basedOn w:val="DefaultParagraphFont"/>
    <w:rsid w:val="00F11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610"/>
    <w:rPr>
      <w:b/>
    </w:rPr>
  </w:style>
  <w:style w:type="character" w:customStyle="1" w:styleId="Underlined">
    <w:name w:val="Underlined"/>
    <w:basedOn w:val="DefaultParagraphFont"/>
    <w:rsid w:val="00F11610"/>
    <w:rPr>
      <w:u w:val="single"/>
    </w:rPr>
  </w:style>
  <w:style w:type="paragraph" w:customStyle="1" w:styleId="TableBodyTextRight">
    <w:name w:val="Table Body Text Right"/>
    <w:basedOn w:val="TableBodyText"/>
    <w:rsid w:val="00F11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610"/>
    <w:rPr>
      <w:sz w:val="18"/>
    </w:rPr>
  </w:style>
  <w:style w:type="paragraph" w:customStyle="1" w:styleId="BodySmallRight">
    <w:name w:val="Body Small Right"/>
    <w:basedOn w:val="BodyTextRight"/>
    <w:rsid w:val="00F11610"/>
    <w:rPr>
      <w:sz w:val="18"/>
      <w:szCs w:val="18"/>
    </w:rPr>
  </w:style>
  <w:style w:type="paragraph" w:customStyle="1" w:styleId="MarginEdition">
    <w:name w:val="Margin Edition"/>
    <w:basedOn w:val="MarginNote"/>
    <w:rsid w:val="00F11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610"/>
    <w:rPr>
      <w:sz w:val="2"/>
      <w:szCs w:val="2"/>
    </w:rPr>
  </w:style>
  <w:style w:type="character" w:customStyle="1" w:styleId="Small">
    <w:name w:val="Small"/>
    <w:basedOn w:val="DefaultParagraphFont"/>
    <w:rsid w:val="00F11610"/>
    <w:rPr>
      <w:sz w:val="16"/>
    </w:rPr>
  </w:style>
  <w:style w:type="paragraph" w:customStyle="1" w:styleId="WideTable">
    <w:name w:val="Wide Table"/>
    <w:basedOn w:val="Normal"/>
    <w:rsid w:val="00F11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610"/>
  </w:style>
  <w:style w:type="paragraph" w:styleId="Quote">
    <w:name w:val="Quote"/>
    <w:basedOn w:val="Heading1"/>
    <w:link w:val="QuoteChar"/>
    <w:qFormat/>
    <w:rsid w:val="00F11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610"/>
    <w:pPr>
      <w:pageBreakBefore/>
    </w:pPr>
  </w:style>
  <w:style w:type="paragraph" w:customStyle="1" w:styleId="Border">
    <w:name w:val="Border"/>
    <w:basedOn w:val="Normal"/>
    <w:qFormat/>
    <w:rsid w:val="00F11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610"/>
    <w:rPr>
      <w:u w:val="single"/>
    </w:rPr>
  </w:style>
  <w:style w:type="character" w:customStyle="1" w:styleId="BoldandItalics">
    <w:name w:val="Bold and Italics"/>
    <w:qFormat/>
    <w:rsid w:val="00F11610"/>
    <w:rPr>
      <w:b/>
      <w:i/>
      <w:u w:val="none"/>
    </w:rPr>
  </w:style>
  <w:style w:type="paragraph" w:styleId="BalloonText">
    <w:name w:val="Balloon Text"/>
    <w:basedOn w:val="Normal"/>
    <w:link w:val="BalloonTextChar"/>
    <w:rsid w:val="00F11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610"/>
    <w:pPr>
      <w:spacing w:before="0" w:after="0"/>
    </w:pPr>
  </w:style>
  <w:style w:type="paragraph" w:customStyle="1" w:styleId="BodyTextBold">
    <w:name w:val="Body Text Bold"/>
    <w:basedOn w:val="BodyText"/>
    <w:qFormat/>
    <w:rsid w:val="00F11610"/>
    <w:rPr>
      <w:b/>
    </w:rPr>
  </w:style>
  <w:style w:type="character" w:styleId="Hyperlink">
    <w:name w:val="Hyperlink"/>
    <w:basedOn w:val="DefaultParagraphFont"/>
    <w:uiPriority w:val="99"/>
    <w:unhideWhenUsed/>
    <w:rsid w:val="00874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5154</Characters>
  <Application>Microsoft Office Word</Application>
  <DocSecurity>0</DocSecurity>
  <Lines>190</Lines>
  <Paragraphs>124</Paragraphs>
  <ScaleCrop>false</ScaleCrop>
  <Company>Author-it Software Corporation Ltd.</Company>
  <LinksUpToDate>false</LinksUpToDate>
  <CharactersWithSpaces>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CUAMLT602 Analyse harmony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