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9EC" w:rsidP="00B21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CUALGT301 Operate basic lighting</w:t>
      </w:r>
      <w:r>
        <w:fldChar w:fldCharType="end"/>
      </w:r>
    </w:p>
    <w:p w:rsidR="00B219EC" w:rsidP="00B219EC">
      <w:pPr>
        <w:pStyle w:val="Version"/>
        <w:sectPr w:rsidSect="00571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1BB1" w:rsidP="00571BB1">
      <w:pPr>
        <w:pStyle w:val="SuperHeading"/>
      </w:pPr>
      <w:r w:rsidRPr="00571BB1">
        <w:t>CUALGT301 Operate basic lighting</w:t>
      </w:r>
    </w:p>
    <w:p w:rsidR="00000000" w:rsidRPr="00571BB1" w:rsidP="00571BB1">
      <w:pPr>
        <w:pStyle w:val="Heading1"/>
      </w:pPr>
      <w:bookmarkStart w:id="1" w:name="O_807978"/>
      <w:bookmarkEnd w:id="1"/>
      <w:r w:rsidRPr="00571B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rPr>
                <w:rStyle w:val="SpecialBold"/>
              </w:rPr>
              <w:t>Comments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This version first released with CUA Creative Arts and Culture Training Package version 1.0.</w:t>
            </w:r>
          </w:p>
        </w:tc>
      </w:tr>
    </w:tbl>
    <w:p w:rsidR="00000000" w:rsidRPr="00571BB1" w:rsidP="00571BB1">
      <w:pPr>
        <w:pStyle w:val="BodyText"/>
      </w:pP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2" w:name="O_807977"/>
      <w:bookmarkEnd w:id="2"/>
      <w:r w:rsidRPr="00571BB1">
        <w:t>Application</w:t>
      </w:r>
    </w:p>
    <w:p w:rsidR="00000000" w:rsidRPr="00571BB1" w:rsidP="00B219EC">
      <w:pPr>
        <w:pStyle w:val="BodyText"/>
      </w:pPr>
      <w:r w:rsidRPr="00571BB1">
        <w:t>This unit describes the performance outcomes, skills and knowledge required to plot, record, modify and operate standard</w:t>
      </w:r>
      <w:r w:rsidRPr="00571BB1">
        <w:t xml:space="preserve"> lighting cues on lighting consoles typically used in small-scale productions and events.</w:t>
      </w:r>
    </w:p>
    <w:p w:rsidR="00000000" w:rsidRPr="00571BB1" w:rsidP="00B219EC">
      <w:pPr>
        <w:pStyle w:val="BodyText"/>
      </w:pPr>
      <w:r w:rsidRPr="00571BB1">
        <w:t>At this level, individuals are required to use some discretion and judgement and operate under broad supervision within an established framework of plans and procedu</w:t>
      </w:r>
      <w:r w:rsidRPr="00571BB1">
        <w:t>res.</w:t>
      </w:r>
    </w:p>
    <w:p w:rsidR="00000000" w:rsidRPr="00571BB1" w:rsidP="00B219EC">
      <w:pPr>
        <w:pStyle w:val="BodyText"/>
      </w:pPr>
      <w:r w:rsidRPr="00571BB1">
        <w:t>No licensing, legislative or certification requirements apply to this unit at the time of publication.</w:t>
      </w:r>
    </w:p>
    <w:p w:rsidR="00000000" w:rsidRPr="00571BB1" w:rsidP="00571BB1">
      <w:pPr>
        <w:pStyle w:val="Heading1"/>
      </w:pPr>
      <w:bookmarkStart w:id="3" w:name="O_807976"/>
      <w:bookmarkEnd w:id="3"/>
      <w:r w:rsidRPr="00571BB1">
        <w:t>Unit Sector</w:t>
      </w:r>
    </w:p>
    <w:p w:rsidR="00000000" w:rsidRPr="00571BB1" w:rsidP="00B219EC">
      <w:pPr>
        <w:pStyle w:val="BodyText"/>
      </w:pPr>
      <w:r w:rsidRPr="00571BB1">
        <w:t>Media and entertainment production – lighting</w:t>
      </w:r>
    </w:p>
    <w:p w:rsidR="00000000" w:rsidRPr="00571BB1" w:rsidP="00571BB1">
      <w:pPr>
        <w:pStyle w:val="Heading1"/>
      </w:pPr>
      <w:bookmarkStart w:id="4" w:name="O_807975"/>
      <w:bookmarkEnd w:id="4"/>
      <w:r w:rsidRPr="00571B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Elements</w:t>
            </w:r>
          </w:p>
          <w:p w:rsidR="00000000" w:rsidRPr="00571BB1" w:rsidP="00571BB1">
            <w:pPr>
              <w:pStyle w:val="BodyText"/>
            </w:pPr>
            <w:r w:rsidRPr="00571BB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Performance Criteria</w:t>
            </w:r>
          </w:p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 Prepare for lighting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1.1 In consultation with relevant personnel, clarify scope of</w:t>
            </w:r>
            <w:r w:rsidRPr="00571BB1">
              <w:t xml:space="preserve"> own role in lighting operations</w:t>
            </w:r>
          </w:p>
          <w:p w:rsidR="00000000" w:rsidRPr="00571BB1" w:rsidP="00571BB1">
            <w:pPr>
              <w:pStyle w:val="BodyText"/>
            </w:pPr>
            <w:r w:rsidRPr="00571BB1">
              <w:t xml:space="preserve">1.2 Ensure that working area is clear and properly illuminated, that relevant documentation is easily accessible, and that </w:t>
            </w:r>
            <w:r w:rsidRPr="00571BB1">
              <w:t>communication equipment is ready for use</w:t>
            </w:r>
          </w:p>
          <w:p w:rsidR="00000000" w:rsidRPr="00571BB1" w:rsidP="00571BB1">
            <w:pPr>
              <w:pStyle w:val="BodyText"/>
            </w:pPr>
            <w:r w:rsidRPr="00571BB1">
              <w:t>1.3 Power up dimmers, control desk and control desk periphe</w:t>
            </w:r>
            <w:r w:rsidRPr="00571BB1">
              <w:t>rals using safe work practices</w:t>
            </w:r>
          </w:p>
          <w:p w:rsidR="00000000" w:rsidRPr="00571BB1" w:rsidP="00571BB1">
            <w:pPr>
              <w:pStyle w:val="BodyText"/>
            </w:pPr>
            <w:r w:rsidRPr="00571BB1">
              <w:t xml:space="preserve">1.4 Perform lamp checks and test functionality and safety of venue lighting </w:t>
            </w:r>
          </w:p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1.5 Test lights and accessories and other lighting elements to ensure all items are in working order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2. Plot and operate lighting cues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2.1 Test lin</w:t>
            </w:r>
            <w:r w:rsidRPr="00571BB1">
              <w:t>e of sight needed for visual cues for feasibility during performance</w:t>
            </w:r>
          </w:p>
          <w:p w:rsidR="00000000" w:rsidRPr="00571BB1" w:rsidP="00571BB1">
            <w:pPr>
              <w:pStyle w:val="BodyText"/>
            </w:pPr>
            <w:r w:rsidRPr="00571BB1">
              <w:t>2.2 Follow standard procedures to record cues in line with instructions and within agreed timeframes</w:t>
            </w:r>
          </w:p>
          <w:p w:rsidR="00000000" w:rsidRPr="00571BB1" w:rsidP="00571BB1">
            <w:pPr>
              <w:pStyle w:val="BodyText"/>
            </w:pPr>
            <w:r w:rsidRPr="00571BB1">
              <w:t xml:space="preserve">2.3 Play and time groups and sub-groups of recorded cues in correct sequence </w:t>
            </w:r>
          </w:p>
          <w:p w:rsidR="00000000" w:rsidRPr="00571BB1" w:rsidP="00571BB1">
            <w:pPr>
              <w:pStyle w:val="BodyText"/>
            </w:pPr>
            <w:r w:rsidRPr="00571BB1">
              <w:t>2.4 Docu</w:t>
            </w:r>
            <w:r w:rsidRPr="00571BB1">
              <w:t>ment recorded lighting cues in an appropriate format and make a hard or electronic backup copy of recorded information</w:t>
            </w:r>
          </w:p>
          <w:p w:rsidR="00000000" w:rsidRPr="00571BB1" w:rsidP="00571BB1">
            <w:pPr>
              <w:pStyle w:val="BodyText"/>
            </w:pPr>
            <w:r w:rsidRPr="00571BB1">
              <w:t>2.5 Modify cues according to instructions and update documentation</w:t>
            </w:r>
          </w:p>
          <w:p w:rsidR="00000000" w:rsidRPr="00571BB1" w:rsidP="00571BB1">
            <w:pPr>
              <w:pStyle w:val="BodyText"/>
            </w:pPr>
            <w:r w:rsidRPr="00571BB1">
              <w:t>2.6 Establish suitable backup lighting states to be used if recorded cues fail to operate</w:t>
            </w:r>
          </w:p>
          <w:p w:rsidR="00000000" w:rsidRPr="00571BB1" w:rsidP="00571BB1">
            <w:pPr>
              <w:pStyle w:val="BodyText"/>
            </w:pPr>
            <w:r w:rsidRPr="00571BB1">
              <w:t>2.7 Check channel inputs and outputs for continuity and patching</w:t>
            </w:r>
          </w:p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 xml:space="preserve">2.8 Action cues during shows in line with directions and production requirements 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3. Conduct basic t</w:t>
            </w:r>
            <w:r w:rsidRPr="00571BB1">
              <w:t>roubleshooting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 xml:space="preserve">3.1 Identify problems with equipment promptly and take appropriate action, or refer to relevant personnel as required </w:t>
            </w:r>
          </w:p>
          <w:p w:rsidR="00000000" w:rsidRPr="00571BB1" w:rsidP="00571BB1">
            <w:pPr>
              <w:pStyle w:val="BodyText"/>
            </w:pPr>
            <w:r w:rsidRPr="00571BB1">
              <w:t>3.2 Assess the need for remedial action, taking into consideration safety issues and the need for minimal disruption to pe</w:t>
            </w:r>
            <w:r w:rsidRPr="00571BB1">
              <w:t>rformances</w:t>
            </w:r>
          </w:p>
          <w:p w:rsidR="00000000" w:rsidRPr="00571BB1" w:rsidP="00571BB1">
            <w:pPr>
              <w:pStyle w:val="BodyText"/>
            </w:pPr>
            <w:r w:rsidRPr="00571BB1">
              <w:t>3.3 Follow manufacturer’s diagnostic and remedial procedures as required</w:t>
            </w:r>
          </w:p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3.4 Liaise with relevant personnel to identify backup alternatives if faults cannot be rectified before next production deadline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4. Complete post-show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 xml:space="preserve">4.1 Seek </w:t>
            </w:r>
            <w:r w:rsidRPr="00571BB1">
              <w:t>clearance to execute power down and disassemble equipment safely</w:t>
            </w:r>
          </w:p>
          <w:p w:rsidR="00000000" w:rsidRPr="00571BB1" w:rsidP="00571BB1">
            <w:pPr>
              <w:pStyle w:val="BodyText"/>
            </w:pPr>
            <w:r w:rsidRPr="00571BB1">
              <w:t>4.2 Pack and store equipment and accessories according to safety regulations and production requirements</w:t>
            </w:r>
          </w:p>
          <w:p w:rsidR="00000000" w:rsidRPr="00571BB1" w:rsidP="00571BB1">
            <w:pPr>
              <w:pStyle w:val="BodyText"/>
            </w:pPr>
            <w:r w:rsidRPr="00571BB1">
              <w:t xml:space="preserve">4.3 Check hired equipment against inventory before packing and report lost or damaged </w:t>
            </w:r>
            <w:r w:rsidRPr="00571BB1">
              <w:t>equipment to relevant personnel</w:t>
            </w:r>
          </w:p>
          <w:p w:rsidR="00000000" w:rsidRPr="00571BB1" w:rsidP="00571BB1">
            <w:pPr>
              <w:pStyle w:val="BodyText"/>
            </w:pPr>
            <w:r w:rsidRPr="00571BB1">
              <w:t>4.4 Pack lighting equipment for transit as required</w:t>
            </w:r>
          </w:p>
          <w:p w:rsidR="00000000" w:rsidRPr="00571BB1" w:rsidP="00571BB1">
            <w:pPr>
              <w:pStyle w:val="BodyText"/>
            </w:pPr>
            <w:r w:rsidRPr="00571BB1">
              <w:t xml:space="preserve">4.5 Clean work environment after use and restore environment to </w:t>
            </w:r>
            <w:r w:rsidRPr="00571BB1">
              <w:t>previous condition</w:t>
            </w:r>
          </w:p>
          <w:p w:rsidR="00000000" w:rsidRPr="00571BB1" w:rsidP="00571BB1">
            <w:pPr>
              <w:pStyle w:val="BodyText"/>
            </w:pPr>
            <w:r w:rsidRPr="00571BB1">
              <w:t>4.6 Seek feedback from relevant personnel on own work performance and note areas for impr</w:t>
            </w:r>
            <w:r w:rsidRPr="00571BB1">
              <w:t>ovement</w:t>
            </w:r>
          </w:p>
        </w:tc>
      </w:tr>
    </w:tbl>
    <w:p w:rsidR="00000000" w:rsidRPr="00571BB1" w:rsidP="00571BB1">
      <w:pPr>
        <w:pStyle w:val="BodyText"/>
      </w:pP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5" w:name="O_807974"/>
      <w:bookmarkEnd w:id="5"/>
      <w:r w:rsidRPr="00571BB1">
        <w:t>Foundation Skills</w:t>
      </w:r>
    </w:p>
    <w:p w:rsidR="00000000" w:rsidRPr="00B219EC" w:rsidP="00B219EC">
      <w:pPr>
        <w:pStyle w:val="BodyText"/>
        <w:rPr>
          <w:i/>
        </w:rPr>
      </w:pPr>
      <w:r w:rsidRPr="00B219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rPr>
                <w:rStyle w:val="SpecialBold"/>
              </w:rPr>
              <w:t>Description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Seeks the views of others to identify ways to improve own performance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Interprets service documentation and manuals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2.4, 2.5, 4.6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Completes documentation in relation to plotting and operating lighting cues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1.1, 2.8, 3.1, 3.4, 4.3, 4.6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Obtains information by listening and questioning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Completes simple mathematical calculations and recalls numbers for channel selection on lighting desks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1.2, 3.1, 4.1, 4.2, 4.5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ListBullet"/>
            </w:pPr>
            <w:r w:rsidRPr="00571BB1">
              <w:t>Follows workplace protocols and safety procedures</w:t>
            </w:r>
          </w:p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Understands and completes main tasks and responsibilities, within the boundaries of own role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1.1, 2.8, 3.1, 3.4, 4.3, 4.6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ListBullet"/>
              <w:rPr>
                <w:lang w:val="en-NZ"/>
              </w:rPr>
            </w:pPr>
            <w:r w:rsidRPr="00571BB1">
              <w:t>Works collaboratively with those inv</w:t>
            </w:r>
            <w:r w:rsidRPr="00571BB1">
              <w:t>olved in staging shows or events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1.1, 1.2, 1.3, 1.4, 1.5, 2.1, 2.2, 2.3, 2.4, 2.5, 2.6, 2.7, 2.8, 3.1, 3.2, 3.3, 3.4, 4.1, 4.2, 4.3, 4.4, 4.5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ListBullet"/>
            </w:pPr>
            <w:r w:rsidRPr="00571BB1">
              <w:t>Adopts a methodical and logical approach to completing basic lighting tasks</w:t>
            </w:r>
          </w:p>
          <w:p w:rsidR="00000000" w:rsidRPr="00571BB1" w:rsidP="00571BB1">
            <w:pPr>
              <w:pStyle w:val="ListBullet"/>
            </w:pPr>
            <w:r w:rsidRPr="00571BB1">
              <w:t>Meets work deadlin</w:t>
            </w:r>
            <w:r w:rsidRPr="00571BB1">
              <w:t>es</w:t>
            </w:r>
          </w:p>
          <w:p w:rsidR="00000000" w:rsidRPr="00571BB1" w:rsidP="00571BB1">
            <w:pPr>
              <w:pStyle w:val="ListBullet"/>
            </w:pPr>
            <w:r w:rsidRPr="00571BB1">
              <w:t>Operates basic digital lighting equipment</w:t>
            </w:r>
          </w:p>
          <w:p w:rsidR="00000000" w:rsidRPr="00571BB1" w:rsidP="00571BB1">
            <w:pPr>
              <w:pStyle w:val="ListBullet"/>
            </w:pPr>
            <w:r w:rsidRPr="00571BB1">
              <w:t>Takes responsibility for addressing predictable, and some less predictable, problems in basic lighting operations</w:t>
            </w:r>
          </w:p>
        </w:tc>
      </w:tr>
    </w:tbl>
    <w:p w:rsidR="00000000" w:rsidRPr="00571BB1" w:rsidP="00571BB1">
      <w:pPr>
        <w:pStyle w:val="BodyText"/>
      </w:pP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6" w:name="O_807973"/>
      <w:bookmarkEnd w:id="6"/>
      <w:r w:rsidRPr="00571BB1">
        <w:t>Unit Mapping Information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445"/>
      </w:tblGrid>
      <w:tr w:rsidTr="00571BB1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 xml:space="preserve">Code and title </w:t>
            </w:r>
          </w:p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Code and title</w:t>
            </w:r>
          </w:p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rPr>
                <w:rStyle w:val="SpecialBold"/>
              </w:rPr>
              <w:t>Equivalence status</w:t>
            </w:r>
          </w:p>
        </w:tc>
      </w:tr>
      <w:tr w:rsidTr="00571BB1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CUALGT301 Operate basic lighting (Release 2)</w:t>
            </w:r>
          </w:p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ab/>
            </w:r>
            <w:r w:rsidRPr="00571BB1">
              <w:tab/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CUALGT301 Operate basic lighting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Updated assessment conditions section. Updated modification history section to reflect changed name of training package.</w:t>
            </w:r>
            <w:r w:rsidRPr="00571BB1">
              <w:tab/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>Equivalent unit</w:t>
            </w:r>
          </w:p>
        </w:tc>
      </w:tr>
    </w:tbl>
    <w:p w:rsidR="00000000" w:rsidRPr="00571BB1" w:rsidP="00571BB1">
      <w:pPr>
        <w:pStyle w:val="BodyText"/>
      </w:pP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7" w:name="O_807979"/>
      <w:bookmarkEnd w:id="7"/>
      <w:r w:rsidRPr="00571BB1">
        <w:t>Links</w:t>
      </w:r>
    </w:p>
    <w:p w:rsidR="00000000" w:rsidRPr="00571BB1" w:rsidP="00B219EC">
      <w:pPr>
        <w:pStyle w:val="BodyText"/>
      </w:pPr>
      <w:r w:rsidRPr="00571B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1D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1BB1" w:rsidP="00B219EC">
      <w:pPr>
        <w:pStyle w:val="BodyText"/>
        <w:sectPr w:rsidSect="00571B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BB1" w:rsidP="00571BB1">
      <w:pPr>
        <w:pStyle w:val="SuperHeading"/>
      </w:pPr>
      <w:r w:rsidRPr="00571BB1">
        <w:t>Assessment Requirements for CUALGT301 Operate basic lighting</w:t>
      </w:r>
    </w:p>
    <w:p w:rsidR="00000000" w:rsidRPr="00571BB1" w:rsidP="00571BB1">
      <w:pPr>
        <w:pStyle w:val="Heading1"/>
      </w:pPr>
      <w:bookmarkStart w:id="8" w:name="O_807971"/>
      <w:bookmarkEnd w:id="8"/>
      <w:r w:rsidRPr="00571B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rPr>
                <w:rStyle w:val="SpecialBold"/>
              </w:rPr>
              <w:t>Comments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71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B1">
            <w:pPr>
              <w:pStyle w:val="BodyText"/>
              <w:rPr>
                <w:lang w:val="en-NZ"/>
              </w:rPr>
            </w:pPr>
            <w:r w:rsidRPr="00571B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B1" w:rsidP="00571BB1">
            <w:pPr>
              <w:pStyle w:val="BodyText"/>
            </w:pPr>
            <w:r w:rsidRPr="00571BB1">
              <w:t xml:space="preserve">This version first released with CUA </w:t>
            </w:r>
            <w:r w:rsidRPr="00571BB1">
              <w:t>Creative Arts and Culture Training Package version 1.0.</w:t>
            </w:r>
          </w:p>
        </w:tc>
      </w:tr>
    </w:tbl>
    <w:p w:rsidR="00000000" w:rsidRPr="00571BB1" w:rsidP="00571BB1">
      <w:pPr>
        <w:pStyle w:val="BodyText"/>
      </w:pP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9" w:name="O_807970"/>
      <w:bookmarkEnd w:id="9"/>
      <w:r w:rsidRPr="00571BB1">
        <w:t>Performance Evidence</w:t>
      </w:r>
    </w:p>
    <w:p w:rsidR="00000000" w:rsidRPr="00571BB1" w:rsidP="00B219EC">
      <w:pPr>
        <w:pStyle w:val="BodyText"/>
      </w:pPr>
      <w:r w:rsidRPr="00571BB1">
        <w:t>Evidence of the ability to:</w:t>
      </w:r>
    </w:p>
    <w:p w:rsidR="00000000" w:rsidRPr="00571BB1" w:rsidP="00571BB1">
      <w:pPr>
        <w:pStyle w:val="ListBullet"/>
      </w:pPr>
      <w:r w:rsidRPr="00571BB1">
        <w:t>set up a lighting desk for operation during live performances</w:t>
      </w:r>
    </w:p>
    <w:p w:rsidR="00000000" w:rsidRPr="00571BB1" w:rsidP="00571BB1">
      <w:pPr>
        <w:pStyle w:val="ListBullet"/>
      </w:pPr>
      <w:r w:rsidRPr="00571BB1">
        <w:t>record and operate standard lighting cues for at least two different shows</w:t>
      </w:r>
    </w:p>
    <w:p w:rsidR="00000000" w:rsidRPr="00571BB1" w:rsidP="00571BB1">
      <w:pPr>
        <w:pStyle w:val="ListBullet"/>
      </w:pPr>
      <w:r w:rsidRPr="00571BB1">
        <w:t>use industry terminology correctly and observe protocols relevant to lighting operations</w:t>
      </w:r>
    </w:p>
    <w:p w:rsidR="00000000" w:rsidRPr="00571BB1" w:rsidP="00571BB1">
      <w:pPr>
        <w:pStyle w:val="ListBullet"/>
      </w:pPr>
      <w:r w:rsidRPr="00571BB1">
        <w:t>work collaboratively.</w:t>
      </w:r>
    </w:p>
    <w:p w:rsidR="00000000" w:rsidRPr="00571BB1" w:rsidP="00571BB1">
      <w:pPr>
        <w:pStyle w:val="BodyText"/>
      </w:pPr>
    </w:p>
    <w:p w:rsidR="00000000" w:rsidRPr="00571BB1" w:rsidP="00B219EC">
      <w:pPr>
        <w:pStyle w:val="BodyText"/>
      </w:pPr>
      <w:r w:rsidRPr="00571BB1">
        <w:t xml:space="preserve">Note: If a specific volume or frequency is not stated, then evidence </w:t>
      </w:r>
      <w:r w:rsidRPr="00571BB1">
        <w:t>must be provided for each of the above points at least once.</w:t>
      </w:r>
    </w:p>
    <w:p w:rsidR="00000000" w:rsidRPr="00571BB1" w:rsidP="00571BB1">
      <w:pPr>
        <w:pStyle w:val="Heading1"/>
      </w:pPr>
      <w:bookmarkStart w:id="10" w:name="O_807968"/>
      <w:bookmarkEnd w:id="10"/>
      <w:r w:rsidRPr="00571BB1">
        <w:t>Knowledge Evidence</w:t>
      </w:r>
    </w:p>
    <w:p w:rsidR="00000000" w:rsidRPr="00571BB1" w:rsidP="00B219EC">
      <w:pPr>
        <w:pStyle w:val="BodyText"/>
      </w:pPr>
      <w:r w:rsidRPr="00571BB1">
        <w:t>To complete the unit requirements the individual must:</w:t>
      </w:r>
    </w:p>
    <w:p w:rsidR="00000000" w:rsidRPr="00571BB1" w:rsidP="00571BB1">
      <w:pPr>
        <w:pStyle w:val="ListBullet"/>
      </w:pPr>
      <w:r w:rsidRPr="00571BB1">
        <w:t>explain how a range of controls on standard lighting consoles function</w:t>
      </w:r>
    </w:p>
    <w:p w:rsidR="00000000" w:rsidRPr="00571BB1" w:rsidP="00571BB1">
      <w:pPr>
        <w:pStyle w:val="ListBullet"/>
      </w:pPr>
      <w:r w:rsidRPr="00571BB1">
        <w:t>describe the following features</w:t>
      </w:r>
      <w:r w:rsidRPr="00571BB1">
        <w:t xml:space="preserve"> and operations (optical and mechanical) of the main types of lanterns used for theatrical lighting:</w:t>
      </w:r>
    </w:p>
    <w:p w:rsidR="00000000" w:rsidRPr="00571BB1" w:rsidP="00571BB1">
      <w:pPr>
        <w:pStyle w:val="ListBullet2"/>
      </w:pPr>
      <w:r w:rsidRPr="00571BB1">
        <w:t>flood</w:t>
      </w:r>
    </w:p>
    <w:p w:rsidR="00000000" w:rsidRPr="00571BB1" w:rsidP="00571BB1">
      <w:pPr>
        <w:pStyle w:val="ListBullet2"/>
      </w:pPr>
      <w:r w:rsidRPr="00571BB1">
        <w:t>fresnel</w:t>
      </w:r>
    </w:p>
    <w:p w:rsidR="00000000" w:rsidRPr="00571BB1" w:rsidP="00571BB1">
      <w:pPr>
        <w:pStyle w:val="ListBullet2"/>
      </w:pPr>
      <w:r w:rsidRPr="00571BB1">
        <w:t>lantern accessories</w:t>
      </w:r>
    </w:p>
    <w:p w:rsidR="00000000" w:rsidRPr="00571BB1" w:rsidP="00571BB1">
      <w:pPr>
        <w:pStyle w:val="ListBullet2"/>
      </w:pPr>
      <w:r w:rsidRPr="00571BB1">
        <w:t>parabolic aluminised reflector (PAR) lamps</w:t>
      </w:r>
    </w:p>
    <w:p w:rsidR="00000000" w:rsidRPr="00571BB1" w:rsidP="00571BB1">
      <w:pPr>
        <w:pStyle w:val="ListBullet2"/>
      </w:pPr>
      <w:r w:rsidRPr="00571BB1">
        <w:t>pebble convex (PC) lanterns</w:t>
      </w:r>
    </w:p>
    <w:p w:rsidR="00000000" w:rsidRPr="00571BB1" w:rsidP="00571BB1">
      <w:pPr>
        <w:pStyle w:val="ListBullet2"/>
      </w:pPr>
      <w:r w:rsidRPr="00571BB1">
        <w:t>profile</w:t>
      </w:r>
    </w:p>
    <w:p w:rsidR="00000000" w:rsidRPr="00571BB1" w:rsidP="00571BB1">
      <w:pPr>
        <w:pStyle w:val="ListBullet"/>
      </w:pPr>
      <w:r w:rsidRPr="00571BB1">
        <w:t>explain the difference between in and out times in the context of recording and operating standard lighting cues</w:t>
      </w:r>
    </w:p>
    <w:p w:rsidR="00000000" w:rsidRPr="00571BB1" w:rsidP="00571BB1">
      <w:pPr>
        <w:pStyle w:val="ListBullet"/>
      </w:pPr>
      <w:r w:rsidRPr="00571BB1">
        <w:t>describe digital multiplexing (DMX) distribution techniques, including allocation of channels on control desks</w:t>
      </w:r>
    </w:p>
    <w:p w:rsidR="00000000" w:rsidRPr="00571BB1" w:rsidP="00571BB1">
      <w:pPr>
        <w:pStyle w:val="ListBullet"/>
      </w:pPr>
      <w:r w:rsidRPr="00571BB1">
        <w:t>describe safe electrical work pr</w:t>
      </w:r>
      <w:r w:rsidRPr="00571BB1">
        <w:t>actices in the context of lighting operations</w:t>
      </w:r>
    </w:p>
    <w:p w:rsidR="00000000" w:rsidRPr="00571BB1" w:rsidP="00571BB1">
      <w:pPr>
        <w:pStyle w:val="ListBullet"/>
      </w:pPr>
      <w:r w:rsidRPr="00571BB1">
        <w:t>provide examples of variations in lighting terminology used for the same function on different control desks.</w:t>
      </w:r>
    </w:p>
    <w:p w:rsidR="00000000" w:rsidRPr="00571BB1" w:rsidP="00571BB1">
      <w:pPr>
        <w:pStyle w:val="AllowPageBreak"/>
      </w:pPr>
    </w:p>
    <w:p w:rsidR="00000000" w:rsidRPr="00571BB1" w:rsidP="00571BB1">
      <w:pPr>
        <w:pStyle w:val="Heading1"/>
      </w:pPr>
      <w:bookmarkStart w:id="11" w:name="O_807966"/>
      <w:bookmarkEnd w:id="11"/>
      <w:r w:rsidRPr="00571BB1">
        <w:t>Assessment Conditions</w:t>
      </w:r>
    </w:p>
    <w:p w:rsidR="00000000" w:rsidRPr="00571BB1" w:rsidP="00B219EC">
      <w:pPr>
        <w:pStyle w:val="BodyText"/>
      </w:pPr>
      <w:r w:rsidRPr="00571BB1">
        <w:t>Assessment must be conducted in a safe environment where evid</w:t>
      </w:r>
      <w:r w:rsidRPr="00571BB1">
        <w:t>ence gathered demonstrates consistent performance of typical activities experienced in creative arts industry environments. The assessment environment must include access to performances where basic lighting equipment and accessories are used.</w:t>
      </w:r>
    </w:p>
    <w:p w:rsidR="00000000" w:rsidRPr="00571BB1" w:rsidP="00B219EC">
      <w:pPr>
        <w:pStyle w:val="BodyText"/>
      </w:pPr>
      <w:r w:rsidRPr="00571BB1">
        <w:t>Assessors of this unit must satisfy the requirements for assessors in applicable vocational educational and training legislation, frameworks and/or standards.</w:t>
      </w:r>
    </w:p>
    <w:p w:rsidR="00000000" w:rsidRPr="00571BB1" w:rsidP="00571BB1">
      <w:pPr>
        <w:pStyle w:val="Heading1"/>
      </w:pPr>
      <w:bookmarkStart w:id="12" w:name="O_807980"/>
      <w:bookmarkEnd w:id="12"/>
      <w:r w:rsidRPr="00571BB1">
        <w:t>Links</w:t>
      </w:r>
    </w:p>
    <w:p w:rsidR="00000000" w:rsidRPr="00571BB1" w:rsidP="00B219EC">
      <w:pPr>
        <w:pStyle w:val="BodyText"/>
      </w:pPr>
      <w:r w:rsidRPr="00571B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1D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1BB1" w:rsidP="00571BB1"/>
    <w:sectPr w:rsidSect="00571B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 w:rsidRPr="00B219EC" w:rsidP="00B21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EC" w:rsidP="0057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19EC" w:rsidP="0057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19EC" w:rsidP="00571B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 w:rsidP="0057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9EC">
      <w:t>Approved</w:t>
    </w:r>
    <w:r w:rsidR="00B219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9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9EC">
      <w:rPr>
        <w:noProof/>
      </w:rPr>
      <w:t>5</w:t>
    </w:r>
    <w:r>
      <w:rPr>
        <w:noProof/>
      </w:rPr>
      <w:fldChar w:fldCharType="end"/>
    </w:r>
  </w:p>
  <w:p w:rsidR="00571BB1" w:rsidP="0057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9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9EC">
      <w:t>Service and Creative Skills Australia</w:t>
    </w:r>
    <w:r w:rsidR="00B219EC">
      <w:fldChar w:fldCharType="end"/>
    </w:r>
  </w:p>
  <w:p w:rsidR="00571BB1" w:rsidP="00571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BB1" w:rsidRPr="00B219EC" w:rsidP="00B21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EC" w:rsidRPr="002D2AF8" w:rsidP="0057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19EC" w:rsidP="00571B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B1" w:rsidRPr="002D2AF8" w:rsidP="0057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9EC">
      <w:t>CUALGT301 Operate basic lighting</w:t>
    </w:r>
    <w:r w:rsidR="00B219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9EC">
      <w:rPr>
        <w:noProof/>
      </w:rPr>
      <w:t>1 March 2025</w:t>
    </w:r>
    <w:r>
      <w:fldChar w:fldCharType="end"/>
    </w:r>
  </w:p>
  <w:p w:rsidR="00571BB1" w:rsidP="00571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942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8A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AD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BB1"/>
  </w:style>
  <w:style w:type="character" w:customStyle="1" w:styleId="Heading1Char">
    <w:name w:val="Heading 1 Char"/>
    <w:basedOn w:val="DefaultParagraphFont"/>
    <w:link w:val="Heading1"/>
    <w:rsid w:val="00571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B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BB1"/>
    <w:rPr>
      <w:b/>
      <w:spacing w:val="0"/>
    </w:rPr>
  </w:style>
  <w:style w:type="paragraph" w:styleId="ListBullet2">
    <w:name w:val="List Bullet 2"/>
    <w:basedOn w:val="List2"/>
    <w:rsid w:val="00571B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1BB1"/>
    <w:rPr>
      <w:i/>
    </w:rPr>
  </w:style>
  <w:style w:type="paragraph" w:customStyle="1" w:styleId="SuperHeading">
    <w:name w:val="SuperHeading"/>
    <w:basedOn w:val="Normal"/>
    <w:rsid w:val="00571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BB1"/>
  </w:style>
  <w:style w:type="paragraph" w:styleId="TableofFigures">
    <w:name w:val="table of figures"/>
    <w:basedOn w:val="Normal"/>
    <w:next w:val="Normal"/>
    <w:semiHidden/>
    <w:rsid w:val="00571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B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BB1"/>
    <w:rPr>
      <w:rFonts w:ascii="Wingdings" w:hAnsi="Wingdings"/>
    </w:rPr>
  </w:style>
  <w:style w:type="paragraph" w:customStyle="1" w:styleId="TableHeading">
    <w:name w:val="Table Heading"/>
    <w:basedOn w:val="HeadingBase"/>
    <w:rsid w:val="00571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BB1"/>
    <w:rPr>
      <w:color w:val="0033CC"/>
      <w:u w:val="none"/>
    </w:rPr>
  </w:style>
  <w:style w:type="paragraph" w:customStyle="1" w:styleId="BodyTextRight">
    <w:name w:val="Body Text Right"/>
    <w:basedOn w:val="BodyText"/>
    <w:rsid w:val="00571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B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BB1"/>
    <w:rPr>
      <w:sz w:val="32"/>
    </w:rPr>
  </w:style>
  <w:style w:type="paragraph" w:customStyle="1" w:styleId="HeadingProcedure">
    <w:name w:val="Heading Procedure"/>
    <w:basedOn w:val="HeadingBase"/>
    <w:next w:val="Normal"/>
    <w:rsid w:val="00571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BB1"/>
    <w:pPr>
      <w:spacing w:before="60" w:after="60"/>
    </w:pPr>
  </w:style>
  <w:style w:type="paragraph" w:styleId="ListContinue">
    <w:name w:val="List Continue"/>
    <w:basedOn w:val="List"/>
    <w:rsid w:val="00571BB1"/>
    <w:pPr>
      <w:ind w:firstLine="0"/>
    </w:pPr>
  </w:style>
  <w:style w:type="paragraph" w:customStyle="1" w:styleId="ListNote">
    <w:name w:val="List Note"/>
    <w:basedOn w:val="List"/>
    <w:rsid w:val="00571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BB1"/>
    <w:rPr>
      <w:rFonts w:ascii="Courier New" w:hAnsi="Courier New"/>
    </w:rPr>
  </w:style>
  <w:style w:type="paragraph" w:customStyle="1" w:styleId="NoteBullet">
    <w:name w:val="Note Bullet"/>
    <w:basedOn w:val="Note"/>
    <w:rsid w:val="00571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B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BB1"/>
    <w:rPr>
      <w:b/>
      <w:smallCaps/>
    </w:rPr>
  </w:style>
  <w:style w:type="paragraph" w:customStyle="1" w:styleId="TableListNumber">
    <w:name w:val="Table List Number"/>
    <w:basedOn w:val="ListNumber"/>
    <w:rsid w:val="00571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BB1"/>
    <w:pPr>
      <w:numPr>
        <w:numId w:val="9"/>
      </w:numPr>
    </w:pPr>
  </w:style>
  <w:style w:type="paragraph" w:customStyle="1" w:styleId="ListAlpha2">
    <w:name w:val="List Alpha 2"/>
    <w:basedOn w:val="List2"/>
    <w:rsid w:val="00571BB1"/>
    <w:pPr>
      <w:numPr>
        <w:numId w:val="8"/>
      </w:numPr>
    </w:pPr>
  </w:style>
  <w:style w:type="paragraph" w:styleId="List2">
    <w:name w:val="List 2"/>
    <w:basedOn w:val="BodyText"/>
    <w:rsid w:val="00571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B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B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BB1"/>
    <w:pPr>
      <w:numPr>
        <w:numId w:val="4"/>
      </w:numPr>
    </w:pPr>
  </w:style>
  <w:style w:type="paragraph" w:styleId="ListContinue2">
    <w:name w:val="List Continue 2"/>
    <w:basedOn w:val="List2"/>
    <w:rsid w:val="00571BB1"/>
    <w:pPr>
      <w:ind w:firstLine="0"/>
    </w:pPr>
  </w:style>
  <w:style w:type="paragraph" w:styleId="ListContinue3">
    <w:name w:val="List Continue 3"/>
    <w:basedOn w:val="List3"/>
    <w:rsid w:val="00571BB1"/>
    <w:pPr>
      <w:ind w:left="1021" w:firstLine="0"/>
    </w:pPr>
  </w:style>
  <w:style w:type="paragraph" w:styleId="ListContinue4">
    <w:name w:val="List Continue 4"/>
    <w:basedOn w:val="List4"/>
    <w:rsid w:val="00571BB1"/>
    <w:pPr>
      <w:ind w:firstLine="0"/>
    </w:pPr>
  </w:style>
  <w:style w:type="paragraph" w:styleId="ListContinue5">
    <w:name w:val="List Continue 5"/>
    <w:basedOn w:val="List5"/>
    <w:rsid w:val="00571BB1"/>
    <w:pPr>
      <w:ind w:firstLine="0"/>
    </w:pPr>
  </w:style>
  <w:style w:type="paragraph" w:styleId="ListNumber3">
    <w:name w:val="List Number 3"/>
    <w:basedOn w:val="List3"/>
    <w:rsid w:val="00571BB1"/>
    <w:pPr>
      <w:numPr>
        <w:numId w:val="5"/>
      </w:numPr>
    </w:pPr>
  </w:style>
  <w:style w:type="paragraph" w:styleId="ListNumber4">
    <w:name w:val="List Number 4"/>
    <w:basedOn w:val="List4"/>
    <w:rsid w:val="00571BB1"/>
    <w:pPr>
      <w:numPr>
        <w:numId w:val="6"/>
      </w:numPr>
    </w:pPr>
  </w:style>
  <w:style w:type="paragraph" w:styleId="ListNumber5">
    <w:name w:val="List Number 5"/>
    <w:basedOn w:val="List5"/>
    <w:rsid w:val="00571BB1"/>
    <w:pPr>
      <w:numPr>
        <w:numId w:val="7"/>
      </w:numPr>
    </w:pPr>
  </w:style>
  <w:style w:type="paragraph" w:styleId="BlockText">
    <w:name w:val="Block Text"/>
    <w:basedOn w:val="Normal"/>
    <w:rsid w:val="00571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BB1"/>
    <w:rPr>
      <w:sz w:val="16"/>
      <w:vertAlign w:val="superscript"/>
    </w:rPr>
  </w:style>
  <w:style w:type="character" w:customStyle="1" w:styleId="Symbols">
    <w:name w:val="Symbols"/>
    <w:basedOn w:val="DefaultParagraphFont"/>
    <w:rsid w:val="00571BB1"/>
    <w:rPr>
      <w:rFonts w:ascii="Symbol" w:hAnsi="Symbol"/>
    </w:rPr>
  </w:style>
  <w:style w:type="character" w:customStyle="1" w:styleId="MenuOptions">
    <w:name w:val="Menu Options"/>
    <w:basedOn w:val="DefaultParagraphFont"/>
    <w:rsid w:val="00571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BB1"/>
    <w:rPr>
      <w:b/>
    </w:rPr>
  </w:style>
  <w:style w:type="character" w:customStyle="1" w:styleId="Underlined">
    <w:name w:val="Underlined"/>
    <w:basedOn w:val="DefaultParagraphFont"/>
    <w:rsid w:val="00571BB1"/>
    <w:rPr>
      <w:u w:val="single"/>
    </w:rPr>
  </w:style>
  <w:style w:type="paragraph" w:customStyle="1" w:styleId="TableBodyTextRight">
    <w:name w:val="Table Body Text Right"/>
    <w:basedOn w:val="TableBodyText"/>
    <w:rsid w:val="00571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BB1"/>
    <w:rPr>
      <w:sz w:val="18"/>
    </w:rPr>
  </w:style>
  <w:style w:type="paragraph" w:customStyle="1" w:styleId="BodySmallRight">
    <w:name w:val="Body Small Right"/>
    <w:basedOn w:val="BodyTextRight"/>
    <w:rsid w:val="00571BB1"/>
    <w:rPr>
      <w:sz w:val="18"/>
      <w:szCs w:val="18"/>
    </w:rPr>
  </w:style>
  <w:style w:type="paragraph" w:customStyle="1" w:styleId="MarginEdition">
    <w:name w:val="Margin Edition"/>
    <w:basedOn w:val="MarginNote"/>
    <w:rsid w:val="00571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BB1"/>
    <w:rPr>
      <w:sz w:val="2"/>
      <w:szCs w:val="2"/>
    </w:rPr>
  </w:style>
  <w:style w:type="character" w:customStyle="1" w:styleId="Small">
    <w:name w:val="Small"/>
    <w:basedOn w:val="DefaultParagraphFont"/>
    <w:rsid w:val="00571BB1"/>
    <w:rPr>
      <w:sz w:val="16"/>
    </w:rPr>
  </w:style>
  <w:style w:type="paragraph" w:customStyle="1" w:styleId="WideTable">
    <w:name w:val="Wide Table"/>
    <w:basedOn w:val="Normal"/>
    <w:rsid w:val="00571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BB1"/>
  </w:style>
  <w:style w:type="paragraph" w:styleId="Quote">
    <w:name w:val="Quote"/>
    <w:basedOn w:val="Heading1"/>
    <w:link w:val="QuoteChar"/>
    <w:qFormat/>
    <w:rsid w:val="00571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BB1"/>
    <w:pPr>
      <w:pageBreakBefore/>
    </w:pPr>
  </w:style>
  <w:style w:type="paragraph" w:customStyle="1" w:styleId="Border">
    <w:name w:val="Border"/>
    <w:basedOn w:val="Normal"/>
    <w:qFormat/>
    <w:rsid w:val="00571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BB1"/>
    <w:rPr>
      <w:u w:val="single"/>
    </w:rPr>
  </w:style>
  <w:style w:type="character" w:customStyle="1" w:styleId="BoldandItalics">
    <w:name w:val="Bold and Italics"/>
    <w:qFormat/>
    <w:rsid w:val="00571BB1"/>
    <w:rPr>
      <w:b/>
      <w:i/>
      <w:u w:val="none"/>
    </w:rPr>
  </w:style>
  <w:style w:type="paragraph" w:styleId="BalloonText">
    <w:name w:val="Balloon Text"/>
    <w:basedOn w:val="Normal"/>
    <w:link w:val="BalloonTextChar"/>
    <w:rsid w:val="00571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BB1"/>
    <w:pPr>
      <w:spacing w:before="0" w:after="0"/>
    </w:pPr>
  </w:style>
  <w:style w:type="paragraph" w:customStyle="1" w:styleId="BodyTextBold">
    <w:name w:val="Body Text Bold"/>
    <w:basedOn w:val="BodyText"/>
    <w:qFormat/>
    <w:rsid w:val="00571BB1"/>
    <w:rPr>
      <w:b/>
    </w:rPr>
  </w:style>
  <w:style w:type="character" w:styleId="Hyperlink">
    <w:name w:val="Hyperlink"/>
    <w:basedOn w:val="DefaultParagraphFont"/>
    <w:uiPriority w:val="99"/>
    <w:unhideWhenUsed/>
    <w:rsid w:val="00B21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6877</Characters>
  <Application>Microsoft Office Word</Application>
  <DocSecurity>0</DocSecurity>
  <Lines>254</Lines>
  <Paragraphs>153</Paragraphs>
  <ScaleCrop>false</ScaleCrop>
  <Company>Author-it Software Corporation Ltd.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CUALGT301 Operate basic lighting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