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563" w:rsidP="006C05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CUAFOH302 Monitor entry to venues</w:t>
      </w:r>
      <w:r>
        <w:fldChar w:fldCharType="end"/>
      </w:r>
    </w:p>
    <w:p w:rsidR="006C0563" w:rsidP="006C0563">
      <w:pPr>
        <w:pStyle w:val="Version"/>
        <w:sectPr w:rsidSect="003A41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4148" w:rsidP="003A4148">
      <w:pPr>
        <w:pStyle w:val="SuperHeading"/>
      </w:pPr>
      <w:r w:rsidRPr="003A4148">
        <w:t>CUAFOH302 Monitor entry to venues</w:t>
      </w:r>
    </w:p>
    <w:p w:rsidR="00000000" w:rsidRPr="003A4148" w:rsidP="003A4148">
      <w:pPr>
        <w:pStyle w:val="Heading1"/>
      </w:pPr>
      <w:bookmarkStart w:id="1" w:name="O_807800"/>
      <w:bookmarkEnd w:id="1"/>
      <w:r w:rsidRPr="003A41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rPr>
                <w:rStyle w:val="SpecialBold"/>
              </w:rPr>
              <w:t>Comments</w:t>
            </w:r>
          </w:p>
        </w:tc>
      </w:tr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t>This version first released with CUA Creative Arts and Culture Training Package version 1.0.</w:t>
            </w:r>
          </w:p>
        </w:tc>
      </w:tr>
    </w:tbl>
    <w:p w:rsidR="00000000" w:rsidRPr="003A4148" w:rsidP="003A4148">
      <w:pPr>
        <w:pStyle w:val="BodyText"/>
      </w:pPr>
    </w:p>
    <w:p w:rsidR="00000000" w:rsidRPr="003A4148" w:rsidP="003A4148">
      <w:pPr>
        <w:pStyle w:val="AllowPageBreak"/>
      </w:pPr>
    </w:p>
    <w:p w:rsidR="00000000" w:rsidRPr="003A4148" w:rsidP="003A4148">
      <w:pPr>
        <w:pStyle w:val="Heading1"/>
      </w:pPr>
      <w:bookmarkStart w:id="2" w:name="O_807799"/>
      <w:bookmarkEnd w:id="2"/>
      <w:r w:rsidRPr="003A4148">
        <w:t>Application</w:t>
      </w:r>
    </w:p>
    <w:p w:rsidR="00000000" w:rsidRPr="003A4148" w:rsidP="006C0563">
      <w:pPr>
        <w:pStyle w:val="BodyText"/>
      </w:pPr>
      <w:r w:rsidRPr="003A4148">
        <w:t>This unit describes the performance outcomes, skills and knowledge required to monitor entry to venues and report on cro</w:t>
      </w:r>
      <w:r w:rsidRPr="003A4148">
        <w:t>wd movements. It does not cover specialist security activities performed by licensed security staff. Units covering security skills are found in CPP07 Property Services Training Package.</w:t>
      </w:r>
    </w:p>
    <w:p w:rsidR="00000000" w:rsidRPr="003A4148" w:rsidP="006C0563">
      <w:pPr>
        <w:pStyle w:val="BodyText"/>
      </w:pPr>
      <w:r w:rsidRPr="003A4148">
        <w:t>At this level, individuals are required to use some discretion and j</w:t>
      </w:r>
      <w:r w:rsidRPr="003A4148">
        <w:t>udgement and operate under broad supervision within an established framework of plans and procedures.</w:t>
      </w:r>
    </w:p>
    <w:p w:rsidR="00000000" w:rsidRPr="003A4148" w:rsidP="006C0563">
      <w:pPr>
        <w:pStyle w:val="BodyText"/>
      </w:pPr>
      <w:r w:rsidRPr="003A4148">
        <w:t>No licensing, legislative or certification requirements apply to this unit at the time of publication.</w:t>
      </w:r>
    </w:p>
    <w:p w:rsidR="00000000" w:rsidRPr="003A4148" w:rsidP="003A4148">
      <w:pPr>
        <w:pStyle w:val="Heading1"/>
      </w:pPr>
      <w:bookmarkStart w:id="3" w:name="O_807798"/>
      <w:bookmarkEnd w:id="3"/>
      <w:r w:rsidRPr="003A4148">
        <w:t>Unit Sector</w:t>
      </w:r>
    </w:p>
    <w:p w:rsidR="00000000" w:rsidRPr="003A4148" w:rsidP="006C0563">
      <w:pPr>
        <w:pStyle w:val="BodyText"/>
      </w:pPr>
      <w:r w:rsidRPr="003A4148">
        <w:t>Media and entertainment production – front of house</w:t>
      </w:r>
    </w:p>
    <w:p w:rsidR="00000000" w:rsidRPr="003A4148" w:rsidP="003A4148">
      <w:pPr>
        <w:pStyle w:val="Heading1"/>
      </w:pPr>
      <w:bookmarkStart w:id="4" w:name="O_807797"/>
      <w:bookmarkEnd w:id="4"/>
      <w:r w:rsidRPr="003A41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rPr>
                <w:rStyle w:val="SpecialBold"/>
              </w:rPr>
              <w:t>Elements</w:t>
            </w:r>
          </w:p>
          <w:p w:rsidR="00000000" w:rsidRPr="003A4148" w:rsidP="003A4148">
            <w:pPr>
              <w:pStyle w:val="BodyText"/>
            </w:pPr>
            <w:r w:rsidRPr="003A4148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rPr>
                <w:rStyle w:val="SpecialBold"/>
              </w:rPr>
              <w:t>Performance Criteria</w:t>
            </w:r>
          </w:p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rPr>
                <w:rStyle w:val="Emphasis"/>
              </w:rPr>
              <w:t>Performance criteria describe the performance needed to demonstrate achievement o</w:t>
            </w:r>
            <w:r w:rsidRPr="003A4148">
              <w:rPr>
                <w:rStyle w:val="Emphasis"/>
              </w:rPr>
              <w:t>f the element.</w:t>
            </w:r>
          </w:p>
        </w:tc>
      </w:tr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1. Monitor and maintain access to venues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t>1.1 Check items associated with access to venues before customers arrive to ensure functionality</w:t>
            </w:r>
          </w:p>
          <w:p w:rsidR="00000000" w:rsidRPr="003A4148" w:rsidP="003A4148">
            <w:pPr>
              <w:pStyle w:val="BodyText"/>
            </w:pPr>
            <w:r w:rsidRPr="003A4148">
              <w:t xml:space="preserve">1.2 Control access to venue areas according to organisational </w:t>
            </w:r>
            <w:r w:rsidRPr="003A4148">
              <w:t xml:space="preserve">procedures, complying at all times with </w:t>
            </w:r>
            <w:r w:rsidRPr="003A4148">
              <w:t>specific safety and security regulations</w:t>
            </w:r>
          </w:p>
          <w:p w:rsidR="00000000" w:rsidRPr="003A4148" w:rsidP="003A4148">
            <w:pPr>
              <w:pStyle w:val="BodyText"/>
            </w:pPr>
            <w:r w:rsidRPr="003A4148">
              <w:t>1.3 Check areas regularly for safety and comfort of customers</w:t>
            </w:r>
          </w:p>
          <w:p w:rsidR="00000000" w:rsidRPr="003A4148" w:rsidP="003A4148">
            <w:pPr>
              <w:pStyle w:val="BodyText"/>
            </w:pPr>
            <w:r w:rsidRPr="003A4148">
              <w:t>1.4 When monitoring restricted access areas, check identification and allow only authorised personnel to enter</w:t>
            </w:r>
          </w:p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1.5 Restrict access to auditorium until cl</w:t>
            </w:r>
            <w:r w:rsidRPr="003A4148">
              <w:t>earance is obtained</w:t>
            </w:r>
          </w:p>
        </w:tc>
      </w:tr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2. Monitor crowds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t>2.1 Identify the maximum number of customers areas can accommodate</w:t>
            </w:r>
          </w:p>
          <w:p w:rsidR="00000000" w:rsidRPr="003A4148" w:rsidP="003A4148">
            <w:pPr>
              <w:pStyle w:val="BodyText"/>
            </w:pPr>
            <w:r w:rsidRPr="003A4148">
              <w:t>2.2 Control queues firmly and courteously</w:t>
            </w:r>
          </w:p>
          <w:p w:rsidR="00000000" w:rsidRPr="003A4148" w:rsidP="003A4148">
            <w:pPr>
              <w:pStyle w:val="BodyText"/>
            </w:pPr>
            <w:r w:rsidRPr="003A4148">
              <w:t>2.3 Monitor crowd size to ensure that maximum numbers are not exceeded</w:t>
            </w:r>
          </w:p>
          <w:p w:rsidR="00000000" w:rsidRPr="003A4148" w:rsidP="003A4148">
            <w:pPr>
              <w:pStyle w:val="BodyText"/>
            </w:pPr>
            <w:r w:rsidRPr="003A4148">
              <w:t xml:space="preserve">2.4 Request that customers surrender </w:t>
            </w:r>
            <w:r w:rsidRPr="003A4148">
              <w:t>restricted items and confiscate them, if necessary, according to organisational procedures</w:t>
            </w:r>
          </w:p>
          <w:p w:rsidR="00000000" w:rsidRPr="003A4148" w:rsidP="003A4148">
            <w:pPr>
              <w:pStyle w:val="BodyText"/>
            </w:pPr>
            <w:r w:rsidRPr="003A4148">
              <w:t>2.5 Identify problems or conflict promptly and take action to rectify or refer to relevant personnel</w:t>
            </w:r>
          </w:p>
          <w:p w:rsidR="00000000" w:rsidRPr="003A4148" w:rsidP="003A4148">
            <w:pPr>
              <w:pStyle w:val="BodyText"/>
            </w:pPr>
            <w:r w:rsidRPr="003A4148">
              <w:t>2.6 Monitor crowd behaviour and promptly report problems to appropriate personnel</w:t>
            </w:r>
          </w:p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2.7 Communicate with colleagues and customers in a courteous manner at all times</w:t>
            </w:r>
          </w:p>
        </w:tc>
      </w:tr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3. Complete post-event procedures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t>3.1 Complete post-event check of items associated with acc</w:t>
            </w:r>
            <w:r w:rsidRPr="003A4148">
              <w:t>ess to venues, and report faults or technical issues that need to be addressed prior to next event</w:t>
            </w:r>
          </w:p>
          <w:p w:rsidR="00000000" w:rsidRPr="003A4148" w:rsidP="003A4148">
            <w:pPr>
              <w:pStyle w:val="BodyText"/>
            </w:pPr>
            <w:r w:rsidRPr="003A4148">
              <w:t>3.2 Complete workplace documentation as required</w:t>
            </w:r>
          </w:p>
          <w:p w:rsidR="00000000" w:rsidRPr="003A4148" w:rsidP="003A4148">
            <w:pPr>
              <w:pStyle w:val="BodyText"/>
            </w:pPr>
            <w:r w:rsidRPr="003A4148">
              <w:t>3.3 Seek feedback on own work performance to identify areas for future improvement</w:t>
            </w:r>
          </w:p>
        </w:tc>
      </w:tr>
    </w:tbl>
    <w:p w:rsidR="00000000" w:rsidRPr="003A4148" w:rsidP="003A4148">
      <w:pPr>
        <w:pStyle w:val="BodyText"/>
      </w:pPr>
    </w:p>
    <w:p w:rsidR="00000000" w:rsidRPr="003A4148" w:rsidP="003A4148">
      <w:pPr>
        <w:pStyle w:val="AllowPageBreak"/>
      </w:pPr>
    </w:p>
    <w:p w:rsidR="00000000" w:rsidRPr="003A4148" w:rsidP="003A4148">
      <w:pPr>
        <w:pStyle w:val="Heading1"/>
      </w:pPr>
      <w:bookmarkStart w:id="5" w:name="O_807796"/>
      <w:bookmarkEnd w:id="5"/>
      <w:r w:rsidRPr="003A4148">
        <w:t>Founda</w:t>
      </w:r>
      <w:r w:rsidRPr="003A4148">
        <w:t>tion Skills</w:t>
      </w:r>
    </w:p>
    <w:p w:rsidR="00000000" w:rsidRPr="006C0563" w:rsidP="006C0563">
      <w:pPr>
        <w:pStyle w:val="BodyText"/>
        <w:rPr>
          <w:i/>
        </w:rPr>
      </w:pPr>
      <w:r w:rsidRPr="006C056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rPr>
                <w:rStyle w:val="SpecialBold"/>
              </w:rPr>
              <w:t>Description</w:t>
            </w:r>
          </w:p>
        </w:tc>
      </w:tr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1.4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ListBullet"/>
              <w:rPr>
                <w:lang w:val="en-NZ"/>
              </w:rPr>
            </w:pPr>
            <w:r w:rsidRPr="003A4148">
              <w:t>Checks personal identification information</w:t>
            </w:r>
          </w:p>
        </w:tc>
      </w:tr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1.4, 1.5, 2.2, 2.3, 2.4, 2.5, 2.6, 2.7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ListBullet"/>
            </w:pPr>
            <w:r w:rsidRPr="003A4148">
              <w:t>Obtains information by listening and questioning</w:t>
            </w:r>
          </w:p>
          <w:p w:rsidR="00000000" w:rsidP="003A4148">
            <w:pPr>
              <w:pStyle w:val="ListBullet"/>
              <w:rPr>
                <w:lang w:val="en-NZ"/>
              </w:rPr>
            </w:pPr>
            <w:r w:rsidRPr="003A4148">
              <w:t>Uses clear language to provide information</w:t>
            </w:r>
          </w:p>
        </w:tc>
      </w:tr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2.1, 2.3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ListBullet"/>
              <w:rPr>
                <w:lang w:val="en-NZ"/>
              </w:rPr>
            </w:pPr>
            <w:r w:rsidRPr="003A4148">
              <w:t>Applies simple mathematical principles wh</w:t>
            </w:r>
            <w:r w:rsidRPr="003A4148">
              <w:t>en estimating crowd numbers and area capacity</w:t>
            </w:r>
          </w:p>
        </w:tc>
      </w:tr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1.2, 1.5, 2.3, 2.4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ListBullet"/>
            </w:pPr>
            <w:r w:rsidRPr="003A4148">
              <w:t>Follows workplace protocols</w:t>
            </w:r>
          </w:p>
          <w:p w:rsidR="00000000" w:rsidP="003A4148">
            <w:pPr>
              <w:pStyle w:val="ListBullet"/>
              <w:rPr>
                <w:lang w:val="en-NZ"/>
              </w:rPr>
            </w:pPr>
            <w:r w:rsidRPr="003A4148">
              <w:t>Understands and completes main tasks and responsibilities, within the boundaries of own role</w:t>
            </w:r>
          </w:p>
        </w:tc>
      </w:tr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1.4, 1.</w:t>
            </w:r>
            <w:r w:rsidRPr="003A4148">
              <w:t>5, 2.2, 2.3, 2.4, 2.5, 2.6, 2.7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ListBullet"/>
            </w:pPr>
            <w:r w:rsidRPr="003A4148">
              <w:t>Uses polite, and where appropriate conciliatory, language, tone and non-verbal behaviour appropriate for interacting with the general public</w:t>
            </w:r>
          </w:p>
          <w:p w:rsidR="00000000" w:rsidP="003A4148">
            <w:pPr>
              <w:pStyle w:val="ListBullet"/>
              <w:rPr>
                <w:lang w:val="en-NZ"/>
              </w:rPr>
            </w:pPr>
            <w:r w:rsidRPr="003A4148">
              <w:t>Works collaboratively with those involved in front of house duties</w:t>
            </w:r>
          </w:p>
        </w:tc>
      </w:tr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Get the work d</w:t>
            </w:r>
            <w:r w:rsidRPr="003A4148">
              <w:t>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1.1, 1.2, 1.3, 1.4, 1.5, 2.1, 2.2, 2.3, 2.4, 2.5, 2.6, 2.7, 3.1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ListBullet"/>
            </w:pPr>
            <w:r w:rsidRPr="003A4148">
              <w:t>Completes own tasks within required timeframes and in a logical sequence</w:t>
            </w:r>
          </w:p>
          <w:p w:rsidR="00000000" w:rsidRPr="003A4148" w:rsidP="003A4148">
            <w:pPr>
              <w:pStyle w:val="ListBullet"/>
            </w:pPr>
            <w:r w:rsidRPr="003A4148">
              <w:t>Follows standard procedures when responding to familiar problems</w:t>
            </w:r>
          </w:p>
          <w:p w:rsidR="00000000" w:rsidRPr="003A4148" w:rsidP="003A4148">
            <w:pPr>
              <w:pStyle w:val="ListBullet"/>
            </w:pPr>
            <w:r w:rsidRPr="003A4148">
              <w:t>Takes action to report faults or technical issues</w:t>
            </w:r>
          </w:p>
          <w:p w:rsidR="00000000" w:rsidRPr="003A4148" w:rsidP="003A4148">
            <w:pPr>
              <w:pStyle w:val="ListBullet"/>
            </w:pPr>
            <w:r w:rsidRPr="003A4148">
              <w:t>Seeks assistance when problems are beyond immediate responsibilities or experience</w:t>
            </w:r>
          </w:p>
        </w:tc>
      </w:tr>
    </w:tbl>
    <w:p w:rsidR="00000000" w:rsidRPr="003A4148" w:rsidP="003A4148">
      <w:pPr>
        <w:pStyle w:val="BodyText"/>
      </w:pPr>
    </w:p>
    <w:p w:rsidR="00000000" w:rsidRPr="003A4148" w:rsidP="003A4148">
      <w:pPr>
        <w:pStyle w:val="AllowPageBreak"/>
      </w:pPr>
    </w:p>
    <w:p w:rsidR="00000000" w:rsidRPr="003A4148" w:rsidP="003A4148">
      <w:pPr>
        <w:pStyle w:val="Heading1"/>
      </w:pPr>
      <w:bookmarkStart w:id="6" w:name="O_807795"/>
      <w:bookmarkEnd w:id="6"/>
      <w:r w:rsidRPr="003A4148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3A414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rPr>
                <w:rStyle w:val="SpecialBold"/>
              </w:rPr>
              <w:t xml:space="preserve">Code and title </w:t>
            </w:r>
          </w:p>
          <w:p w:rsidR="00000000" w:rsidRPr="003A4148" w:rsidP="003A4148">
            <w:pPr>
              <w:pStyle w:val="BodyText"/>
            </w:pPr>
            <w:r w:rsidRPr="003A414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rPr>
                <w:rStyle w:val="SpecialBold"/>
              </w:rPr>
              <w:t>Code and title</w:t>
            </w:r>
          </w:p>
          <w:p w:rsidR="00000000" w:rsidRPr="003A4148" w:rsidP="003A4148">
            <w:pPr>
              <w:pStyle w:val="BodyText"/>
            </w:pPr>
            <w:r w:rsidRPr="003A414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rPr>
                <w:rStyle w:val="SpecialBold"/>
              </w:rPr>
              <w:t>Equivalence status</w:t>
            </w:r>
          </w:p>
        </w:tc>
      </w:tr>
      <w:tr w:rsidTr="003A414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CUAFOH302 Monitor entry to venues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CUAFOH302 Monitor entry to venues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Updated assessment conditions sections. Updated modification history section to reflect changed name of training package.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t>Equivalent unit</w:t>
            </w:r>
          </w:p>
        </w:tc>
      </w:tr>
    </w:tbl>
    <w:p w:rsidR="00000000" w:rsidRPr="003A4148" w:rsidP="003A4148">
      <w:pPr>
        <w:pStyle w:val="BodyText"/>
      </w:pPr>
    </w:p>
    <w:p w:rsidR="00000000" w:rsidRPr="003A4148" w:rsidP="003A4148">
      <w:pPr>
        <w:pStyle w:val="AllowPageBreak"/>
      </w:pPr>
    </w:p>
    <w:p w:rsidR="00000000" w:rsidRPr="003A4148" w:rsidP="003A4148">
      <w:pPr>
        <w:pStyle w:val="Heading1"/>
      </w:pPr>
      <w:bookmarkStart w:id="7" w:name="O_807801"/>
      <w:bookmarkEnd w:id="7"/>
      <w:r w:rsidRPr="003A4148">
        <w:t>Links</w:t>
      </w:r>
    </w:p>
    <w:p w:rsidR="00000000" w:rsidRPr="003A4148" w:rsidP="006C0563">
      <w:pPr>
        <w:pStyle w:val="BodyText"/>
      </w:pPr>
      <w:r w:rsidRPr="003A4148">
        <w:t>C</w:t>
      </w:r>
      <w:r w:rsidRPr="003A4148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769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A4148" w:rsidP="006C0563">
      <w:pPr>
        <w:pStyle w:val="BodyText"/>
        <w:sectPr w:rsidSect="003A41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4148" w:rsidP="003A4148">
      <w:pPr>
        <w:pStyle w:val="SuperHeading"/>
      </w:pPr>
      <w:r w:rsidRPr="003A4148">
        <w:t>Assessment Requirements for CUAFOH302 Monitor entry to venues</w:t>
      </w:r>
    </w:p>
    <w:p w:rsidR="00000000" w:rsidRPr="003A4148" w:rsidP="003A4148">
      <w:pPr>
        <w:pStyle w:val="Heading1"/>
      </w:pPr>
      <w:bookmarkStart w:id="8" w:name="O_807793"/>
      <w:bookmarkEnd w:id="8"/>
      <w:r w:rsidRPr="003A41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rPr>
                <w:rStyle w:val="SpecialBold"/>
              </w:rPr>
              <w:t>Comments</w:t>
            </w:r>
          </w:p>
        </w:tc>
      </w:tr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This version released with CUA Creative Arts and Culture Training Package version 2.0. Updated assessment conditions section. Updated modification history section to reflect changed name of t</w:t>
            </w:r>
            <w:r w:rsidRPr="003A4148">
              <w:t>raining package.</w:t>
            </w:r>
          </w:p>
        </w:tc>
      </w:tr>
      <w:tr w:rsidTr="003A4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48">
            <w:pPr>
              <w:pStyle w:val="BodyText"/>
              <w:rPr>
                <w:lang w:val="en-NZ"/>
              </w:rPr>
            </w:pPr>
            <w:r w:rsidRPr="003A41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48" w:rsidP="003A4148">
            <w:pPr>
              <w:pStyle w:val="BodyText"/>
            </w:pPr>
            <w:r w:rsidRPr="003A4148">
              <w:t>This version first released with CUA Creative Arts and Culture Training Package version 1.0.</w:t>
            </w:r>
          </w:p>
        </w:tc>
      </w:tr>
    </w:tbl>
    <w:p w:rsidR="00000000" w:rsidRPr="003A4148" w:rsidP="003A4148">
      <w:pPr>
        <w:pStyle w:val="BodyText"/>
      </w:pPr>
    </w:p>
    <w:p w:rsidR="00000000" w:rsidRPr="003A4148" w:rsidP="003A4148">
      <w:pPr>
        <w:pStyle w:val="AllowPageBreak"/>
      </w:pPr>
    </w:p>
    <w:p w:rsidR="00000000" w:rsidRPr="003A4148" w:rsidP="003A4148">
      <w:pPr>
        <w:pStyle w:val="Heading1"/>
      </w:pPr>
      <w:bookmarkStart w:id="9" w:name="O_807792"/>
      <w:bookmarkEnd w:id="9"/>
      <w:r w:rsidRPr="003A4148">
        <w:t>Performance Evidence</w:t>
      </w:r>
    </w:p>
    <w:p w:rsidR="00000000" w:rsidRPr="003A4148" w:rsidP="006C0563">
      <w:pPr>
        <w:pStyle w:val="BodyText"/>
      </w:pPr>
      <w:r w:rsidRPr="003A4148">
        <w:t>Evidence of the ability to:</w:t>
      </w:r>
    </w:p>
    <w:p w:rsidR="00000000" w:rsidRPr="003A4148" w:rsidP="003A4148">
      <w:pPr>
        <w:pStyle w:val="ListBullet"/>
      </w:pPr>
      <w:r w:rsidRPr="003A4148">
        <w:t xml:space="preserve">monitor entry to a venue by patrons on at least two occasions in </w:t>
      </w:r>
      <w:r w:rsidRPr="003A4148">
        <w:t>line with venue procedures</w:t>
      </w:r>
    </w:p>
    <w:p w:rsidR="00000000" w:rsidRPr="003A4148" w:rsidP="003A4148">
      <w:pPr>
        <w:pStyle w:val="ListBullet"/>
      </w:pPr>
      <w:r w:rsidRPr="003A4148">
        <w:t>effectively communicate with crowds and quickly resolve conflicts as they arise</w:t>
      </w:r>
    </w:p>
    <w:p w:rsidR="00000000" w:rsidRPr="003A4148" w:rsidP="003A4148">
      <w:pPr>
        <w:pStyle w:val="ListBullet"/>
      </w:pPr>
      <w:r w:rsidRPr="003A4148">
        <w:t>work effectively in a team environment.</w:t>
      </w:r>
    </w:p>
    <w:p w:rsidR="00000000" w:rsidRPr="003A4148" w:rsidP="003A4148">
      <w:pPr>
        <w:pStyle w:val="BodyText"/>
      </w:pPr>
    </w:p>
    <w:p w:rsidR="00000000" w:rsidRPr="003A4148" w:rsidP="006C0563">
      <w:pPr>
        <w:pStyle w:val="BodyText"/>
      </w:pPr>
      <w:r w:rsidRPr="003A4148">
        <w:t>Note: If a specific volume or frequency is not stated, then evidence must be provided for each of the above points at least once.</w:t>
      </w:r>
    </w:p>
    <w:p w:rsidR="00000000" w:rsidRPr="003A4148" w:rsidP="003A4148">
      <w:pPr>
        <w:pStyle w:val="Heading1"/>
      </w:pPr>
      <w:bookmarkStart w:id="10" w:name="O_807791"/>
      <w:bookmarkEnd w:id="10"/>
      <w:r w:rsidRPr="003A4148">
        <w:t>Knowledge Evidence</w:t>
      </w:r>
    </w:p>
    <w:p w:rsidR="00000000" w:rsidRPr="003A4148" w:rsidP="006C0563">
      <w:pPr>
        <w:pStyle w:val="BodyText"/>
      </w:pPr>
      <w:r w:rsidRPr="003A4148">
        <w:t>To complete the unit requirements the individual must:</w:t>
      </w:r>
    </w:p>
    <w:p w:rsidR="00000000" w:rsidRPr="003A4148" w:rsidP="003A4148">
      <w:pPr>
        <w:pStyle w:val="ListBullet"/>
      </w:pPr>
      <w:r w:rsidRPr="003A4148">
        <w:t>describe typical venue policies a</w:t>
      </w:r>
      <w:r w:rsidRPr="003A4148">
        <w:t>nd procedures in relation to restricted items, and security and monitoring</w:t>
      </w:r>
    </w:p>
    <w:p w:rsidR="00000000" w:rsidRPr="003A4148" w:rsidP="003A4148">
      <w:pPr>
        <w:pStyle w:val="ListBullet"/>
      </w:pPr>
      <w:r w:rsidRPr="003A4148">
        <w:t>provide examples of work health and safety issues and regulations in relation to crowd control</w:t>
      </w:r>
    </w:p>
    <w:p w:rsidR="00000000" w:rsidRPr="003A4148" w:rsidP="003A4148">
      <w:pPr>
        <w:pStyle w:val="ListBullet"/>
      </w:pPr>
      <w:r w:rsidRPr="003A4148">
        <w:t>provide examples of protocols for contacting emergency or security services, including</w:t>
      </w:r>
      <w:r w:rsidRPr="003A4148">
        <w:t xml:space="preserve"> local contacts</w:t>
      </w:r>
    </w:p>
    <w:p w:rsidR="00000000" w:rsidRPr="003A4148" w:rsidP="003A4148">
      <w:pPr>
        <w:pStyle w:val="ListBullet"/>
      </w:pPr>
      <w:r w:rsidRPr="003A4148">
        <w:t>describe typical formats for identification worn by those associated with performances, sessions or events.</w:t>
      </w:r>
    </w:p>
    <w:p w:rsidR="00000000" w:rsidRPr="003A4148" w:rsidP="003A4148">
      <w:pPr>
        <w:pStyle w:val="AllowPageBreak"/>
      </w:pPr>
    </w:p>
    <w:p w:rsidR="00000000" w:rsidRPr="003A4148" w:rsidP="003A4148">
      <w:pPr>
        <w:pStyle w:val="Heading1"/>
      </w:pPr>
      <w:bookmarkStart w:id="11" w:name="O_807790"/>
      <w:bookmarkEnd w:id="11"/>
      <w:r w:rsidRPr="003A4148">
        <w:t>Assessment Conditions</w:t>
      </w:r>
    </w:p>
    <w:p w:rsidR="00000000" w:rsidRPr="003A4148" w:rsidP="006C0563">
      <w:pPr>
        <w:pStyle w:val="BodyText"/>
      </w:pPr>
      <w:r w:rsidRPr="003A4148">
        <w:t>Assessment must be conducted in a safe environment where evidence gathered demonstrates consi</w:t>
      </w:r>
      <w:r w:rsidRPr="003A4148">
        <w:t>stent performance of typical activities experienced in creative arts industry environments. The assessment environment must include access to venues and events where monitoring a crowd for a commercially realistic period of time can occur.</w:t>
      </w:r>
    </w:p>
    <w:p w:rsidR="00000000" w:rsidRPr="003A4148" w:rsidP="006C0563">
      <w:pPr>
        <w:pStyle w:val="BodyText"/>
      </w:pPr>
      <w:r w:rsidRPr="003A4148">
        <w:t>Assessors of th</w:t>
      </w:r>
      <w:r w:rsidRPr="003A4148">
        <w:t>is unit must satisfy the requirements for assessors in applicable vocational educational and training legislation, frameworks and/or standards.</w:t>
      </w:r>
    </w:p>
    <w:p w:rsidR="00000000" w:rsidRPr="003A4148" w:rsidP="003A4148">
      <w:pPr>
        <w:pStyle w:val="Heading1"/>
      </w:pPr>
      <w:bookmarkStart w:id="12" w:name="O_807802"/>
      <w:bookmarkEnd w:id="12"/>
      <w:r w:rsidRPr="003A4148">
        <w:t>Links</w:t>
      </w:r>
    </w:p>
    <w:p w:rsidR="00000000" w:rsidRPr="003A4148" w:rsidP="006C0563">
      <w:pPr>
        <w:pStyle w:val="BodyText"/>
      </w:pPr>
      <w:r w:rsidRPr="003A41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769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A4148" w:rsidP="003A4148"/>
    <w:sectPr w:rsidSect="003A41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48" w:rsidRPr="006C0563" w:rsidP="006C05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63" w:rsidP="003A4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563" w:rsidP="003A4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C0563" w:rsidP="003A41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48" w:rsidP="003A4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0563">
      <w:t>Approved</w:t>
    </w:r>
    <w:r w:rsidR="006C05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05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0563">
      <w:rPr>
        <w:noProof/>
      </w:rPr>
      <w:t>4</w:t>
    </w:r>
    <w:r>
      <w:rPr>
        <w:noProof/>
      </w:rPr>
      <w:fldChar w:fldCharType="end"/>
    </w:r>
  </w:p>
  <w:p w:rsidR="003A4148" w:rsidP="003A4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05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0563">
      <w:t>Service and Creative Skills Australia</w:t>
    </w:r>
    <w:r w:rsidR="006C0563">
      <w:fldChar w:fldCharType="end"/>
    </w:r>
  </w:p>
  <w:p w:rsidR="003A4148" w:rsidP="003A41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148" w:rsidRPr="006C0563" w:rsidP="006C05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63" w:rsidRPr="002D2AF8" w:rsidP="003A4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CUAFOH302 Monitor entry to venues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0563" w:rsidP="003A41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48" w:rsidRPr="002D2AF8" w:rsidP="003A4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0563">
      <w:t>CUAFOH302 Monitor entry to venues</w:t>
    </w:r>
    <w:r w:rsidR="006C05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0563">
      <w:rPr>
        <w:noProof/>
      </w:rPr>
      <w:t>2 March 2025</w:t>
    </w:r>
    <w:r>
      <w:fldChar w:fldCharType="end"/>
    </w:r>
  </w:p>
  <w:p w:rsidR="003A4148" w:rsidP="003A41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F48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CA1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1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1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1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1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1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1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1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1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1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1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1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148"/>
  </w:style>
  <w:style w:type="character" w:customStyle="1" w:styleId="Heading1Char">
    <w:name w:val="Heading 1 Char"/>
    <w:basedOn w:val="DefaultParagraphFont"/>
    <w:link w:val="Heading1"/>
    <w:rsid w:val="003A41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1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1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1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148"/>
    <w:rPr>
      <w:b/>
      <w:spacing w:val="0"/>
    </w:rPr>
  </w:style>
  <w:style w:type="character" w:styleId="Emphasis">
    <w:name w:val="Emphasis"/>
    <w:basedOn w:val="DefaultParagraphFont"/>
    <w:qFormat/>
    <w:rsid w:val="003A4148"/>
    <w:rPr>
      <w:i/>
    </w:rPr>
  </w:style>
  <w:style w:type="paragraph" w:customStyle="1" w:styleId="SuperHeading">
    <w:name w:val="SuperHeading"/>
    <w:basedOn w:val="Normal"/>
    <w:rsid w:val="003A41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1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1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1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1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1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1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1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1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1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1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1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1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1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1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1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1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1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1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1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1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1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1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1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1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1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1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1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1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1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1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1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1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1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148"/>
  </w:style>
  <w:style w:type="paragraph" w:styleId="TableofFigures">
    <w:name w:val="table of figures"/>
    <w:basedOn w:val="Normal"/>
    <w:next w:val="Normal"/>
    <w:semiHidden/>
    <w:rsid w:val="003A41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1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4148"/>
    <w:rPr>
      <w:rFonts w:ascii="Wingdings" w:hAnsi="Wingdings"/>
    </w:rPr>
  </w:style>
  <w:style w:type="paragraph" w:customStyle="1" w:styleId="TableHeading">
    <w:name w:val="Table Heading"/>
    <w:basedOn w:val="HeadingBase"/>
    <w:rsid w:val="003A41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148"/>
    <w:rPr>
      <w:color w:val="0033CC"/>
      <w:u w:val="none"/>
    </w:rPr>
  </w:style>
  <w:style w:type="paragraph" w:customStyle="1" w:styleId="BodyTextRight">
    <w:name w:val="Body Text Right"/>
    <w:basedOn w:val="BodyText"/>
    <w:rsid w:val="003A41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1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1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1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1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1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148"/>
    <w:rPr>
      <w:sz w:val="32"/>
    </w:rPr>
  </w:style>
  <w:style w:type="paragraph" w:customStyle="1" w:styleId="HeadingProcedure">
    <w:name w:val="Heading Procedure"/>
    <w:basedOn w:val="HeadingBase"/>
    <w:next w:val="Normal"/>
    <w:rsid w:val="003A41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148"/>
    <w:pPr>
      <w:spacing w:before="60" w:after="60"/>
    </w:pPr>
  </w:style>
  <w:style w:type="paragraph" w:styleId="ListContinue">
    <w:name w:val="List Continue"/>
    <w:basedOn w:val="List"/>
    <w:rsid w:val="003A4148"/>
    <w:pPr>
      <w:ind w:firstLine="0"/>
    </w:pPr>
  </w:style>
  <w:style w:type="paragraph" w:customStyle="1" w:styleId="ListNote">
    <w:name w:val="List Note"/>
    <w:basedOn w:val="List"/>
    <w:rsid w:val="003A41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1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1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148"/>
    <w:rPr>
      <w:rFonts w:ascii="Courier New" w:hAnsi="Courier New"/>
    </w:rPr>
  </w:style>
  <w:style w:type="paragraph" w:customStyle="1" w:styleId="NoteBullet">
    <w:name w:val="Note Bullet"/>
    <w:basedOn w:val="Note"/>
    <w:rsid w:val="003A41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1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1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1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1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41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1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148"/>
    <w:rPr>
      <w:b/>
      <w:smallCaps/>
    </w:rPr>
  </w:style>
  <w:style w:type="paragraph" w:customStyle="1" w:styleId="TableListNumber">
    <w:name w:val="Table List Number"/>
    <w:basedOn w:val="ListNumber"/>
    <w:rsid w:val="003A41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1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148"/>
    <w:pPr>
      <w:numPr>
        <w:numId w:val="8"/>
      </w:numPr>
    </w:pPr>
  </w:style>
  <w:style w:type="paragraph" w:customStyle="1" w:styleId="ListAlpha2">
    <w:name w:val="List Alpha 2"/>
    <w:basedOn w:val="List2"/>
    <w:rsid w:val="003A4148"/>
    <w:pPr>
      <w:numPr>
        <w:numId w:val="7"/>
      </w:numPr>
    </w:pPr>
  </w:style>
  <w:style w:type="paragraph" w:styleId="List2">
    <w:name w:val="List 2"/>
    <w:basedOn w:val="BodyText"/>
    <w:rsid w:val="003A41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1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1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1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1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1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4148"/>
    <w:pPr>
      <w:numPr>
        <w:numId w:val="3"/>
      </w:numPr>
    </w:pPr>
  </w:style>
  <w:style w:type="paragraph" w:styleId="ListContinue2">
    <w:name w:val="List Continue 2"/>
    <w:basedOn w:val="List2"/>
    <w:rsid w:val="003A4148"/>
    <w:pPr>
      <w:ind w:firstLine="0"/>
    </w:pPr>
  </w:style>
  <w:style w:type="paragraph" w:styleId="ListContinue3">
    <w:name w:val="List Continue 3"/>
    <w:basedOn w:val="List3"/>
    <w:rsid w:val="003A4148"/>
    <w:pPr>
      <w:ind w:left="1021" w:firstLine="0"/>
    </w:pPr>
  </w:style>
  <w:style w:type="paragraph" w:styleId="ListContinue4">
    <w:name w:val="List Continue 4"/>
    <w:basedOn w:val="List4"/>
    <w:rsid w:val="003A4148"/>
    <w:pPr>
      <w:ind w:firstLine="0"/>
    </w:pPr>
  </w:style>
  <w:style w:type="paragraph" w:styleId="ListContinue5">
    <w:name w:val="List Continue 5"/>
    <w:basedOn w:val="List5"/>
    <w:rsid w:val="003A4148"/>
    <w:pPr>
      <w:ind w:firstLine="0"/>
    </w:pPr>
  </w:style>
  <w:style w:type="paragraph" w:styleId="ListNumber3">
    <w:name w:val="List Number 3"/>
    <w:basedOn w:val="List3"/>
    <w:rsid w:val="003A4148"/>
    <w:pPr>
      <w:numPr>
        <w:numId w:val="4"/>
      </w:numPr>
    </w:pPr>
  </w:style>
  <w:style w:type="paragraph" w:styleId="ListNumber4">
    <w:name w:val="List Number 4"/>
    <w:basedOn w:val="List4"/>
    <w:rsid w:val="003A4148"/>
    <w:pPr>
      <w:numPr>
        <w:numId w:val="5"/>
      </w:numPr>
    </w:pPr>
  </w:style>
  <w:style w:type="paragraph" w:styleId="ListNumber5">
    <w:name w:val="List Number 5"/>
    <w:basedOn w:val="List5"/>
    <w:rsid w:val="003A4148"/>
    <w:pPr>
      <w:numPr>
        <w:numId w:val="6"/>
      </w:numPr>
    </w:pPr>
  </w:style>
  <w:style w:type="paragraph" w:styleId="BlockText">
    <w:name w:val="Block Text"/>
    <w:basedOn w:val="Normal"/>
    <w:rsid w:val="003A41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1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148"/>
    <w:rPr>
      <w:sz w:val="16"/>
      <w:vertAlign w:val="superscript"/>
    </w:rPr>
  </w:style>
  <w:style w:type="character" w:customStyle="1" w:styleId="Symbols">
    <w:name w:val="Symbols"/>
    <w:basedOn w:val="DefaultParagraphFont"/>
    <w:rsid w:val="003A4148"/>
    <w:rPr>
      <w:rFonts w:ascii="Symbol" w:hAnsi="Symbol"/>
    </w:rPr>
  </w:style>
  <w:style w:type="character" w:customStyle="1" w:styleId="MenuOptions">
    <w:name w:val="Menu Options"/>
    <w:basedOn w:val="DefaultParagraphFont"/>
    <w:rsid w:val="003A41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148"/>
    <w:rPr>
      <w:b/>
    </w:rPr>
  </w:style>
  <w:style w:type="character" w:customStyle="1" w:styleId="Underlined">
    <w:name w:val="Underlined"/>
    <w:basedOn w:val="DefaultParagraphFont"/>
    <w:rsid w:val="003A4148"/>
    <w:rPr>
      <w:u w:val="single"/>
    </w:rPr>
  </w:style>
  <w:style w:type="paragraph" w:customStyle="1" w:styleId="TableBodyTextRight">
    <w:name w:val="Table Body Text Right"/>
    <w:basedOn w:val="TableBodyText"/>
    <w:rsid w:val="003A41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148"/>
    <w:rPr>
      <w:sz w:val="18"/>
    </w:rPr>
  </w:style>
  <w:style w:type="paragraph" w:customStyle="1" w:styleId="BodySmallRight">
    <w:name w:val="Body Small Right"/>
    <w:basedOn w:val="BodyTextRight"/>
    <w:rsid w:val="003A4148"/>
    <w:rPr>
      <w:sz w:val="18"/>
      <w:szCs w:val="18"/>
    </w:rPr>
  </w:style>
  <w:style w:type="paragraph" w:customStyle="1" w:styleId="MarginEdition">
    <w:name w:val="Margin Edition"/>
    <w:basedOn w:val="MarginNote"/>
    <w:rsid w:val="003A41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148"/>
    <w:rPr>
      <w:sz w:val="2"/>
      <w:szCs w:val="2"/>
    </w:rPr>
  </w:style>
  <w:style w:type="character" w:customStyle="1" w:styleId="Small">
    <w:name w:val="Small"/>
    <w:basedOn w:val="DefaultParagraphFont"/>
    <w:rsid w:val="003A4148"/>
    <w:rPr>
      <w:sz w:val="16"/>
    </w:rPr>
  </w:style>
  <w:style w:type="paragraph" w:customStyle="1" w:styleId="WideTable">
    <w:name w:val="Wide Table"/>
    <w:basedOn w:val="Normal"/>
    <w:rsid w:val="003A41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148"/>
  </w:style>
  <w:style w:type="paragraph" w:styleId="Quote">
    <w:name w:val="Quote"/>
    <w:basedOn w:val="Heading1"/>
    <w:link w:val="QuoteChar"/>
    <w:qFormat/>
    <w:rsid w:val="003A41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1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148"/>
    <w:pPr>
      <w:pageBreakBefore/>
    </w:pPr>
  </w:style>
  <w:style w:type="paragraph" w:customStyle="1" w:styleId="Border">
    <w:name w:val="Border"/>
    <w:basedOn w:val="Normal"/>
    <w:qFormat/>
    <w:rsid w:val="003A41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1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1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1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1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1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1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1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1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148"/>
    <w:rPr>
      <w:u w:val="single"/>
    </w:rPr>
  </w:style>
  <w:style w:type="character" w:customStyle="1" w:styleId="BoldandItalics">
    <w:name w:val="Bold and Italics"/>
    <w:qFormat/>
    <w:rsid w:val="003A4148"/>
    <w:rPr>
      <w:b/>
      <w:i/>
      <w:u w:val="none"/>
    </w:rPr>
  </w:style>
  <w:style w:type="paragraph" w:styleId="BalloonText">
    <w:name w:val="Balloon Text"/>
    <w:basedOn w:val="Normal"/>
    <w:link w:val="BalloonTextChar"/>
    <w:rsid w:val="003A4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1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1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1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1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1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148"/>
    <w:pPr>
      <w:spacing w:before="0" w:after="0"/>
    </w:pPr>
  </w:style>
  <w:style w:type="paragraph" w:customStyle="1" w:styleId="BodyTextBold">
    <w:name w:val="Body Text Bold"/>
    <w:basedOn w:val="BodyText"/>
    <w:qFormat/>
    <w:rsid w:val="003A4148"/>
    <w:rPr>
      <w:b/>
    </w:rPr>
  </w:style>
  <w:style w:type="character" w:styleId="Hyperlink">
    <w:name w:val="Hyperlink"/>
    <w:basedOn w:val="DefaultParagraphFont"/>
    <w:uiPriority w:val="99"/>
    <w:unhideWhenUsed/>
    <w:rsid w:val="006C05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5864</Characters>
  <Application>Microsoft Office Word</Application>
  <DocSecurity>0</DocSecurity>
  <Lines>217</Lines>
  <Paragraphs>128</Paragraphs>
  <ScaleCrop>false</ScaleCrop>
  <Company>Author-it Software Corporation Ltd.</Company>
  <LinksUpToDate>false</LinksUpToDate>
  <CharactersWithSpaces>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CUAFOH302 Monitor entry to venues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