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062" w:rsidP="00412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CUADTM612 Teach high level jazz dance techniques</w:t>
      </w:r>
      <w:r>
        <w:fldChar w:fldCharType="end"/>
      </w:r>
    </w:p>
    <w:p w:rsidR="00412062" w:rsidP="00412062">
      <w:pPr>
        <w:pStyle w:val="Version"/>
        <w:sectPr w:rsidSect="003A6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DC0" w:rsidP="003A6DC0">
      <w:pPr>
        <w:pStyle w:val="SuperHeading"/>
      </w:pPr>
      <w:r w:rsidRPr="003A6DC0">
        <w:t>Assessment Requirements for CUADTM612 Teach high level jazz dance techniques</w:t>
      </w:r>
    </w:p>
    <w:p w:rsidR="00000000" w:rsidRPr="003A6DC0" w:rsidP="003A6DC0">
      <w:pPr>
        <w:pStyle w:val="Heading1"/>
      </w:pPr>
      <w:bookmarkStart w:id="1" w:name="O_1146487"/>
      <w:bookmarkEnd w:id="1"/>
      <w:r w:rsidRPr="003A6D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6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C0" w:rsidP="003A6DC0">
            <w:pPr>
              <w:pStyle w:val="BodyText"/>
            </w:pPr>
            <w:r w:rsidRPr="003A6DC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C0">
            <w:pPr>
              <w:pStyle w:val="BodyText"/>
              <w:rPr>
                <w:lang w:val="en-NZ"/>
              </w:rPr>
            </w:pPr>
            <w:r w:rsidRPr="003A6DC0">
              <w:rPr>
                <w:rStyle w:val="SpecialBold"/>
              </w:rPr>
              <w:t>Comments</w:t>
            </w:r>
          </w:p>
        </w:tc>
      </w:tr>
      <w:tr w:rsidTr="003A6D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DC0">
            <w:pPr>
              <w:pStyle w:val="BodyText"/>
              <w:rPr>
                <w:lang w:val="en-NZ"/>
              </w:rPr>
            </w:pPr>
            <w:r w:rsidRPr="003A6DC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DC0" w:rsidP="003A6DC0">
            <w:pPr>
              <w:pStyle w:val="BodyText"/>
            </w:pPr>
            <w:r w:rsidRPr="003A6DC0">
              <w:t>This version first released with CUA Creative Arts and Culture Training Package Version 5.0.</w:t>
            </w:r>
          </w:p>
        </w:tc>
      </w:tr>
    </w:tbl>
    <w:p w:rsidR="00000000" w:rsidRPr="003A6DC0" w:rsidP="003A6DC0">
      <w:pPr>
        <w:pStyle w:val="BodyText"/>
      </w:pPr>
    </w:p>
    <w:p w:rsidR="00000000" w:rsidRPr="003A6DC0" w:rsidP="003A6DC0">
      <w:pPr>
        <w:pStyle w:val="AllowPageBreak"/>
      </w:pPr>
    </w:p>
    <w:p w:rsidR="00000000" w:rsidRPr="003A6DC0" w:rsidP="003A6DC0">
      <w:pPr>
        <w:pStyle w:val="Heading1"/>
      </w:pPr>
      <w:bookmarkStart w:id="2" w:name="O_1146490"/>
      <w:bookmarkEnd w:id="2"/>
      <w:r w:rsidRPr="003A6DC0">
        <w:t>Performance Evidence</w:t>
      </w:r>
    </w:p>
    <w:p w:rsidR="00000000" w:rsidRPr="003A6DC0" w:rsidP="00412062">
      <w:pPr>
        <w:pStyle w:val="BodyText"/>
      </w:pPr>
      <w:r w:rsidRPr="003A6DC0">
        <w:t>The candidate must demonstrate the ability to complete the tasks outlined in the elements, performance criteria and foundation skills of this unit, including evidence of the ability to:</w:t>
      </w:r>
    </w:p>
    <w:p w:rsidR="00000000" w:rsidRPr="003A6DC0" w:rsidP="003A6DC0">
      <w:pPr>
        <w:pStyle w:val="ListBullet"/>
      </w:pPr>
      <w:r w:rsidRPr="003A6DC0">
        <w:t>teach at least four dance classes of hi</w:t>
      </w:r>
      <w:r w:rsidRPr="003A6DC0">
        <w:t>gh level jazz dance techniques.</w:t>
      </w:r>
    </w:p>
    <w:p w:rsidR="00000000" w:rsidRPr="003A6DC0" w:rsidP="003A6DC0">
      <w:pPr>
        <w:pStyle w:val="List"/>
      </w:pPr>
    </w:p>
    <w:p w:rsidR="00000000" w:rsidRPr="003A6DC0" w:rsidP="00412062">
      <w:pPr>
        <w:pStyle w:val="BodyText"/>
      </w:pPr>
      <w:r w:rsidRPr="003A6DC0">
        <w:t xml:space="preserve">In the course of the above the candidate must: </w:t>
      </w:r>
    </w:p>
    <w:p w:rsidR="00000000" w:rsidRPr="003A6DC0" w:rsidP="003A6DC0">
      <w:pPr>
        <w:pStyle w:val="ListBullet"/>
      </w:pPr>
      <w:r w:rsidRPr="003A6DC0">
        <w:t>teach warm-up and cool-down techniques required for high level jazz dance techniques</w:t>
      </w:r>
    </w:p>
    <w:p w:rsidR="00000000" w:rsidRPr="003A6DC0" w:rsidP="003A6DC0">
      <w:pPr>
        <w:pStyle w:val="ListBullet"/>
      </w:pPr>
      <w:r w:rsidRPr="003A6DC0">
        <w:t>follow safe dance practices in teaching activities</w:t>
      </w:r>
    </w:p>
    <w:p w:rsidR="00000000" w:rsidRPr="003A6DC0" w:rsidP="003A6DC0">
      <w:pPr>
        <w:pStyle w:val="ListBullet"/>
      </w:pPr>
      <w:r w:rsidRPr="003A6DC0">
        <w:t>deliver class according to</w:t>
      </w:r>
      <w:r w:rsidRPr="003A6DC0">
        <w:t xml:space="preserve"> identified learning outcomes as required</w:t>
      </w:r>
    </w:p>
    <w:p w:rsidR="00000000" w:rsidRPr="003A6DC0" w:rsidP="003A6DC0">
      <w:pPr>
        <w:pStyle w:val="ListBullet"/>
      </w:pPr>
      <w:r w:rsidRPr="003A6DC0">
        <w:t>develop teaching resources</w:t>
      </w:r>
    </w:p>
    <w:p w:rsidR="00000000" w:rsidRPr="003A6DC0" w:rsidP="003A6DC0">
      <w:pPr>
        <w:pStyle w:val="ListBullet"/>
      </w:pPr>
      <w:r w:rsidRPr="003A6DC0">
        <w:t>teach highly complex steps</w:t>
      </w:r>
    </w:p>
    <w:p w:rsidR="00000000" w:rsidRPr="003A6DC0" w:rsidP="003A6DC0">
      <w:pPr>
        <w:pStyle w:val="ListBullet"/>
      </w:pPr>
      <w:r w:rsidRPr="003A6DC0">
        <w:t>teach musicality, expression, phrasing and correct timing in movement sequences</w:t>
      </w:r>
    </w:p>
    <w:p w:rsidR="00000000" w:rsidRPr="003A6DC0" w:rsidP="003A6DC0">
      <w:pPr>
        <w:pStyle w:val="ListBullet"/>
      </w:pPr>
      <w:r w:rsidRPr="003A6DC0">
        <w:t>interact constructively with learners and demonstrate respect for individual lea</w:t>
      </w:r>
      <w:r w:rsidRPr="003A6DC0">
        <w:t>rning needs</w:t>
      </w:r>
    </w:p>
    <w:p w:rsidR="00000000" w:rsidRPr="003A6DC0" w:rsidP="003A6DC0">
      <w:pPr>
        <w:pStyle w:val="ListBullet"/>
      </w:pPr>
      <w:r w:rsidRPr="003A6DC0">
        <w:t>evaluate own teaching practice and identify opportunities for improvement.</w:t>
      </w:r>
    </w:p>
    <w:p w:rsidR="00000000" w:rsidRPr="003A6DC0" w:rsidP="003A6DC0">
      <w:pPr>
        <w:pStyle w:val="AllowPageBreak"/>
      </w:pPr>
    </w:p>
    <w:p w:rsidR="00000000" w:rsidRPr="003A6DC0" w:rsidP="003A6DC0">
      <w:pPr>
        <w:pStyle w:val="Heading1"/>
      </w:pPr>
      <w:bookmarkStart w:id="3" w:name="O_1146489"/>
      <w:bookmarkEnd w:id="3"/>
      <w:r w:rsidRPr="003A6DC0">
        <w:t>Knowledge Evidence</w:t>
      </w:r>
    </w:p>
    <w:p w:rsidR="00000000" w:rsidRPr="003A6DC0" w:rsidP="00412062">
      <w:pPr>
        <w:pStyle w:val="BodyText"/>
      </w:pPr>
      <w:r w:rsidRPr="003A6DC0">
        <w:t>The candidate must be able to demonstrate knowledge to complete the tasks outlined in the elements, performance criteria and founda</w:t>
      </w:r>
      <w:r w:rsidRPr="003A6DC0">
        <w:t>tion skills of this unit, including knowledge of:</w:t>
      </w:r>
    </w:p>
    <w:p w:rsidR="00000000" w:rsidRPr="003A6DC0" w:rsidP="003A6DC0">
      <w:pPr>
        <w:pStyle w:val="ListBullet"/>
      </w:pPr>
      <w:r w:rsidRPr="003A6DC0">
        <w:t>significance of the following anatomical foundations in the context of teaching dance techniques:</w:t>
      </w:r>
    </w:p>
    <w:p w:rsidR="00000000" w:rsidRPr="003A6DC0" w:rsidP="003A6DC0">
      <w:pPr>
        <w:pStyle w:val="ListBullet2"/>
      </w:pPr>
      <w:r w:rsidRPr="003A6DC0">
        <w:t xml:space="preserve">spine articulation </w:t>
      </w:r>
    </w:p>
    <w:p w:rsidR="00000000" w:rsidRPr="003A6DC0" w:rsidP="003A6DC0">
      <w:pPr>
        <w:pStyle w:val="ListBullet2"/>
      </w:pPr>
      <w:r w:rsidRPr="003A6DC0">
        <w:t xml:space="preserve">feet engagement </w:t>
      </w:r>
    </w:p>
    <w:p w:rsidR="00000000" w:rsidRPr="003A6DC0" w:rsidP="003A6DC0">
      <w:pPr>
        <w:pStyle w:val="ListBullet2"/>
      </w:pPr>
      <w:r w:rsidRPr="003A6DC0">
        <w:t>bases of support, including feet, legs, hands, arms, and torso</w:t>
      </w:r>
    </w:p>
    <w:p w:rsidR="00000000" w:rsidRPr="003A6DC0" w:rsidP="003A6DC0">
      <w:pPr>
        <w:pStyle w:val="ListBullet2"/>
      </w:pPr>
      <w:r w:rsidRPr="003A6DC0">
        <w:t>rang</w:t>
      </w:r>
      <w:r w:rsidRPr="003A6DC0">
        <w:t>e of motion of the joints</w:t>
      </w:r>
    </w:p>
    <w:p w:rsidR="00000000" w:rsidRPr="003A6DC0" w:rsidP="003A6DC0">
      <w:pPr>
        <w:pStyle w:val="ListBullet2"/>
      </w:pPr>
      <w:r w:rsidRPr="003A6DC0">
        <w:t>differentiation of legs and pelvis</w:t>
      </w:r>
    </w:p>
    <w:p w:rsidR="00000000" w:rsidRPr="003A6DC0" w:rsidP="003A6DC0">
      <w:pPr>
        <w:pStyle w:val="ListBullet"/>
      </w:pPr>
      <w:r w:rsidRPr="003A6DC0">
        <w:t>key principles in the Australian Guidelines for Dance Teachers and Dance Industry Code of Ethics</w:t>
      </w:r>
    </w:p>
    <w:p w:rsidR="00000000" w:rsidRPr="003A6DC0" w:rsidP="003A6DC0">
      <w:pPr>
        <w:pStyle w:val="ListBullet"/>
      </w:pPr>
      <w:r w:rsidRPr="003A6DC0">
        <w:t>processes for formulating class plans according to learning outcomes</w:t>
      </w:r>
    </w:p>
    <w:p w:rsidR="00000000" w:rsidRPr="003A6DC0" w:rsidP="003A6DC0">
      <w:pPr>
        <w:pStyle w:val="ListBullet"/>
      </w:pPr>
      <w:r w:rsidRPr="003A6DC0">
        <w:t>strategies for developing te</w:t>
      </w:r>
      <w:r w:rsidRPr="003A6DC0">
        <w:t>aching resources that address identified gaps in material</w:t>
      </w:r>
    </w:p>
    <w:p w:rsidR="00000000" w:rsidRPr="003A6DC0" w:rsidP="003A6DC0">
      <w:pPr>
        <w:pStyle w:val="ListBullet"/>
      </w:pPr>
      <w:r w:rsidRPr="003A6DC0">
        <w:t xml:space="preserve">strategies to evaluate feedback and develop plan to improve teaching practice </w:t>
      </w:r>
    </w:p>
    <w:p w:rsidR="00000000" w:rsidRPr="003A6DC0" w:rsidP="003A6DC0">
      <w:pPr>
        <w:pStyle w:val="ListBullet"/>
      </w:pPr>
      <w:r w:rsidRPr="003A6DC0">
        <w:t>processes for participating in professional development activities</w:t>
      </w:r>
    </w:p>
    <w:p w:rsidR="00000000" w:rsidRPr="003A6DC0" w:rsidP="003A6DC0">
      <w:pPr>
        <w:pStyle w:val="ListBullet"/>
      </w:pPr>
      <w:r w:rsidRPr="003A6DC0">
        <w:t>techniques for researching, sourcing and using curre</w:t>
      </w:r>
      <w:r w:rsidRPr="003A6DC0">
        <w:t>nt industry issues, trends and codes of practice</w:t>
      </w:r>
    </w:p>
    <w:p w:rsidR="00000000" w:rsidRPr="003A6DC0" w:rsidP="003A6DC0">
      <w:pPr>
        <w:pStyle w:val="ListBullet"/>
      </w:pPr>
      <w:r w:rsidRPr="003A6DC0">
        <w:t>jazz dance principles and techniques</w:t>
      </w:r>
    </w:p>
    <w:p w:rsidR="00000000" w:rsidRPr="003A6DC0" w:rsidP="003A6DC0">
      <w:pPr>
        <w:pStyle w:val="ListBullet"/>
      </w:pPr>
      <w:r w:rsidRPr="003A6DC0">
        <w:t>features of commonly performed jazz dance repertoire</w:t>
      </w:r>
    </w:p>
    <w:p w:rsidR="00000000" w:rsidRPr="003A6DC0" w:rsidP="003A6DC0">
      <w:pPr>
        <w:pStyle w:val="ListBullet"/>
      </w:pPr>
      <w:r w:rsidRPr="003A6DC0">
        <w:t>key aspects of safe dance practice</w:t>
      </w:r>
    </w:p>
    <w:p w:rsidR="00000000" w:rsidRPr="003A6DC0" w:rsidP="003A6DC0">
      <w:pPr>
        <w:pStyle w:val="ListBullet"/>
      </w:pPr>
      <w:r w:rsidRPr="003A6DC0">
        <w:t>jazz dance techniques taught at a highly competent jazz dance level, including tho</w:t>
      </w:r>
      <w:r w:rsidRPr="003A6DC0">
        <w:t>se relating to:</w:t>
      </w:r>
    </w:p>
    <w:p w:rsidR="00000000" w:rsidRPr="003A6DC0" w:rsidP="003A6DC0">
      <w:pPr>
        <w:pStyle w:val="ListBullet2"/>
      </w:pPr>
      <w:r w:rsidRPr="003A6DC0">
        <w:t>adage</w:t>
      </w:r>
    </w:p>
    <w:p w:rsidR="00000000" w:rsidRPr="003A6DC0" w:rsidP="003A6DC0">
      <w:pPr>
        <w:pStyle w:val="ListBullet2"/>
      </w:pPr>
      <w:r w:rsidRPr="003A6DC0">
        <w:t>awareness of personal and general space when travelling and stationary</w:t>
      </w:r>
    </w:p>
    <w:p w:rsidR="00000000" w:rsidRPr="003A6DC0" w:rsidP="003A6DC0">
      <w:pPr>
        <w:pStyle w:val="ListBullet2"/>
      </w:pPr>
      <w:r w:rsidRPr="003A6DC0">
        <w:t>fluid control of pirouettes with directional change</w:t>
      </w:r>
    </w:p>
    <w:p w:rsidR="00000000" w:rsidRPr="003A6DC0" w:rsidP="003A6DC0">
      <w:pPr>
        <w:pStyle w:val="ListBullet2"/>
      </w:pPr>
      <w:r w:rsidRPr="003A6DC0">
        <w:t>fouettés</w:t>
      </w:r>
    </w:p>
    <w:p w:rsidR="00000000" w:rsidRPr="003A6DC0" w:rsidP="003A6DC0">
      <w:pPr>
        <w:pStyle w:val="ListBullet2"/>
      </w:pPr>
      <w:r w:rsidRPr="003A6DC0">
        <w:t>grand battement</w:t>
      </w:r>
    </w:p>
    <w:p w:rsidR="00000000" w:rsidRPr="003A6DC0" w:rsidP="003A6DC0">
      <w:pPr>
        <w:pStyle w:val="ListBullet2"/>
      </w:pPr>
      <w:r w:rsidRPr="003A6DC0">
        <w:t>isocentric and polycentric isolations</w:t>
      </w:r>
    </w:p>
    <w:p w:rsidR="00000000" w:rsidRPr="003A6DC0" w:rsidP="003A6DC0">
      <w:pPr>
        <w:pStyle w:val="ListBullet2"/>
      </w:pPr>
      <w:r w:rsidRPr="003A6DC0">
        <w:t>interpreting rhythm to movement</w:t>
      </w:r>
    </w:p>
    <w:p w:rsidR="00000000" w:rsidRPr="003A6DC0" w:rsidP="003A6DC0">
      <w:pPr>
        <w:pStyle w:val="ListBullet2"/>
      </w:pPr>
      <w:r w:rsidRPr="003A6DC0">
        <w:t>jumps and leaps</w:t>
      </w:r>
    </w:p>
    <w:p w:rsidR="00000000" w:rsidRPr="003A6DC0" w:rsidP="003A6DC0">
      <w:pPr>
        <w:pStyle w:val="ListBullet2"/>
      </w:pPr>
      <w:r w:rsidRPr="003A6DC0">
        <w:t>knee spins</w:t>
      </w:r>
    </w:p>
    <w:p w:rsidR="00000000" w:rsidRPr="003A6DC0" w:rsidP="003A6DC0">
      <w:pPr>
        <w:pStyle w:val="ListBullet2"/>
      </w:pPr>
      <w:r w:rsidRPr="003A6DC0">
        <w:t>pliés</w:t>
      </w:r>
    </w:p>
    <w:p w:rsidR="00000000" w:rsidRPr="003A6DC0" w:rsidP="003A6DC0">
      <w:pPr>
        <w:pStyle w:val="ListBullet2"/>
      </w:pPr>
      <w:r w:rsidRPr="003A6DC0">
        <w:t>posés piqués and châinés box style</w:t>
      </w:r>
    </w:p>
    <w:p w:rsidR="00000000" w:rsidRPr="003A6DC0" w:rsidP="003A6DC0">
      <w:pPr>
        <w:pStyle w:val="ListBullet2"/>
      </w:pPr>
      <w:r w:rsidRPr="003A6DC0">
        <w:t>steady balance on supporting leg, working towards a 90-degree angle</w:t>
      </w:r>
    </w:p>
    <w:p w:rsidR="00000000" w:rsidRPr="003A6DC0" w:rsidP="003A6DC0">
      <w:pPr>
        <w:pStyle w:val="ListBullet2"/>
      </w:pPr>
      <w:r w:rsidRPr="003A6DC0">
        <w:t>stretches</w:t>
      </w:r>
    </w:p>
    <w:p w:rsidR="00000000" w:rsidRPr="003A6DC0" w:rsidP="003A6DC0">
      <w:pPr>
        <w:pStyle w:val="ListBullet2"/>
      </w:pPr>
      <w:r w:rsidRPr="003A6DC0">
        <w:t>tendu lifts</w:t>
      </w:r>
    </w:p>
    <w:p w:rsidR="00000000" w:rsidRPr="003A6DC0" w:rsidP="003A6DC0">
      <w:pPr>
        <w:pStyle w:val="ListBullet2"/>
      </w:pPr>
      <w:r w:rsidRPr="003A6DC0">
        <w:t>using arm lines appropriately</w:t>
      </w:r>
    </w:p>
    <w:p w:rsidR="00000000" w:rsidRPr="003A6DC0" w:rsidP="003A6DC0">
      <w:pPr>
        <w:pStyle w:val="ListBullet2"/>
      </w:pPr>
      <w:r w:rsidRPr="003A6DC0">
        <w:t>working in a cohesive partnership with a peer, interpreting a dance style.</w:t>
      </w:r>
    </w:p>
    <w:p w:rsidR="00000000" w:rsidRPr="003A6DC0" w:rsidP="003A6DC0">
      <w:pPr>
        <w:pStyle w:val="AllowPageBreak"/>
      </w:pPr>
    </w:p>
    <w:p w:rsidR="00000000" w:rsidRPr="003A6DC0" w:rsidP="003A6DC0">
      <w:pPr>
        <w:pStyle w:val="Heading1"/>
      </w:pPr>
      <w:bookmarkStart w:id="4" w:name="O_1146488"/>
      <w:bookmarkEnd w:id="4"/>
      <w:r w:rsidRPr="003A6DC0">
        <w:t>Assessment Conditions</w:t>
      </w:r>
    </w:p>
    <w:p w:rsidR="00000000" w:rsidRPr="003A6DC0" w:rsidP="00412062">
      <w:pPr>
        <w:pStyle w:val="BodyText"/>
      </w:pPr>
      <w:r w:rsidRPr="003A6DC0">
        <w:t xml:space="preserve">Skills in this unit must be demonstrated in a workplace or simulated environment where the conditions are typical of those in a working environment in this industry. </w:t>
      </w:r>
    </w:p>
    <w:p w:rsidR="00000000" w:rsidRPr="003A6DC0" w:rsidP="00412062">
      <w:pPr>
        <w:pStyle w:val="BodyText"/>
      </w:pPr>
      <w:r w:rsidRPr="003A6DC0">
        <w:t>This includes access to:</w:t>
      </w:r>
    </w:p>
    <w:p w:rsidR="00000000" w:rsidRPr="003A6DC0" w:rsidP="003A6DC0">
      <w:pPr>
        <w:pStyle w:val="ListBullet"/>
      </w:pPr>
      <w:r w:rsidRPr="003A6DC0">
        <w:t>teaching resources and equipme</w:t>
      </w:r>
      <w:r w:rsidRPr="003A6DC0">
        <w:t>nt</w:t>
      </w:r>
    </w:p>
    <w:p w:rsidR="00000000" w:rsidRPr="003A6DC0" w:rsidP="003A6DC0">
      <w:pPr>
        <w:pStyle w:val="ListBullet"/>
      </w:pPr>
      <w:r w:rsidRPr="003A6DC0">
        <w:t>opportunities for teaching high level jazz dance techniques in classes</w:t>
      </w:r>
    </w:p>
    <w:p w:rsidR="00000000" w:rsidRPr="003A6DC0" w:rsidP="003A6DC0">
      <w:pPr>
        <w:pStyle w:val="ListBullet"/>
      </w:pPr>
      <w:r w:rsidRPr="003A6DC0">
        <w:t>a venue with space required for teaching jazz dance and a sprung or tarkett floor.</w:t>
      </w:r>
    </w:p>
    <w:p w:rsidR="00000000" w:rsidRPr="003A6DC0" w:rsidP="003A6DC0">
      <w:pPr>
        <w:pStyle w:val="List"/>
      </w:pPr>
    </w:p>
    <w:p w:rsidR="00000000" w:rsidRPr="003A6DC0" w:rsidP="00412062">
      <w:pPr>
        <w:pStyle w:val="BodyText"/>
      </w:pPr>
      <w:r w:rsidRPr="003A6DC0">
        <w:t>Assessors of this unit must satisfy the requirements for assessors in applicable vocational educational and training legislation, frameworks and/or standards.</w:t>
      </w:r>
    </w:p>
    <w:p w:rsidR="00000000" w:rsidRPr="003A6DC0" w:rsidP="003A6DC0">
      <w:pPr>
        <w:pStyle w:val="Heading1"/>
      </w:pPr>
      <w:bookmarkStart w:id="5" w:name="O_1146486"/>
      <w:bookmarkEnd w:id="5"/>
      <w:r w:rsidRPr="003A6DC0">
        <w:t>Links</w:t>
      </w:r>
    </w:p>
    <w:p w:rsidR="00000000" w:rsidRPr="003A6DC0" w:rsidP="00412062">
      <w:pPr>
        <w:pStyle w:val="BodyText"/>
      </w:pPr>
      <w:r w:rsidRPr="003A6D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35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6DC0" w:rsidP="003A6DC0"/>
    <w:sectPr w:rsidSect="003A6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0" w:rsidRPr="00412062" w:rsidP="00412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62" w:rsidP="003A6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062" w:rsidP="003A6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2062" w:rsidP="003A6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DC0" w:rsidRPr="00412062" w:rsidP="00412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62" w:rsidRPr="002D2AF8" w:rsidP="003A6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CUADTM612 Teach high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12062" w:rsidP="003A6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AA9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04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8E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DC0"/>
  </w:style>
  <w:style w:type="character" w:customStyle="1" w:styleId="Heading1Char">
    <w:name w:val="Heading 1 Char"/>
    <w:basedOn w:val="DefaultParagraphFont"/>
    <w:link w:val="Heading1"/>
    <w:rsid w:val="003A6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D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D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D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DC0"/>
    <w:rPr>
      <w:b/>
      <w:spacing w:val="0"/>
    </w:rPr>
  </w:style>
  <w:style w:type="paragraph" w:styleId="ListBullet2">
    <w:name w:val="List Bullet 2"/>
    <w:basedOn w:val="List2"/>
    <w:rsid w:val="003A6D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D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DC0"/>
    <w:rPr>
      <w:i/>
    </w:rPr>
  </w:style>
  <w:style w:type="paragraph" w:styleId="Caption">
    <w:name w:val="caption"/>
    <w:basedOn w:val="BodyText"/>
    <w:next w:val="Normal"/>
    <w:qFormat/>
    <w:rsid w:val="003A6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DC0"/>
  </w:style>
  <w:style w:type="paragraph" w:styleId="TableofFigures">
    <w:name w:val="table of figures"/>
    <w:basedOn w:val="Normal"/>
    <w:next w:val="Normal"/>
    <w:semiHidden/>
    <w:rsid w:val="003A6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DC0"/>
    <w:rPr>
      <w:rFonts w:ascii="Wingdings" w:hAnsi="Wingdings"/>
    </w:rPr>
  </w:style>
  <w:style w:type="paragraph" w:customStyle="1" w:styleId="TableHeading">
    <w:name w:val="Table Heading"/>
    <w:basedOn w:val="HeadingBase"/>
    <w:rsid w:val="003A6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DC0"/>
    <w:rPr>
      <w:color w:val="0033CC"/>
      <w:u w:val="none"/>
    </w:rPr>
  </w:style>
  <w:style w:type="paragraph" w:customStyle="1" w:styleId="BodyTextRight">
    <w:name w:val="Body Text Right"/>
    <w:basedOn w:val="BodyText"/>
    <w:rsid w:val="003A6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DC0"/>
    <w:rPr>
      <w:sz w:val="32"/>
    </w:rPr>
  </w:style>
  <w:style w:type="paragraph" w:customStyle="1" w:styleId="HeadingProcedure">
    <w:name w:val="Heading Procedure"/>
    <w:basedOn w:val="HeadingBase"/>
    <w:next w:val="Normal"/>
    <w:rsid w:val="003A6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DC0"/>
    <w:pPr>
      <w:spacing w:before="60" w:after="60"/>
    </w:pPr>
  </w:style>
  <w:style w:type="paragraph" w:styleId="ListContinue">
    <w:name w:val="List Continue"/>
    <w:basedOn w:val="List"/>
    <w:rsid w:val="003A6DC0"/>
    <w:pPr>
      <w:ind w:firstLine="0"/>
    </w:pPr>
  </w:style>
  <w:style w:type="paragraph" w:customStyle="1" w:styleId="ListNote">
    <w:name w:val="List Note"/>
    <w:basedOn w:val="List"/>
    <w:rsid w:val="003A6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DC0"/>
    <w:rPr>
      <w:rFonts w:ascii="Courier New" w:hAnsi="Courier New"/>
    </w:rPr>
  </w:style>
  <w:style w:type="paragraph" w:customStyle="1" w:styleId="NoteBullet">
    <w:name w:val="Note Bullet"/>
    <w:basedOn w:val="Note"/>
    <w:rsid w:val="003A6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DC0"/>
    <w:rPr>
      <w:b/>
      <w:smallCaps/>
    </w:rPr>
  </w:style>
  <w:style w:type="paragraph" w:customStyle="1" w:styleId="TableListNumber">
    <w:name w:val="Table List Number"/>
    <w:basedOn w:val="ListNumber"/>
    <w:rsid w:val="003A6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DC0"/>
    <w:pPr>
      <w:numPr>
        <w:numId w:val="9"/>
      </w:numPr>
    </w:pPr>
  </w:style>
  <w:style w:type="paragraph" w:customStyle="1" w:styleId="ListAlpha2">
    <w:name w:val="List Alpha 2"/>
    <w:basedOn w:val="List2"/>
    <w:rsid w:val="003A6DC0"/>
    <w:pPr>
      <w:numPr>
        <w:numId w:val="8"/>
      </w:numPr>
    </w:pPr>
  </w:style>
  <w:style w:type="paragraph" w:styleId="List2">
    <w:name w:val="List 2"/>
    <w:basedOn w:val="BodyText"/>
    <w:rsid w:val="003A6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DC0"/>
    <w:pPr>
      <w:numPr>
        <w:numId w:val="4"/>
      </w:numPr>
    </w:pPr>
  </w:style>
  <w:style w:type="paragraph" w:styleId="ListContinue2">
    <w:name w:val="List Continue 2"/>
    <w:basedOn w:val="List2"/>
    <w:rsid w:val="003A6DC0"/>
    <w:pPr>
      <w:ind w:firstLine="0"/>
    </w:pPr>
  </w:style>
  <w:style w:type="paragraph" w:styleId="ListContinue3">
    <w:name w:val="List Continue 3"/>
    <w:basedOn w:val="List3"/>
    <w:rsid w:val="003A6DC0"/>
    <w:pPr>
      <w:ind w:left="1021" w:firstLine="0"/>
    </w:pPr>
  </w:style>
  <w:style w:type="paragraph" w:styleId="ListContinue4">
    <w:name w:val="List Continue 4"/>
    <w:basedOn w:val="List4"/>
    <w:rsid w:val="003A6DC0"/>
    <w:pPr>
      <w:ind w:firstLine="0"/>
    </w:pPr>
  </w:style>
  <w:style w:type="paragraph" w:styleId="ListContinue5">
    <w:name w:val="List Continue 5"/>
    <w:basedOn w:val="List5"/>
    <w:rsid w:val="003A6DC0"/>
    <w:pPr>
      <w:ind w:firstLine="0"/>
    </w:pPr>
  </w:style>
  <w:style w:type="paragraph" w:styleId="ListNumber3">
    <w:name w:val="List Number 3"/>
    <w:basedOn w:val="List3"/>
    <w:rsid w:val="003A6DC0"/>
    <w:pPr>
      <w:numPr>
        <w:numId w:val="5"/>
      </w:numPr>
    </w:pPr>
  </w:style>
  <w:style w:type="paragraph" w:styleId="ListNumber4">
    <w:name w:val="List Number 4"/>
    <w:basedOn w:val="List4"/>
    <w:rsid w:val="003A6DC0"/>
    <w:pPr>
      <w:numPr>
        <w:numId w:val="6"/>
      </w:numPr>
    </w:pPr>
  </w:style>
  <w:style w:type="paragraph" w:styleId="ListNumber5">
    <w:name w:val="List Number 5"/>
    <w:basedOn w:val="List5"/>
    <w:rsid w:val="003A6DC0"/>
    <w:pPr>
      <w:numPr>
        <w:numId w:val="7"/>
      </w:numPr>
    </w:pPr>
  </w:style>
  <w:style w:type="paragraph" w:styleId="BlockText">
    <w:name w:val="Block Text"/>
    <w:basedOn w:val="Normal"/>
    <w:rsid w:val="003A6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DC0"/>
    <w:rPr>
      <w:sz w:val="16"/>
      <w:vertAlign w:val="superscript"/>
    </w:rPr>
  </w:style>
  <w:style w:type="character" w:customStyle="1" w:styleId="Symbols">
    <w:name w:val="Symbols"/>
    <w:basedOn w:val="DefaultParagraphFont"/>
    <w:rsid w:val="003A6DC0"/>
    <w:rPr>
      <w:rFonts w:ascii="Symbol" w:hAnsi="Symbol"/>
    </w:rPr>
  </w:style>
  <w:style w:type="character" w:customStyle="1" w:styleId="MenuOptions">
    <w:name w:val="Menu Options"/>
    <w:basedOn w:val="DefaultParagraphFont"/>
    <w:rsid w:val="003A6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DC0"/>
    <w:rPr>
      <w:b/>
    </w:rPr>
  </w:style>
  <w:style w:type="character" w:customStyle="1" w:styleId="Underlined">
    <w:name w:val="Underlined"/>
    <w:basedOn w:val="DefaultParagraphFont"/>
    <w:rsid w:val="003A6DC0"/>
    <w:rPr>
      <w:u w:val="single"/>
    </w:rPr>
  </w:style>
  <w:style w:type="paragraph" w:customStyle="1" w:styleId="TableBodyTextRight">
    <w:name w:val="Table Body Text Right"/>
    <w:basedOn w:val="TableBodyText"/>
    <w:rsid w:val="003A6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DC0"/>
    <w:rPr>
      <w:sz w:val="18"/>
    </w:rPr>
  </w:style>
  <w:style w:type="paragraph" w:customStyle="1" w:styleId="BodySmallRight">
    <w:name w:val="Body Small Right"/>
    <w:basedOn w:val="BodyTextRight"/>
    <w:rsid w:val="003A6DC0"/>
    <w:rPr>
      <w:sz w:val="18"/>
      <w:szCs w:val="18"/>
    </w:rPr>
  </w:style>
  <w:style w:type="paragraph" w:customStyle="1" w:styleId="MarginEdition">
    <w:name w:val="Margin Edition"/>
    <w:basedOn w:val="MarginNote"/>
    <w:rsid w:val="003A6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DC0"/>
    <w:rPr>
      <w:sz w:val="2"/>
      <w:szCs w:val="2"/>
    </w:rPr>
  </w:style>
  <w:style w:type="character" w:customStyle="1" w:styleId="Small">
    <w:name w:val="Small"/>
    <w:basedOn w:val="DefaultParagraphFont"/>
    <w:rsid w:val="003A6DC0"/>
    <w:rPr>
      <w:sz w:val="16"/>
    </w:rPr>
  </w:style>
  <w:style w:type="paragraph" w:customStyle="1" w:styleId="WideTable">
    <w:name w:val="Wide Table"/>
    <w:basedOn w:val="Normal"/>
    <w:rsid w:val="003A6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DC0"/>
  </w:style>
  <w:style w:type="paragraph" w:styleId="Quote">
    <w:name w:val="Quote"/>
    <w:basedOn w:val="Heading1"/>
    <w:link w:val="QuoteChar"/>
    <w:qFormat/>
    <w:rsid w:val="003A6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DC0"/>
    <w:pPr>
      <w:pageBreakBefore/>
    </w:pPr>
  </w:style>
  <w:style w:type="paragraph" w:customStyle="1" w:styleId="Border">
    <w:name w:val="Border"/>
    <w:basedOn w:val="Normal"/>
    <w:qFormat/>
    <w:rsid w:val="003A6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DC0"/>
    <w:rPr>
      <w:u w:val="single"/>
    </w:rPr>
  </w:style>
  <w:style w:type="character" w:customStyle="1" w:styleId="BoldandItalics">
    <w:name w:val="Bold and Italics"/>
    <w:qFormat/>
    <w:rsid w:val="003A6DC0"/>
    <w:rPr>
      <w:b/>
      <w:i/>
      <w:u w:val="none"/>
    </w:rPr>
  </w:style>
  <w:style w:type="paragraph" w:styleId="BalloonText">
    <w:name w:val="Balloon Text"/>
    <w:basedOn w:val="Normal"/>
    <w:link w:val="BalloonTextChar"/>
    <w:rsid w:val="003A6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DC0"/>
    <w:pPr>
      <w:spacing w:before="0" w:after="0"/>
    </w:pPr>
  </w:style>
  <w:style w:type="paragraph" w:customStyle="1" w:styleId="BodyTextBold">
    <w:name w:val="Body Text Bold"/>
    <w:basedOn w:val="BodyText"/>
    <w:qFormat/>
    <w:rsid w:val="003A6DC0"/>
    <w:rPr>
      <w:b/>
    </w:rPr>
  </w:style>
  <w:style w:type="character" w:styleId="Hyperlink">
    <w:name w:val="Hyperlink"/>
    <w:basedOn w:val="DefaultParagraphFont"/>
    <w:uiPriority w:val="99"/>
    <w:unhideWhenUsed/>
    <w:rsid w:val="00412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3191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CUADTM612 Teach high level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