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31F" w:rsidP="00CD6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CUADTM508 Refine dance teaching methodologies</w:t>
      </w:r>
      <w:r>
        <w:fldChar w:fldCharType="end"/>
      </w:r>
    </w:p>
    <w:p w:rsidR="00CD631F" w:rsidP="00CD631F">
      <w:pPr>
        <w:pStyle w:val="Version"/>
        <w:sectPr w:rsidSect="001C1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1208" w:rsidP="001C1208">
      <w:pPr>
        <w:pStyle w:val="SuperHeading"/>
      </w:pPr>
      <w:r w:rsidRPr="001C1208">
        <w:t>Assessment Requirements for CUADTM508 Refine dance teaching methodologies</w:t>
      </w:r>
    </w:p>
    <w:p w:rsidR="00000000" w:rsidRPr="001C1208" w:rsidP="001C1208">
      <w:pPr>
        <w:pStyle w:val="Heading1"/>
      </w:pPr>
      <w:bookmarkStart w:id="1" w:name="O_805937"/>
      <w:bookmarkEnd w:id="1"/>
      <w:r w:rsidRPr="001C12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1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08" w:rsidP="001C1208">
            <w:pPr>
              <w:pStyle w:val="BodyText"/>
            </w:pPr>
            <w:r w:rsidRPr="001C12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08">
            <w:pPr>
              <w:pStyle w:val="BodyText"/>
              <w:rPr>
                <w:lang w:val="en-NZ"/>
              </w:rPr>
            </w:pPr>
            <w:r w:rsidRPr="001C1208">
              <w:rPr>
                <w:rStyle w:val="SpecialBold"/>
              </w:rPr>
              <w:t>Comments</w:t>
            </w:r>
          </w:p>
        </w:tc>
      </w:tr>
      <w:tr w:rsidTr="001C1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08">
            <w:pPr>
              <w:pStyle w:val="BodyText"/>
              <w:rPr>
                <w:lang w:val="en-NZ"/>
              </w:rPr>
            </w:pPr>
            <w:r w:rsidRPr="001C120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08">
            <w:pPr>
              <w:pStyle w:val="BodyText"/>
              <w:rPr>
                <w:lang w:val="en-NZ"/>
              </w:rPr>
            </w:pPr>
            <w:r w:rsidRPr="001C120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C12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208">
            <w:pPr>
              <w:pStyle w:val="BodyText"/>
              <w:rPr>
                <w:lang w:val="en-NZ"/>
              </w:rPr>
            </w:pPr>
            <w:r w:rsidRPr="001C12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208" w:rsidP="001C1208">
            <w:pPr>
              <w:pStyle w:val="BodyText"/>
            </w:pPr>
            <w:r w:rsidRPr="001C1208">
              <w:t xml:space="preserve">This version first released with CUA </w:t>
            </w:r>
            <w:r w:rsidRPr="001C1208">
              <w:t>Creative Arts and Culture Training Package version 1.0.</w:t>
            </w:r>
          </w:p>
        </w:tc>
      </w:tr>
    </w:tbl>
    <w:p w:rsidR="00000000" w:rsidRPr="001C1208" w:rsidP="001C1208">
      <w:pPr>
        <w:pStyle w:val="BodyText"/>
      </w:pPr>
    </w:p>
    <w:p w:rsidR="00000000" w:rsidRPr="001C1208" w:rsidP="001C1208">
      <w:pPr>
        <w:pStyle w:val="AllowPageBreak"/>
      </w:pPr>
    </w:p>
    <w:p w:rsidR="00000000" w:rsidRPr="001C1208" w:rsidP="001C1208">
      <w:pPr>
        <w:pStyle w:val="Heading1"/>
      </w:pPr>
      <w:bookmarkStart w:id="2" w:name="O_805936"/>
      <w:bookmarkEnd w:id="2"/>
      <w:r w:rsidRPr="001C1208">
        <w:t>Performance Evidence</w:t>
      </w:r>
    </w:p>
    <w:p w:rsidR="00000000" w:rsidRPr="001C1208" w:rsidP="00CD631F">
      <w:pPr>
        <w:pStyle w:val="BodyText"/>
      </w:pPr>
      <w:r w:rsidRPr="001C1208">
        <w:t>Evidence of the ability to:</w:t>
      </w:r>
    </w:p>
    <w:p w:rsidR="00000000" w:rsidRPr="001C1208" w:rsidP="001C1208">
      <w:pPr>
        <w:pStyle w:val="ListBullet"/>
      </w:pPr>
      <w:r w:rsidRPr="001C1208">
        <w:t>adhere to the Dance Industry Code of Ethics in a dance teaching environment</w:t>
      </w:r>
    </w:p>
    <w:p w:rsidR="00000000" w:rsidRPr="001C1208" w:rsidP="001C1208">
      <w:pPr>
        <w:pStyle w:val="ListBullet"/>
      </w:pPr>
      <w:r w:rsidRPr="001C1208">
        <w:t>work collaboratively with others in a dance teaching and professional development context</w:t>
      </w:r>
    </w:p>
    <w:p w:rsidR="00000000" w:rsidRPr="001C1208" w:rsidP="001C1208">
      <w:pPr>
        <w:pStyle w:val="ListBullet"/>
      </w:pPr>
      <w:r w:rsidRPr="001C1208">
        <w:t>improve own dance teaching methods</w:t>
      </w:r>
    </w:p>
    <w:p w:rsidR="00000000" w:rsidRPr="001C1208" w:rsidP="001C1208">
      <w:pPr>
        <w:pStyle w:val="ListBullet"/>
      </w:pPr>
      <w:r w:rsidRPr="001C1208">
        <w:t>demonstrate teaching practice that clearly shows appropriate learning and instructional design principles</w:t>
      </w:r>
    </w:p>
    <w:p w:rsidR="00000000" w:rsidRPr="001C1208" w:rsidP="001C1208">
      <w:pPr>
        <w:pStyle w:val="ListBullet"/>
      </w:pPr>
      <w:r w:rsidRPr="001C1208">
        <w:t>communicate effectively a</w:t>
      </w:r>
      <w:r w:rsidRPr="001C1208">
        <w:t>nd constructively with students.</w:t>
      </w:r>
    </w:p>
    <w:p w:rsidR="00000000" w:rsidRPr="001C1208" w:rsidP="001C1208">
      <w:pPr>
        <w:pStyle w:val="BodyText"/>
      </w:pPr>
    </w:p>
    <w:p w:rsidR="00000000" w:rsidRPr="001C1208" w:rsidP="00CD631F">
      <w:pPr>
        <w:pStyle w:val="BodyText"/>
      </w:pPr>
      <w:r w:rsidRPr="001C1208">
        <w:t>Note: If a specific volume or frequency is not stated, then evidence must be provided for each of the above points at least once.</w:t>
      </w:r>
    </w:p>
    <w:p w:rsidR="00000000" w:rsidRPr="001C1208" w:rsidP="001C1208">
      <w:pPr>
        <w:pStyle w:val="Heading1"/>
      </w:pPr>
      <w:bookmarkStart w:id="3" w:name="O_805935"/>
      <w:bookmarkEnd w:id="3"/>
      <w:r w:rsidRPr="001C1208">
        <w:t>Knowledge Evidence</w:t>
      </w:r>
    </w:p>
    <w:p w:rsidR="00000000" w:rsidRPr="001C1208" w:rsidP="00CD631F">
      <w:pPr>
        <w:pStyle w:val="BodyText"/>
      </w:pPr>
      <w:r w:rsidRPr="001C1208">
        <w:t>To complete the unit requirements the individual must:</w:t>
      </w:r>
    </w:p>
    <w:p w:rsidR="00000000" w:rsidRPr="001C1208" w:rsidP="001C1208">
      <w:pPr>
        <w:pStyle w:val="ListBullet"/>
      </w:pPr>
      <w:r w:rsidRPr="001C1208">
        <w:t>explain the following learning principles:</w:t>
      </w:r>
    </w:p>
    <w:p w:rsidR="00000000" w:rsidRPr="001C1208" w:rsidP="001C1208">
      <w:pPr>
        <w:pStyle w:val="ListBullet2"/>
      </w:pPr>
      <w:r w:rsidRPr="001C1208">
        <w:t>learner-centred approaches to teaching</w:t>
      </w:r>
    </w:p>
    <w:p w:rsidR="00000000" w:rsidRPr="001C1208" w:rsidP="001C1208">
      <w:pPr>
        <w:pStyle w:val="ListBullet2"/>
      </w:pPr>
      <w:r w:rsidRPr="001C1208">
        <w:t>increasing learner independence</w:t>
      </w:r>
    </w:p>
    <w:p w:rsidR="00000000" w:rsidRPr="001C1208" w:rsidP="001C1208">
      <w:pPr>
        <w:pStyle w:val="ListBullet2"/>
      </w:pPr>
      <w:r w:rsidRPr="001C1208">
        <w:t>use of modelling and demonstration</w:t>
      </w:r>
    </w:p>
    <w:p w:rsidR="00000000" w:rsidRPr="001C1208" w:rsidP="001C1208">
      <w:pPr>
        <w:pStyle w:val="ListBullet2"/>
      </w:pPr>
      <w:r w:rsidRPr="001C1208">
        <w:t>learning process needing to reflect individual circumstances</w:t>
      </w:r>
    </w:p>
    <w:p w:rsidR="00000000" w:rsidRPr="001C1208" w:rsidP="001C1208">
      <w:pPr>
        <w:pStyle w:val="ListBullet"/>
      </w:pPr>
      <w:r w:rsidRPr="001C1208">
        <w:t>explain the following learning styles:</w:t>
      </w:r>
    </w:p>
    <w:p w:rsidR="00000000" w:rsidRPr="001C1208" w:rsidP="001C1208">
      <w:pPr>
        <w:pStyle w:val="ListBullet2"/>
      </w:pPr>
      <w:r w:rsidRPr="001C1208">
        <w:t>auditory</w:t>
      </w:r>
    </w:p>
    <w:p w:rsidR="00000000" w:rsidRPr="001C1208" w:rsidP="001C1208">
      <w:pPr>
        <w:pStyle w:val="ListBullet2"/>
      </w:pPr>
      <w:r w:rsidRPr="001C1208">
        <w:t>visual</w:t>
      </w:r>
    </w:p>
    <w:p w:rsidR="00000000" w:rsidRPr="001C1208" w:rsidP="001C1208">
      <w:pPr>
        <w:pStyle w:val="ListBullet2"/>
      </w:pPr>
      <w:r w:rsidRPr="001C1208">
        <w:t>kinaesthetic</w:t>
      </w:r>
    </w:p>
    <w:p w:rsidR="00000000" w:rsidRPr="001C1208" w:rsidP="001C1208">
      <w:pPr>
        <w:pStyle w:val="ListBullet2"/>
      </w:pPr>
      <w:r w:rsidRPr="001C1208">
        <w:t>analytical</w:t>
      </w:r>
    </w:p>
    <w:p w:rsidR="00000000" w:rsidRPr="001C1208" w:rsidP="001C1208">
      <w:pPr>
        <w:pStyle w:val="ListBullet2"/>
      </w:pPr>
      <w:r w:rsidRPr="001C1208">
        <w:t>theoretical</w:t>
      </w:r>
    </w:p>
    <w:p w:rsidR="00000000" w:rsidRPr="001C1208" w:rsidP="001C1208">
      <w:pPr>
        <w:pStyle w:val="ListBullet2"/>
      </w:pPr>
      <w:r w:rsidRPr="001C1208">
        <w:t>activist</w:t>
      </w:r>
    </w:p>
    <w:p w:rsidR="00000000" w:rsidRPr="001C1208" w:rsidP="001C1208">
      <w:pPr>
        <w:pStyle w:val="ListBullet2"/>
      </w:pPr>
      <w:r w:rsidRPr="001C1208">
        <w:t>pragmatist</w:t>
      </w:r>
    </w:p>
    <w:p w:rsidR="00000000" w:rsidRPr="001C1208" w:rsidP="001C1208">
      <w:pPr>
        <w:pStyle w:val="ListBullet2"/>
      </w:pPr>
      <w:r w:rsidRPr="001C1208">
        <w:t>reflective</w:t>
      </w:r>
    </w:p>
    <w:p w:rsidR="00000000" w:rsidRPr="001C1208" w:rsidP="001C1208">
      <w:pPr>
        <w:pStyle w:val="ListBullet"/>
      </w:pPr>
      <w:r w:rsidRPr="001C1208">
        <w:t>explain how the following relate to instructional design principles:</w:t>
      </w:r>
    </w:p>
    <w:p w:rsidR="00000000" w:rsidRPr="001C1208" w:rsidP="001C1208">
      <w:pPr>
        <w:pStyle w:val="ListBullet2"/>
      </w:pPr>
      <w:r w:rsidRPr="001C1208">
        <w:t>sequencing information</w:t>
      </w:r>
    </w:p>
    <w:p w:rsidR="00000000" w:rsidRPr="001C1208" w:rsidP="001C1208">
      <w:pPr>
        <w:pStyle w:val="ListBullet2"/>
      </w:pPr>
      <w:r w:rsidRPr="001C1208">
        <w:t>providing opportunities for practice</w:t>
      </w:r>
    </w:p>
    <w:p w:rsidR="00000000" w:rsidRPr="001C1208" w:rsidP="001C1208">
      <w:pPr>
        <w:pStyle w:val="ListBullet"/>
      </w:pPr>
      <w:r w:rsidRPr="001C1208">
        <w:t>describe key aspects in the process of de</w:t>
      </w:r>
      <w:r w:rsidRPr="001C1208">
        <w:t>signing learning programs and developing lesson plans</w:t>
      </w:r>
    </w:p>
    <w:p w:rsidR="00000000" w:rsidRPr="001C1208" w:rsidP="001C1208">
      <w:pPr>
        <w:pStyle w:val="ListBullet"/>
      </w:pPr>
      <w:r w:rsidRPr="001C1208">
        <w:t>describe different teaching methods and techniques appropriate to teaching dance or movement</w:t>
      </w:r>
    </w:p>
    <w:p w:rsidR="00000000" w:rsidRPr="001C1208" w:rsidP="001C1208">
      <w:pPr>
        <w:pStyle w:val="ListBullet"/>
      </w:pPr>
      <w:r w:rsidRPr="001C1208">
        <w:t>explain key aspects of the following in relation to teaching dance:</w:t>
      </w:r>
    </w:p>
    <w:p w:rsidR="00000000" w:rsidRPr="001C1208" w:rsidP="001C1208">
      <w:pPr>
        <w:pStyle w:val="ListBullet2"/>
      </w:pPr>
      <w:r w:rsidRPr="001C1208">
        <w:t>Dance Industry Code of Ethics</w:t>
      </w:r>
    </w:p>
    <w:p w:rsidR="00000000" w:rsidRPr="001C1208" w:rsidP="001C1208">
      <w:pPr>
        <w:pStyle w:val="ListBullet2"/>
      </w:pPr>
      <w:r w:rsidRPr="001C1208">
        <w:t>Australian Guidelines for Dance Teachers</w:t>
      </w:r>
    </w:p>
    <w:p w:rsidR="00000000" w:rsidRPr="001C1208" w:rsidP="001C1208">
      <w:pPr>
        <w:pStyle w:val="ListBullet2"/>
      </w:pPr>
      <w:r w:rsidRPr="001C1208">
        <w:t>duty of care under common law</w:t>
      </w:r>
    </w:p>
    <w:p w:rsidR="00000000" w:rsidRPr="001C1208" w:rsidP="001C1208">
      <w:pPr>
        <w:pStyle w:val="ListBullet2"/>
      </w:pPr>
      <w:r w:rsidRPr="001C1208">
        <w:t>safe dance practice</w:t>
      </w:r>
    </w:p>
    <w:p w:rsidR="00000000" w:rsidRPr="001C1208" w:rsidP="001C1208">
      <w:pPr>
        <w:pStyle w:val="ListBullet2"/>
      </w:pPr>
      <w:r w:rsidRPr="001C1208">
        <w:t>hazard reporting requirements</w:t>
      </w:r>
    </w:p>
    <w:p w:rsidR="00000000" w:rsidRPr="001C1208" w:rsidP="001C1208">
      <w:pPr>
        <w:pStyle w:val="ListBullet2"/>
      </w:pPr>
      <w:r w:rsidRPr="001C1208">
        <w:t>safe use and maintenance of equipment</w:t>
      </w:r>
    </w:p>
    <w:p w:rsidR="00000000" w:rsidRPr="001C1208" w:rsidP="001C1208">
      <w:pPr>
        <w:pStyle w:val="ListBullet2"/>
      </w:pPr>
      <w:r w:rsidRPr="001C1208">
        <w:t>emergency procedures</w:t>
      </w:r>
    </w:p>
    <w:p w:rsidR="00000000" w:rsidRPr="001C1208" w:rsidP="001C1208">
      <w:pPr>
        <w:pStyle w:val="ListBullet2"/>
      </w:pPr>
      <w:r w:rsidRPr="001C1208">
        <w:t>sources of work health and safety (WHS) information</w:t>
      </w:r>
    </w:p>
    <w:p w:rsidR="00000000" w:rsidRPr="001C1208" w:rsidP="001C1208">
      <w:pPr>
        <w:pStyle w:val="ListBullet"/>
      </w:pPr>
      <w:r w:rsidRPr="001C1208">
        <w:t>describe key features o</w:t>
      </w:r>
      <w:r w:rsidRPr="001C1208">
        <w:t>f the following learning theories:</w:t>
      </w:r>
    </w:p>
    <w:p w:rsidR="00000000" w:rsidRPr="001C1208" w:rsidP="001C1208">
      <w:pPr>
        <w:pStyle w:val="ListBullet2"/>
      </w:pPr>
      <w:r w:rsidRPr="001C1208">
        <w:t>cognitive learning theory</w:t>
      </w:r>
    </w:p>
    <w:p w:rsidR="00000000" w:rsidRPr="001C1208" w:rsidP="001C1208">
      <w:pPr>
        <w:pStyle w:val="ListBullet2"/>
      </w:pPr>
      <w:r w:rsidRPr="001C1208">
        <w:t>andragogy</w:t>
      </w:r>
    </w:p>
    <w:p w:rsidR="00000000" w:rsidRPr="001C1208" w:rsidP="001C1208">
      <w:pPr>
        <w:pStyle w:val="ListBullet2"/>
      </w:pPr>
      <w:r w:rsidRPr="001C1208">
        <w:t>pedagogy</w:t>
      </w:r>
    </w:p>
    <w:p w:rsidR="00000000" w:rsidRPr="001C1208" w:rsidP="001C1208">
      <w:pPr>
        <w:pStyle w:val="ListBullet2"/>
      </w:pPr>
      <w:r w:rsidRPr="001C1208">
        <w:t>information processing</w:t>
      </w:r>
    </w:p>
    <w:p w:rsidR="00000000" w:rsidRPr="001C1208" w:rsidP="001C1208">
      <w:pPr>
        <w:pStyle w:val="ListBullet2"/>
      </w:pPr>
      <w:r w:rsidRPr="001C1208">
        <w:t>behavioural.</w:t>
      </w:r>
    </w:p>
    <w:p w:rsidR="00000000" w:rsidRPr="001C1208" w:rsidP="001C1208">
      <w:pPr>
        <w:pStyle w:val="AllowPageBreak"/>
      </w:pPr>
    </w:p>
    <w:p w:rsidR="00000000" w:rsidRPr="001C1208" w:rsidP="001C1208">
      <w:pPr>
        <w:pStyle w:val="Heading1"/>
      </w:pPr>
      <w:bookmarkStart w:id="4" w:name="O_805934"/>
      <w:bookmarkEnd w:id="4"/>
      <w:r w:rsidRPr="001C1208">
        <w:t>Assessment Conditions</w:t>
      </w:r>
    </w:p>
    <w:p w:rsidR="00000000" w:rsidRPr="001C1208" w:rsidP="00CD631F">
      <w:pPr>
        <w:pStyle w:val="BodyText"/>
      </w:pPr>
      <w:r w:rsidRPr="001C1208">
        <w:t>Assessment mus</w:t>
      </w:r>
      <w:r w:rsidRPr="001C1208">
        <w:t xml:space="preserve">t be conducted in a safe environment where evidence gathered demonstrates consistent performance of typical activities experienced in creative arts industry environments. The assessment environment must include: </w:t>
      </w:r>
    </w:p>
    <w:p w:rsidR="00000000" w:rsidRPr="001C1208" w:rsidP="001C1208">
      <w:pPr>
        <w:pStyle w:val="ListBullet"/>
      </w:pPr>
      <w:r w:rsidRPr="001C1208">
        <w:t xml:space="preserve">interaction and collaboration with others </w:t>
      </w:r>
      <w:r w:rsidRPr="001C1208">
        <w:t>involved in dance teaching</w:t>
      </w:r>
    </w:p>
    <w:p w:rsidR="00000000" w:rsidRPr="001C1208" w:rsidP="001C1208">
      <w:pPr>
        <w:pStyle w:val="ListBullet"/>
      </w:pPr>
      <w:r w:rsidRPr="001C1208">
        <w:t>access to industry networks and information.</w:t>
      </w:r>
    </w:p>
    <w:p w:rsidR="00000000" w:rsidRPr="001C1208" w:rsidP="001C1208">
      <w:pPr>
        <w:pStyle w:val="BodyText"/>
      </w:pPr>
    </w:p>
    <w:p w:rsidR="00000000" w:rsidRPr="001C1208" w:rsidP="00CD631F">
      <w:pPr>
        <w:pStyle w:val="BodyText"/>
      </w:pPr>
      <w:r w:rsidRPr="001C1208">
        <w:t>Assessors of this unit must satisfy the requirements for assessors in applicable vocational educational and training legislation, frameworks and/or standards.</w:t>
      </w:r>
    </w:p>
    <w:p w:rsidR="00000000" w:rsidRPr="001C1208" w:rsidP="001C1208">
      <w:pPr>
        <w:pStyle w:val="Heading1"/>
      </w:pPr>
      <w:bookmarkStart w:id="5" w:name="O_805946"/>
      <w:bookmarkEnd w:id="5"/>
      <w:r w:rsidRPr="001C1208">
        <w:t>Links</w:t>
      </w:r>
    </w:p>
    <w:p w:rsidR="00000000" w:rsidRPr="001C1208" w:rsidP="00CD631F">
      <w:pPr>
        <w:pStyle w:val="BodyText"/>
      </w:pPr>
      <w:r w:rsidRPr="001C1208">
        <w:t>C</w:t>
      </w:r>
      <w:r w:rsidRPr="001C1208">
        <w:t xml:space="preserve">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C27C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C1208" w:rsidP="001C1208"/>
    <w:sectPr w:rsidSect="001C12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8" w:rsidRPr="00CD631F" w:rsidP="00CD6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1F" w:rsidP="001C1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31F" w:rsidP="001C1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631F" w:rsidP="001C1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208" w:rsidRPr="00CD631F" w:rsidP="00CD6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1F" w:rsidRPr="002D2AF8" w:rsidP="001C1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CUADTM508 Refine dance teaching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D631F" w:rsidP="001C1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46C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18D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9E4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208"/>
  </w:style>
  <w:style w:type="character" w:customStyle="1" w:styleId="Heading1Char">
    <w:name w:val="Heading 1 Char"/>
    <w:basedOn w:val="DefaultParagraphFont"/>
    <w:link w:val="Heading1"/>
    <w:rsid w:val="001C1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2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208"/>
    <w:rPr>
      <w:b/>
      <w:spacing w:val="0"/>
    </w:rPr>
  </w:style>
  <w:style w:type="paragraph" w:styleId="ListBullet2">
    <w:name w:val="List Bullet 2"/>
    <w:basedOn w:val="List2"/>
    <w:rsid w:val="001C12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208"/>
    <w:rPr>
      <w:i/>
    </w:rPr>
  </w:style>
  <w:style w:type="paragraph" w:styleId="Caption">
    <w:name w:val="caption"/>
    <w:basedOn w:val="BodyText"/>
    <w:next w:val="Normal"/>
    <w:qFormat/>
    <w:rsid w:val="001C1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208"/>
  </w:style>
  <w:style w:type="paragraph" w:styleId="TableofFigures">
    <w:name w:val="table of figures"/>
    <w:basedOn w:val="Normal"/>
    <w:next w:val="Normal"/>
    <w:semiHidden/>
    <w:rsid w:val="001C1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2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208"/>
    <w:rPr>
      <w:rFonts w:ascii="Wingdings" w:hAnsi="Wingdings"/>
    </w:rPr>
  </w:style>
  <w:style w:type="paragraph" w:customStyle="1" w:styleId="TableHeading">
    <w:name w:val="Table Heading"/>
    <w:basedOn w:val="HeadingBase"/>
    <w:rsid w:val="001C1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208"/>
    <w:rPr>
      <w:color w:val="0033CC"/>
      <w:u w:val="none"/>
    </w:rPr>
  </w:style>
  <w:style w:type="paragraph" w:customStyle="1" w:styleId="BodyTextRight">
    <w:name w:val="Body Text Right"/>
    <w:basedOn w:val="BodyText"/>
    <w:rsid w:val="001C1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2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208"/>
    <w:rPr>
      <w:sz w:val="32"/>
    </w:rPr>
  </w:style>
  <w:style w:type="paragraph" w:customStyle="1" w:styleId="HeadingProcedure">
    <w:name w:val="Heading Procedure"/>
    <w:basedOn w:val="HeadingBase"/>
    <w:next w:val="Normal"/>
    <w:rsid w:val="001C1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208"/>
    <w:pPr>
      <w:spacing w:before="60" w:after="60"/>
    </w:pPr>
  </w:style>
  <w:style w:type="paragraph" w:styleId="ListContinue">
    <w:name w:val="List Continue"/>
    <w:basedOn w:val="List"/>
    <w:rsid w:val="001C1208"/>
    <w:pPr>
      <w:ind w:firstLine="0"/>
    </w:pPr>
  </w:style>
  <w:style w:type="paragraph" w:customStyle="1" w:styleId="ListNote">
    <w:name w:val="List Note"/>
    <w:basedOn w:val="List"/>
    <w:rsid w:val="001C1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208"/>
    <w:rPr>
      <w:rFonts w:ascii="Courier New" w:hAnsi="Courier New"/>
    </w:rPr>
  </w:style>
  <w:style w:type="paragraph" w:customStyle="1" w:styleId="NoteBullet">
    <w:name w:val="Note Bullet"/>
    <w:basedOn w:val="Note"/>
    <w:rsid w:val="001C1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2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208"/>
    <w:rPr>
      <w:b/>
      <w:smallCaps/>
    </w:rPr>
  </w:style>
  <w:style w:type="paragraph" w:customStyle="1" w:styleId="TableListNumber">
    <w:name w:val="Table List Number"/>
    <w:basedOn w:val="ListNumber"/>
    <w:rsid w:val="001C1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208"/>
    <w:pPr>
      <w:numPr>
        <w:numId w:val="9"/>
      </w:numPr>
    </w:pPr>
  </w:style>
  <w:style w:type="paragraph" w:customStyle="1" w:styleId="ListAlpha2">
    <w:name w:val="List Alpha 2"/>
    <w:basedOn w:val="List2"/>
    <w:rsid w:val="001C1208"/>
    <w:pPr>
      <w:numPr>
        <w:numId w:val="8"/>
      </w:numPr>
    </w:pPr>
  </w:style>
  <w:style w:type="paragraph" w:styleId="List2">
    <w:name w:val="List 2"/>
    <w:basedOn w:val="BodyText"/>
    <w:rsid w:val="001C1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2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2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208"/>
    <w:pPr>
      <w:numPr>
        <w:numId w:val="4"/>
      </w:numPr>
    </w:pPr>
  </w:style>
  <w:style w:type="paragraph" w:styleId="ListContinue2">
    <w:name w:val="List Continue 2"/>
    <w:basedOn w:val="List2"/>
    <w:rsid w:val="001C1208"/>
    <w:pPr>
      <w:ind w:firstLine="0"/>
    </w:pPr>
  </w:style>
  <w:style w:type="paragraph" w:styleId="ListContinue3">
    <w:name w:val="List Continue 3"/>
    <w:basedOn w:val="List3"/>
    <w:rsid w:val="001C1208"/>
    <w:pPr>
      <w:ind w:left="1021" w:firstLine="0"/>
    </w:pPr>
  </w:style>
  <w:style w:type="paragraph" w:styleId="ListContinue4">
    <w:name w:val="List Continue 4"/>
    <w:basedOn w:val="List4"/>
    <w:rsid w:val="001C1208"/>
    <w:pPr>
      <w:ind w:firstLine="0"/>
    </w:pPr>
  </w:style>
  <w:style w:type="paragraph" w:styleId="ListContinue5">
    <w:name w:val="List Continue 5"/>
    <w:basedOn w:val="List5"/>
    <w:rsid w:val="001C1208"/>
    <w:pPr>
      <w:ind w:firstLine="0"/>
    </w:pPr>
  </w:style>
  <w:style w:type="paragraph" w:styleId="ListNumber3">
    <w:name w:val="List Number 3"/>
    <w:basedOn w:val="List3"/>
    <w:rsid w:val="001C1208"/>
    <w:pPr>
      <w:numPr>
        <w:numId w:val="5"/>
      </w:numPr>
    </w:pPr>
  </w:style>
  <w:style w:type="paragraph" w:styleId="ListNumber4">
    <w:name w:val="List Number 4"/>
    <w:basedOn w:val="List4"/>
    <w:rsid w:val="001C1208"/>
    <w:pPr>
      <w:numPr>
        <w:numId w:val="6"/>
      </w:numPr>
    </w:pPr>
  </w:style>
  <w:style w:type="paragraph" w:styleId="ListNumber5">
    <w:name w:val="List Number 5"/>
    <w:basedOn w:val="List5"/>
    <w:rsid w:val="001C1208"/>
    <w:pPr>
      <w:numPr>
        <w:numId w:val="7"/>
      </w:numPr>
    </w:pPr>
  </w:style>
  <w:style w:type="paragraph" w:styleId="BlockText">
    <w:name w:val="Block Text"/>
    <w:basedOn w:val="Normal"/>
    <w:rsid w:val="001C1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208"/>
    <w:rPr>
      <w:sz w:val="16"/>
      <w:vertAlign w:val="superscript"/>
    </w:rPr>
  </w:style>
  <w:style w:type="character" w:customStyle="1" w:styleId="Symbols">
    <w:name w:val="Symbols"/>
    <w:basedOn w:val="DefaultParagraphFont"/>
    <w:rsid w:val="001C1208"/>
    <w:rPr>
      <w:rFonts w:ascii="Symbol" w:hAnsi="Symbol"/>
    </w:rPr>
  </w:style>
  <w:style w:type="character" w:customStyle="1" w:styleId="MenuOptions">
    <w:name w:val="Menu Options"/>
    <w:basedOn w:val="DefaultParagraphFont"/>
    <w:rsid w:val="001C1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208"/>
    <w:rPr>
      <w:b/>
    </w:rPr>
  </w:style>
  <w:style w:type="character" w:customStyle="1" w:styleId="Underlined">
    <w:name w:val="Underlined"/>
    <w:basedOn w:val="DefaultParagraphFont"/>
    <w:rsid w:val="001C1208"/>
    <w:rPr>
      <w:u w:val="single"/>
    </w:rPr>
  </w:style>
  <w:style w:type="paragraph" w:customStyle="1" w:styleId="TableBodyTextRight">
    <w:name w:val="Table Body Text Right"/>
    <w:basedOn w:val="TableBodyText"/>
    <w:rsid w:val="001C1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208"/>
    <w:rPr>
      <w:sz w:val="18"/>
    </w:rPr>
  </w:style>
  <w:style w:type="paragraph" w:customStyle="1" w:styleId="BodySmallRight">
    <w:name w:val="Body Small Right"/>
    <w:basedOn w:val="BodyTextRight"/>
    <w:rsid w:val="001C1208"/>
    <w:rPr>
      <w:sz w:val="18"/>
      <w:szCs w:val="18"/>
    </w:rPr>
  </w:style>
  <w:style w:type="paragraph" w:customStyle="1" w:styleId="MarginEdition">
    <w:name w:val="Margin Edition"/>
    <w:basedOn w:val="MarginNote"/>
    <w:rsid w:val="001C1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208"/>
    <w:rPr>
      <w:sz w:val="2"/>
      <w:szCs w:val="2"/>
    </w:rPr>
  </w:style>
  <w:style w:type="character" w:customStyle="1" w:styleId="Small">
    <w:name w:val="Small"/>
    <w:basedOn w:val="DefaultParagraphFont"/>
    <w:rsid w:val="001C1208"/>
    <w:rPr>
      <w:sz w:val="16"/>
    </w:rPr>
  </w:style>
  <w:style w:type="paragraph" w:customStyle="1" w:styleId="WideTable">
    <w:name w:val="Wide Table"/>
    <w:basedOn w:val="Normal"/>
    <w:rsid w:val="001C1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208"/>
  </w:style>
  <w:style w:type="paragraph" w:styleId="Quote">
    <w:name w:val="Quote"/>
    <w:basedOn w:val="Heading1"/>
    <w:link w:val="QuoteChar"/>
    <w:qFormat/>
    <w:rsid w:val="001C1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208"/>
    <w:pPr>
      <w:pageBreakBefore/>
    </w:pPr>
  </w:style>
  <w:style w:type="paragraph" w:customStyle="1" w:styleId="Border">
    <w:name w:val="Border"/>
    <w:basedOn w:val="Normal"/>
    <w:qFormat/>
    <w:rsid w:val="001C1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208"/>
    <w:rPr>
      <w:u w:val="single"/>
    </w:rPr>
  </w:style>
  <w:style w:type="character" w:customStyle="1" w:styleId="BoldandItalics">
    <w:name w:val="Bold and Italics"/>
    <w:qFormat/>
    <w:rsid w:val="001C1208"/>
    <w:rPr>
      <w:b/>
      <w:i/>
      <w:u w:val="none"/>
    </w:rPr>
  </w:style>
  <w:style w:type="paragraph" w:styleId="BalloonText">
    <w:name w:val="Balloon Text"/>
    <w:basedOn w:val="Normal"/>
    <w:link w:val="BalloonTextChar"/>
    <w:rsid w:val="001C1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208"/>
    <w:pPr>
      <w:spacing w:before="0" w:after="0"/>
    </w:pPr>
  </w:style>
  <w:style w:type="paragraph" w:customStyle="1" w:styleId="BodyTextBold">
    <w:name w:val="Body Text Bold"/>
    <w:basedOn w:val="BodyText"/>
    <w:qFormat/>
    <w:rsid w:val="001C1208"/>
    <w:rPr>
      <w:b/>
    </w:rPr>
  </w:style>
  <w:style w:type="character" w:styleId="Hyperlink">
    <w:name w:val="Hyperlink"/>
    <w:basedOn w:val="DefaultParagraphFont"/>
    <w:uiPriority w:val="99"/>
    <w:unhideWhenUsed/>
    <w:rsid w:val="00CD6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2733</Characters>
  <Application>Microsoft Office Word</Application>
  <DocSecurity>0</DocSecurity>
  <Lines>94</Lines>
  <Paragraphs>72</Paragraphs>
  <ScaleCrop>false</ScaleCrop>
  <Company>Author-it Software Corporation Ltd.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CUADTM508 Refine dance teaching methodologies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2019-02-21T13:09:00Z</dcterms:created>
  <dcterms:modified xsi:type="dcterms:W3CDTF">2019-02-21T13:09:00Z</dcterms:modified>
</cp:coreProperties>
</file>