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4D4" w:rsidP="00C52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CUADIG502 Design digital applications</w:t>
      </w:r>
      <w:r>
        <w:fldChar w:fldCharType="end"/>
      </w:r>
    </w:p>
    <w:p w:rsidR="00C524D4" w:rsidP="00C524D4">
      <w:pPr>
        <w:pStyle w:val="Version"/>
        <w:sectPr w:rsidSect="00AB0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EB1" w:rsidP="00AB0EB1">
      <w:pPr>
        <w:pStyle w:val="SuperHeading"/>
      </w:pPr>
      <w:r w:rsidRPr="00AB0EB1">
        <w:t>CUADIG502 Design digital applications</w:t>
      </w:r>
    </w:p>
    <w:p w:rsidR="00000000" w:rsidRPr="00AB0EB1" w:rsidP="00AB0EB1">
      <w:pPr>
        <w:pStyle w:val="Heading1"/>
      </w:pPr>
      <w:bookmarkStart w:id="1" w:name="O_791148"/>
      <w:bookmarkEnd w:id="1"/>
      <w:r w:rsidRPr="00AB0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SpecialBold"/>
              </w:rPr>
              <w:t>Comments</w:t>
            </w:r>
          </w:p>
        </w:tc>
      </w:tr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This version first released with CUA Creative Arts and Culture Training Package version 2.0.</w:t>
            </w:r>
          </w:p>
        </w:tc>
      </w:tr>
    </w:tbl>
    <w:p w:rsidR="00000000" w:rsidRPr="00AB0EB1" w:rsidP="00AB0EB1">
      <w:pPr>
        <w:pStyle w:val="BodyText"/>
      </w:pP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2" w:name="O_791149"/>
      <w:bookmarkEnd w:id="2"/>
      <w:r w:rsidRPr="00AB0EB1">
        <w:t>Application</w:t>
      </w:r>
    </w:p>
    <w:p w:rsidR="00000000" w:rsidRPr="00AB0EB1" w:rsidP="00C524D4">
      <w:pPr>
        <w:pStyle w:val="BodyText"/>
      </w:pPr>
      <w:r w:rsidRPr="00AB0EB1">
        <w:t>This unit describes the skills and knowledge required to design digital application</w:t>
      </w:r>
      <w:r w:rsidRPr="00AB0EB1">
        <w:t>s, which may consist of one or many technologies integrated in various combinations.</w:t>
      </w:r>
    </w:p>
    <w:p w:rsidR="00000000" w:rsidRPr="00AB0EB1" w:rsidP="00C524D4">
      <w:pPr>
        <w:pStyle w:val="BodyText"/>
      </w:pPr>
      <w:r w:rsidRPr="00AB0EB1">
        <w:t>It applies to individuals who work with clients to design specifications for digital applications, which are then built by other specialised team members. Digital applica</w:t>
      </w:r>
      <w:r w:rsidRPr="00AB0EB1">
        <w:t>tions may be operated in a web or mobile device environment.</w:t>
      </w:r>
    </w:p>
    <w:p w:rsidR="00000000" w:rsidRPr="00AB0EB1" w:rsidP="00C524D4">
      <w:pPr>
        <w:pStyle w:val="BodyText"/>
      </w:pPr>
      <w:r w:rsidRPr="00AB0EB1">
        <w:t>No licensing, legislative or certification requirements apply to this unit at the time of publication.</w:t>
      </w:r>
    </w:p>
    <w:p w:rsidR="00000000" w:rsidRPr="00AB0EB1" w:rsidP="00AB0EB1">
      <w:pPr>
        <w:pStyle w:val="Heading1"/>
      </w:pPr>
      <w:bookmarkStart w:id="3" w:name="O_791152"/>
      <w:bookmarkEnd w:id="3"/>
      <w:r w:rsidRPr="00AB0EB1">
        <w:t>Unit Sector</w:t>
      </w:r>
    </w:p>
    <w:p w:rsidR="00000000" w:rsidRPr="00AB0EB1" w:rsidP="00C524D4">
      <w:pPr>
        <w:pStyle w:val="BodyText"/>
      </w:pPr>
      <w:r w:rsidRPr="00AB0EB1">
        <w:t>Visual Communication – Digital Content and Imaging</w:t>
      </w:r>
    </w:p>
    <w:p w:rsidR="00000000" w:rsidRPr="00AB0EB1" w:rsidP="00AB0EB1">
      <w:pPr>
        <w:pStyle w:val="Heading1"/>
      </w:pPr>
      <w:bookmarkStart w:id="4" w:name="O_791153"/>
      <w:bookmarkEnd w:id="4"/>
      <w:r w:rsidRPr="00AB0EB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SpecialBold"/>
              </w:rPr>
              <w:t>PERFORMANCE CRITERIA</w:t>
            </w:r>
          </w:p>
        </w:tc>
      </w:tr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1. Determine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1.1 Analyse project brief to identify purpose of, and target audience for, digital applications</w:t>
            </w:r>
          </w:p>
          <w:p w:rsidR="00000000" w:rsidRPr="00AB0EB1" w:rsidP="00AB0EB1">
            <w:pPr>
              <w:pStyle w:val="BodyText"/>
            </w:pPr>
            <w:r w:rsidRPr="00AB0EB1">
              <w:t>1.2 Consult with clients or relevant personnel to clarify project requirements, including project timelines</w:t>
            </w:r>
          </w:p>
          <w:p w:rsidR="00000000" w:rsidRPr="00AB0EB1" w:rsidP="00AB0EB1">
            <w:pPr>
              <w:pStyle w:val="BodyText"/>
            </w:pPr>
            <w:r w:rsidRPr="00AB0EB1">
              <w:t>1.3 Identify target audience characteristics and det</w:t>
            </w:r>
            <w:r w:rsidRPr="00AB0EB1">
              <w:t>ermine how these influence design</w:t>
            </w:r>
          </w:p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 xml:space="preserve">1.4 Identify content and application functions and how these are </w:t>
            </w:r>
            <w:r w:rsidRPr="00AB0EB1">
              <w:t>accessed, searched and delivered</w:t>
            </w:r>
          </w:p>
        </w:tc>
      </w:tr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2. Research digital applications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2.1 Research digital applications and analyse how these meet audience, function and content requirements</w:t>
            </w:r>
          </w:p>
          <w:p w:rsidR="00000000" w:rsidRPr="00AB0EB1" w:rsidP="00AB0EB1">
            <w:pPr>
              <w:pStyle w:val="BodyText"/>
            </w:pPr>
            <w:r w:rsidRPr="00AB0EB1">
              <w:t>2.2 Identify issues relating to delivery platform and technical and industry standards, and determine how these may affect digital application options</w:t>
            </w:r>
          </w:p>
          <w:p w:rsidR="00000000" w:rsidRPr="00AB0EB1" w:rsidP="00AB0EB1">
            <w:pPr>
              <w:pStyle w:val="BodyText"/>
            </w:pPr>
            <w:r w:rsidRPr="00AB0EB1">
              <w:t>2.3 Consult relevant personnel to confirm all digital application options are considered</w:t>
            </w:r>
          </w:p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2.4 Select applications that will meet creative, production and technical requirements</w:t>
            </w:r>
          </w:p>
        </w:tc>
      </w:tr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3.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3.1 Design architecture of digital application t</w:t>
            </w:r>
            <w:r w:rsidRPr="00AB0EB1">
              <w:t>o show interrelationship of various components and screens</w:t>
            </w:r>
          </w:p>
          <w:p w:rsidR="00000000" w:rsidRPr="00AB0EB1" w:rsidP="00AB0EB1">
            <w:pPr>
              <w:pStyle w:val="BodyText"/>
            </w:pPr>
            <w:r w:rsidRPr="00AB0EB1">
              <w:t>3.2 Specify interactive features, functionality and navigation</w:t>
            </w:r>
          </w:p>
          <w:p w:rsidR="00000000" w:rsidRPr="00AB0EB1" w:rsidP="00AB0EB1">
            <w:pPr>
              <w:pStyle w:val="BodyText"/>
            </w:pPr>
            <w:r w:rsidRPr="00AB0EB1">
              <w:t>3.3 Identify content and data displays, and specify how these will be logically structured and integrated into and/or generated in the</w:t>
            </w:r>
            <w:r w:rsidRPr="00AB0EB1">
              <w:t xml:space="preserve"> digital application</w:t>
            </w:r>
          </w:p>
          <w:p w:rsidR="00000000" w:rsidRPr="00AB0EB1" w:rsidP="00AB0EB1">
            <w:pPr>
              <w:pStyle w:val="BodyText"/>
            </w:pPr>
            <w:r w:rsidRPr="00AB0EB1">
              <w:t>3.4 Specify levels of access permissions as required</w:t>
            </w:r>
          </w:p>
          <w:p w:rsidR="00000000" w:rsidRPr="00AB0EB1" w:rsidP="00AB0EB1">
            <w:pPr>
              <w:pStyle w:val="BodyText"/>
            </w:pPr>
            <w:r w:rsidRPr="00AB0EB1">
              <w:t>3.5 Specify media assets as required</w:t>
            </w:r>
          </w:p>
          <w:p w:rsidR="00000000" w:rsidRPr="00AB0EB1" w:rsidP="00AB0EB1">
            <w:pPr>
              <w:pStyle w:val="BodyText"/>
            </w:pPr>
            <w:r w:rsidRPr="00AB0EB1">
              <w:t xml:space="preserve">3.6 Specify user interfaces, taking screen sizes into account </w:t>
            </w:r>
          </w:p>
          <w:p w:rsidR="00000000" w:rsidRPr="00AB0EB1" w:rsidP="00AB0EB1">
            <w:pPr>
              <w:pStyle w:val="BodyText"/>
            </w:pPr>
            <w:r w:rsidRPr="00AB0EB1">
              <w:t>3.7 Specify report generation if required</w:t>
            </w:r>
          </w:p>
          <w:p w:rsidR="00000000" w:rsidRPr="00AB0EB1" w:rsidP="00AB0EB1">
            <w:pPr>
              <w:pStyle w:val="BodyText"/>
            </w:pPr>
            <w:r w:rsidRPr="00AB0EB1">
              <w:t>3.8 Specify production requirements, inc</w:t>
            </w:r>
            <w:r w:rsidRPr="00AB0EB1">
              <w:t>luding appropriate testing strategies</w:t>
            </w:r>
          </w:p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 xml:space="preserve">3.9 Produce draft design specifications and instructions for design and development teams to use </w:t>
            </w:r>
          </w:p>
        </w:tc>
      </w:tr>
      <w:tr w:rsidTr="00AB0E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4. Review and confirm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4.1 Use a range of techniques to present draft design specifications, and d</w:t>
            </w:r>
            <w:r w:rsidRPr="00AB0EB1">
              <w:t xml:space="preserve">iscuss with client </w:t>
            </w:r>
          </w:p>
          <w:p w:rsidR="00000000" w:rsidRPr="00AB0EB1" w:rsidP="00AB0EB1">
            <w:pPr>
              <w:pStyle w:val="BodyText"/>
            </w:pPr>
            <w:r w:rsidRPr="00AB0EB1">
              <w:t>4.2 Review designs against creative and technical requirements, and client and audience needs</w:t>
            </w:r>
          </w:p>
          <w:p w:rsidR="00000000" w:rsidRPr="00AB0EB1" w:rsidP="00AB0EB1">
            <w:pPr>
              <w:pStyle w:val="BodyText"/>
            </w:pPr>
            <w:r w:rsidRPr="00AB0EB1">
              <w:t>4.3 Adjust designs as necessary after discussions with relevant personnel</w:t>
            </w:r>
          </w:p>
          <w:p w:rsidR="00000000" w:rsidRPr="00AB0EB1" w:rsidP="00AB0EB1">
            <w:pPr>
              <w:pStyle w:val="BodyText"/>
            </w:pPr>
            <w:r w:rsidRPr="00AB0EB1">
              <w:t>4.4 Clarify ownership of  intellectual property to comply with produ</w:t>
            </w:r>
            <w:r w:rsidRPr="00AB0EB1">
              <w:t>ction and organisational requirements</w:t>
            </w:r>
          </w:p>
          <w:p w:rsidR="00000000" w:rsidRPr="00AB0EB1" w:rsidP="00AB0EB1">
            <w:pPr>
              <w:pStyle w:val="BodyText"/>
            </w:pPr>
            <w:r w:rsidRPr="00AB0EB1">
              <w:t>4.5 Confirm, with client, acceptance of design specifications, including deliverables, milestones and timelines</w:t>
            </w:r>
          </w:p>
        </w:tc>
      </w:tr>
    </w:tbl>
    <w:p w:rsidR="00000000" w:rsidRPr="00AB0EB1" w:rsidP="00AB0EB1">
      <w:pPr>
        <w:pStyle w:val="BodyText"/>
      </w:pP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5" w:name="O_791154"/>
      <w:bookmarkEnd w:id="5"/>
      <w:r w:rsidRPr="00AB0EB1">
        <w:t>Foundation Skills</w:t>
      </w:r>
    </w:p>
    <w:p w:rsidR="00000000" w:rsidRPr="00C524D4" w:rsidP="00C524D4">
      <w:pPr>
        <w:pStyle w:val="BodyText"/>
        <w:rPr>
          <w:i/>
        </w:rPr>
      </w:pPr>
      <w:r w:rsidRPr="00C524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Performance</w:t>
            </w:r>
          </w:p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SpecialBold"/>
              </w:rPr>
              <w:t>Description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1.1, 1.3, 1.4, 2.1, 2.2, 3.1-3.9,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ListBullet"/>
              <w:rPr>
                <w:lang w:val="en-NZ"/>
              </w:rPr>
            </w:pPr>
            <w:r w:rsidRPr="00AB0EB1">
              <w:t>Selects a</w:t>
            </w:r>
            <w:r w:rsidRPr="00AB0EB1">
              <w:t xml:space="preserve">nd applies a range of reading strategies to interpret texts 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3.1-3.9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ListBullet"/>
              <w:rPr>
                <w:lang w:val="en-NZ"/>
              </w:rPr>
            </w:pPr>
            <w:r w:rsidRPr="00AB0EB1">
              <w:t xml:space="preserve">Uses text, graphic diagrammatic and visual formats to draft and confirm specifications and instructions 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1.2, 2.3, 4.1, 4.5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ListBullet"/>
            </w:pPr>
            <w:r w:rsidRPr="00AB0EB1">
              <w:t>Participates effectively in spoken interactions using language and features appropriate to the audience</w:t>
            </w:r>
          </w:p>
          <w:p w:rsidR="00000000" w:rsidP="00AB0EB1">
            <w:pPr>
              <w:pStyle w:val="ListBullet"/>
              <w:rPr>
                <w:lang w:val="en-NZ"/>
              </w:rPr>
            </w:pPr>
            <w:r w:rsidRPr="00AB0EB1">
              <w:t xml:space="preserve">Uses questioning and listening strategies to confirm project requirements and elicit relevant feedback 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ListBullet"/>
              <w:rPr>
                <w:lang w:val="en-NZ"/>
              </w:rPr>
            </w:pPr>
            <w:r w:rsidRPr="00AB0EB1">
              <w:t>Understands and</w:t>
            </w:r>
            <w:r w:rsidRPr="00AB0EB1">
              <w:t xml:space="preserve"> adheres to organisational and legislative requirements 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1.2, 2.3, 4.1, 4.5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ListBullet"/>
            </w:pPr>
            <w:r w:rsidRPr="00AB0EB1">
              <w:t>Collaborates with others throughout all stages of the design process</w:t>
            </w:r>
          </w:p>
          <w:p w:rsidR="00000000" w:rsidP="00AB0EB1">
            <w:pPr>
              <w:pStyle w:val="ListBullet"/>
              <w:rPr>
                <w:lang w:val="en-NZ"/>
              </w:rPr>
            </w:pPr>
            <w:r w:rsidRPr="00AB0EB1">
              <w:t>Selects and uses appropriate practices and protocols to communicate with a range of audiences</w:t>
            </w:r>
          </w:p>
        </w:tc>
      </w:tr>
      <w:tr w:rsidTr="00AB0E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1.1-1.4, 2.1-2.4, 3.1-3.6, 3.8, 3.9,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ListBullet"/>
            </w:pPr>
            <w:r w:rsidRPr="00AB0EB1">
              <w:t>Takes responsibility for planning, organising and implementing tasks required to complete project</w:t>
            </w:r>
            <w:r w:rsidRPr="00AB0EB1">
              <w:t xml:space="preserve">, coordinating with others when required </w:t>
            </w:r>
          </w:p>
          <w:p w:rsidR="00000000" w:rsidRPr="00AB0EB1" w:rsidP="00AB0EB1">
            <w:pPr>
              <w:pStyle w:val="ListBullet"/>
            </w:pPr>
            <w:r w:rsidRPr="00AB0EB1">
              <w:t xml:space="preserve">Analyses information to make decisions that affect the entire project </w:t>
            </w:r>
          </w:p>
          <w:p w:rsidR="00000000" w:rsidRPr="00AB0EB1" w:rsidP="00AB0EB1">
            <w:pPr>
              <w:pStyle w:val="ListBullet"/>
            </w:pPr>
            <w:r w:rsidRPr="00AB0EB1">
              <w:t>Uses digital tools to specify architecture, navigation and content to meet project brief specifications</w:t>
            </w:r>
          </w:p>
        </w:tc>
      </w:tr>
    </w:tbl>
    <w:p w:rsidR="00000000" w:rsidRPr="00AB0EB1" w:rsidP="00AB0EB1">
      <w:pPr>
        <w:pStyle w:val="BodyText"/>
      </w:pP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6" w:name="O_791156"/>
      <w:bookmarkEnd w:id="6"/>
      <w:r w:rsidRPr="00AB0E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 xml:space="preserve">Code and title </w:t>
            </w:r>
          </w:p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Code and title</w:t>
            </w:r>
          </w:p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SpecialBold"/>
              </w:rPr>
              <w:t>Equivalence status</w:t>
            </w:r>
          </w:p>
        </w:tc>
      </w:tr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CUADIG502 Design digital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CUFDIG502A Design web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Updated to meet Standards for Training Packages. Title changed. M</w:t>
            </w:r>
            <w:r w:rsidRPr="00AB0EB1">
              <w:t>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 xml:space="preserve">Equivalent unit </w:t>
            </w:r>
          </w:p>
        </w:tc>
      </w:tr>
    </w:tbl>
    <w:p w:rsidR="00000000" w:rsidRPr="00AB0EB1" w:rsidP="00AB0EB1">
      <w:pPr>
        <w:pStyle w:val="BodyText"/>
      </w:pP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7" w:name="O_791163"/>
      <w:bookmarkEnd w:id="7"/>
      <w:r w:rsidRPr="00AB0EB1">
        <w:t>Links</w:t>
      </w:r>
    </w:p>
    <w:p w:rsidR="00000000" w:rsidRPr="00AB0EB1" w:rsidP="00C524D4">
      <w:pPr>
        <w:pStyle w:val="BodyText"/>
      </w:pPr>
      <w:r w:rsidRPr="00AB0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1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0EB1" w:rsidP="00C524D4">
      <w:pPr>
        <w:pStyle w:val="BodyText"/>
        <w:sectPr w:rsidSect="00AB0E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EB1" w:rsidP="00AB0EB1">
      <w:pPr>
        <w:pStyle w:val="SuperHeading"/>
      </w:pPr>
      <w:r w:rsidRPr="00AB0EB1">
        <w:t>Assessment Requirements for CUADIG502 Design digital applications</w:t>
      </w:r>
    </w:p>
    <w:p w:rsidR="00000000" w:rsidRPr="00AB0EB1" w:rsidP="00AB0EB1">
      <w:pPr>
        <w:pStyle w:val="Heading1"/>
      </w:pPr>
      <w:bookmarkStart w:id="8" w:name="O_791158"/>
      <w:bookmarkEnd w:id="8"/>
      <w:r w:rsidRPr="00AB0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rPr>
                <w:rStyle w:val="SpecialBold"/>
              </w:rPr>
              <w:t>Comments</w:t>
            </w:r>
          </w:p>
        </w:tc>
      </w:tr>
      <w:tr w:rsidTr="00AB0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EB1">
            <w:pPr>
              <w:pStyle w:val="BodyText"/>
              <w:rPr>
                <w:lang w:val="en-NZ"/>
              </w:rPr>
            </w:pPr>
            <w:r w:rsidRPr="00AB0E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EB1" w:rsidP="00AB0EB1">
            <w:pPr>
              <w:pStyle w:val="BodyText"/>
            </w:pPr>
            <w:r w:rsidRPr="00AB0EB1">
              <w:t>This version first released with CUA Creative Arts and Culture Training Package version 2.0.</w:t>
            </w:r>
          </w:p>
        </w:tc>
      </w:tr>
    </w:tbl>
    <w:p w:rsidR="00000000" w:rsidRPr="00AB0EB1" w:rsidP="00AB0EB1">
      <w:pPr>
        <w:pStyle w:val="BodyText"/>
      </w:pP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9" w:name="O_791159"/>
      <w:bookmarkEnd w:id="9"/>
      <w:r w:rsidRPr="00AB0EB1">
        <w:t>Performance Evidence</w:t>
      </w:r>
    </w:p>
    <w:p w:rsidR="00000000" w:rsidRPr="00AB0EB1" w:rsidP="00C524D4">
      <w:pPr>
        <w:pStyle w:val="BodyText"/>
      </w:pPr>
      <w:r w:rsidRPr="00AB0EB1">
        <w:t>Evidence of the ability to:</w:t>
      </w:r>
    </w:p>
    <w:p w:rsidR="00000000" w:rsidRPr="00AB0EB1" w:rsidP="00AB0EB1">
      <w:pPr>
        <w:pStyle w:val="ListBullet"/>
      </w:pPr>
      <w:r w:rsidRPr="00AB0EB1">
        <w:t>research digital applications and analyse how they meet audience, function and content requirements</w:t>
      </w:r>
    </w:p>
    <w:p w:rsidR="00000000" w:rsidRPr="00AB0EB1" w:rsidP="00AB0EB1">
      <w:pPr>
        <w:pStyle w:val="ListBullet"/>
      </w:pPr>
      <w:r w:rsidRPr="00AB0EB1">
        <w:t>design specifications for digital applications that:</w:t>
      </w:r>
    </w:p>
    <w:p w:rsidR="00000000" w:rsidRPr="00AB0EB1" w:rsidP="00AB0EB1">
      <w:pPr>
        <w:pStyle w:val="ListBullet2"/>
      </w:pPr>
      <w:r w:rsidRPr="00AB0EB1">
        <w:t>meet client and audience requirements</w:t>
      </w:r>
    </w:p>
    <w:p w:rsidR="00000000" w:rsidRPr="00AB0EB1" w:rsidP="00AB0EB1">
      <w:pPr>
        <w:pStyle w:val="ListBullet2"/>
      </w:pPr>
      <w:r w:rsidRPr="00AB0EB1">
        <w:t>are technically feasible</w:t>
      </w:r>
    </w:p>
    <w:p w:rsidR="00000000" w:rsidRPr="00AB0EB1" w:rsidP="00AB0EB1">
      <w:pPr>
        <w:pStyle w:val="ListBullet2"/>
      </w:pPr>
      <w:r w:rsidRPr="00AB0EB1">
        <w:t>detail all aspects of the application’s permissions, search capability, architecture, content, assets, screen designs, functions, reports, production requirements and testing strategies</w:t>
      </w:r>
    </w:p>
    <w:p w:rsidR="00000000" w:rsidRPr="00AB0EB1" w:rsidP="00AB0EB1">
      <w:pPr>
        <w:pStyle w:val="ListBullet"/>
      </w:pPr>
      <w:r w:rsidRPr="00AB0EB1">
        <w:t>present and discuss draft specifications.</w:t>
      </w:r>
    </w:p>
    <w:p w:rsidR="00000000" w:rsidRPr="00AB0EB1" w:rsidP="00AB0EB1">
      <w:pPr>
        <w:pStyle w:val="BodyText"/>
      </w:pPr>
    </w:p>
    <w:p w:rsidR="00000000" w:rsidRPr="00AB0EB1" w:rsidP="00C524D4">
      <w:pPr>
        <w:pStyle w:val="BodyText"/>
      </w:pPr>
      <w:r w:rsidRPr="00AB0EB1">
        <w:t>N</w:t>
      </w:r>
      <w:r w:rsidRPr="00AB0EB1">
        <w:t>ote: If a specific volume or frequency is not stated, then evidence must be provided at least once.</w:t>
      </w:r>
    </w:p>
    <w:p w:rsidR="00000000" w:rsidRPr="00AB0EB1" w:rsidP="00AB0EB1">
      <w:pPr>
        <w:pStyle w:val="Heading1"/>
      </w:pPr>
      <w:bookmarkStart w:id="10" w:name="O_791160"/>
      <w:bookmarkEnd w:id="10"/>
      <w:r w:rsidRPr="00AB0EB1">
        <w:t>Knowledge Evidence</w:t>
      </w:r>
    </w:p>
    <w:p w:rsidR="00000000" w:rsidRPr="00AB0EB1" w:rsidP="00C524D4">
      <w:pPr>
        <w:pStyle w:val="BodyText"/>
      </w:pPr>
      <w:r w:rsidRPr="00AB0EB1">
        <w:t>To complete the unit requirements safely and effectively, the individual must:</w:t>
      </w:r>
    </w:p>
    <w:p w:rsidR="00000000" w:rsidRPr="00AB0EB1" w:rsidP="00AB0EB1">
      <w:pPr>
        <w:pStyle w:val="ListBullet"/>
      </w:pPr>
      <w:r w:rsidRPr="00AB0EB1">
        <w:t>explain the sequence and interrelationsh</w:t>
      </w:r>
      <w:r w:rsidRPr="00AB0EB1">
        <w:t>ips of stages in the process of designing digital applications</w:t>
      </w:r>
    </w:p>
    <w:p w:rsidR="00000000" w:rsidRPr="00AB0EB1" w:rsidP="00AB0EB1">
      <w:pPr>
        <w:pStyle w:val="ListBullet"/>
      </w:pPr>
      <w:r w:rsidRPr="00AB0EB1">
        <w:t>outline issues relating to technical standards and platform functions that may impact on digital application options</w:t>
      </w:r>
    </w:p>
    <w:p w:rsidR="00000000" w:rsidRPr="00AB0EB1" w:rsidP="00AB0EB1">
      <w:pPr>
        <w:pStyle w:val="ListBullet"/>
      </w:pPr>
      <w:r w:rsidRPr="00AB0EB1">
        <w:t>outline the impact of web standards on the design of digital applications</w:t>
      </w:r>
    </w:p>
    <w:p w:rsidR="00000000" w:rsidRPr="00AB0EB1" w:rsidP="00AB0EB1">
      <w:pPr>
        <w:pStyle w:val="ListBullet"/>
      </w:pPr>
      <w:r w:rsidRPr="00AB0EB1">
        <w:t>describe typical formats and techniques for documenting the design of digital applications</w:t>
      </w:r>
    </w:p>
    <w:p w:rsidR="00000000" w:rsidRPr="00AB0EB1" w:rsidP="00AB0EB1">
      <w:pPr>
        <w:pStyle w:val="ListBullet"/>
      </w:pPr>
      <w:r w:rsidRPr="00AB0EB1">
        <w:t>describe the concept of intellectual property rights and how this is managed in context of digital applications.</w:t>
      </w:r>
    </w:p>
    <w:p w:rsidR="00000000" w:rsidRPr="00AB0EB1" w:rsidP="00AB0EB1">
      <w:pPr>
        <w:pStyle w:val="AllowPageBreak"/>
      </w:pPr>
    </w:p>
    <w:p w:rsidR="00000000" w:rsidRPr="00AB0EB1" w:rsidP="00AB0EB1">
      <w:pPr>
        <w:pStyle w:val="Heading1"/>
      </w:pPr>
      <w:bookmarkStart w:id="11" w:name="O_791161"/>
      <w:bookmarkEnd w:id="11"/>
      <w:r w:rsidRPr="00AB0EB1">
        <w:t>Assessment Conditions</w:t>
      </w:r>
    </w:p>
    <w:p w:rsidR="00000000" w:rsidRPr="00AB0EB1" w:rsidP="00C524D4">
      <w:pPr>
        <w:pStyle w:val="BodyText"/>
      </w:pPr>
      <w:r w:rsidRPr="00AB0EB1">
        <w:t>Assessment mu</w:t>
      </w:r>
      <w:r w:rsidRPr="00AB0EB1">
        <w:t xml:space="preserve">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B0EB1" w:rsidP="00AB0EB1">
      <w:pPr>
        <w:pStyle w:val="ListBullet"/>
      </w:pPr>
      <w:r w:rsidRPr="00AB0EB1">
        <w:t>project briefs on which designs</w:t>
      </w:r>
      <w:r w:rsidRPr="00AB0EB1">
        <w:t xml:space="preserve"> can be based </w:t>
      </w:r>
    </w:p>
    <w:p w:rsidR="00000000" w:rsidRPr="00AB0EB1" w:rsidP="00AB0EB1">
      <w:pPr>
        <w:pStyle w:val="ListBullet"/>
      </w:pPr>
      <w:r w:rsidRPr="00AB0EB1">
        <w:t>sample content.</w:t>
      </w:r>
    </w:p>
    <w:p w:rsidR="00000000" w:rsidRPr="00AB0EB1" w:rsidP="00AB0EB1">
      <w:pPr>
        <w:pStyle w:val="BodyText"/>
      </w:pPr>
    </w:p>
    <w:p w:rsidR="00000000" w:rsidRPr="00AB0EB1" w:rsidP="00C524D4">
      <w:pPr>
        <w:pStyle w:val="BodyText"/>
      </w:pPr>
      <w:r w:rsidRPr="00AB0EB1">
        <w:t>Assessors of this unit must satisfy the requirements for assessors in applicable vocational educational and training legislation, frameworks and/or standards.</w:t>
      </w:r>
    </w:p>
    <w:p w:rsidR="00000000" w:rsidRPr="00AB0EB1" w:rsidP="00AB0EB1">
      <w:pPr>
        <w:pStyle w:val="Heading1"/>
      </w:pPr>
      <w:bookmarkStart w:id="12" w:name="O_791164"/>
      <w:bookmarkEnd w:id="12"/>
      <w:r w:rsidRPr="00AB0EB1">
        <w:t>Links</w:t>
      </w:r>
    </w:p>
    <w:p w:rsidR="00000000" w:rsidRPr="00AB0EB1" w:rsidP="00C524D4">
      <w:pPr>
        <w:pStyle w:val="BodyText"/>
      </w:pPr>
      <w:r w:rsidRPr="00AB0EB1">
        <w:t>Companion Volume implementation guides are</w:t>
      </w:r>
      <w:r w:rsidRPr="00AB0EB1">
        <w:t xml:space="preserve">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1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0EB1" w:rsidP="00AB0EB1"/>
    <w:sectPr w:rsidSect="00AB0E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 w:rsidRPr="00C524D4" w:rsidP="00C52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4" w:rsidP="00AB0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24D4" w:rsidP="00AB0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24D4" w:rsidP="00AB0E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 w:rsidP="00AB0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4D4">
      <w:t>Approved</w:t>
    </w:r>
    <w:r w:rsidR="00C52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4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4D4">
      <w:rPr>
        <w:noProof/>
      </w:rPr>
      <w:t>5</w:t>
    </w:r>
    <w:r>
      <w:rPr>
        <w:noProof/>
      </w:rPr>
      <w:fldChar w:fldCharType="end"/>
    </w:r>
  </w:p>
  <w:p w:rsidR="00AB0EB1" w:rsidP="00AB0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4D4">
      <w:t>Service and Creative Skills Australia</w:t>
    </w:r>
    <w:r w:rsidR="00C524D4">
      <w:fldChar w:fldCharType="end"/>
    </w:r>
  </w:p>
  <w:p w:rsidR="00AB0EB1" w:rsidP="00AB0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EB1" w:rsidRPr="00C524D4" w:rsidP="00C52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4" w:rsidRPr="002D2AF8" w:rsidP="00AB0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4D4" w:rsidP="00AB0E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1" w:rsidRPr="002D2AF8" w:rsidP="00AB0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4D4">
      <w:t>CUADIG502 Design digital applications</w:t>
    </w:r>
    <w:r w:rsidR="00C52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4D4">
      <w:rPr>
        <w:noProof/>
      </w:rPr>
      <w:t>2 March 2025</w:t>
    </w:r>
    <w:r>
      <w:fldChar w:fldCharType="end"/>
    </w:r>
  </w:p>
  <w:p w:rsidR="00AB0EB1" w:rsidP="00AB0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AB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E2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0D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EB1"/>
  </w:style>
  <w:style w:type="character" w:customStyle="1" w:styleId="Heading1Char">
    <w:name w:val="Heading 1 Char"/>
    <w:basedOn w:val="DefaultParagraphFont"/>
    <w:link w:val="Heading1"/>
    <w:rsid w:val="00AB0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E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EB1"/>
    <w:rPr>
      <w:b/>
      <w:spacing w:val="0"/>
    </w:rPr>
  </w:style>
  <w:style w:type="paragraph" w:styleId="ListBullet2">
    <w:name w:val="List Bullet 2"/>
    <w:basedOn w:val="List2"/>
    <w:rsid w:val="00AB0E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EB1"/>
    <w:rPr>
      <w:i/>
    </w:rPr>
  </w:style>
  <w:style w:type="paragraph" w:customStyle="1" w:styleId="SuperHeading">
    <w:name w:val="SuperHeading"/>
    <w:basedOn w:val="Normal"/>
    <w:rsid w:val="00AB0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E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EB1"/>
  </w:style>
  <w:style w:type="paragraph" w:styleId="TableofFigures">
    <w:name w:val="table of figures"/>
    <w:basedOn w:val="Normal"/>
    <w:next w:val="Normal"/>
    <w:semiHidden/>
    <w:rsid w:val="00AB0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E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EB1"/>
    <w:rPr>
      <w:rFonts w:ascii="Wingdings" w:hAnsi="Wingdings"/>
    </w:rPr>
  </w:style>
  <w:style w:type="paragraph" w:customStyle="1" w:styleId="TableHeading">
    <w:name w:val="Table Heading"/>
    <w:basedOn w:val="HeadingBase"/>
    <w:rsid w:val="00AB0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EB1"/>
    <w:rPr>
      <w:color w:val="0033CC"/>
      <w:u w:val="none"/>
    </w:rPr>
  </w:style>
  <w:style w:type="paragraph" w:customStyle="1" w:styleId="BodyTextRight">
    <w:name w:val="Body Text Right"/>
    <w:basedOn w:val="BodyText"/>
    <w:rsid w:val="00AB0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E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EB1"/>
    <w:rPr>
      <w:sz w:val="32"/>
    </w:rPr>
  </w:style>
  <w:style w:type="paragraph" w:customStyle="1" w:styleId="HeadingProcedure">
    <w:name w:val="Heading Procedure"/>
    <w:basedOn w:val="HeadingBase"/>
    <w:next w:val="Normal"/>
    <w:rsid w:val="00AB0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EB1"/>
    <w:pPr>
      <w:spacing w:before="60" w:after="60"/>
    </w:pPr>
  </w:style>
  <w:style w:type="paragraph" w:styleId="ListContinue">
    <w:name w:val="List Continue"/>
    <w:basedOn w:val="List"/>
    <w:rsid w:val="00AB0EB1"/>
    <w:pPr>
      <w:ind w:firstLine="0"/>
    </w:pPr>
  </w:style>
  <w:style w:type="paragraph" w:customStyle="1" w:styleId="ListNote">
    <w:name w:val="List Note"/>
    <w:basedOn w:val="List"/>
    <w:rsid w:val="00AB0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EB1"/>
    <w:rPr>
      <w:rFonts w:ascii="Courier New" w:hAnsi="Courier New"/>
    </w:rPr>
  </w:style>
  <w:style w:type="paragraph" w:customStyle="1" w:styleId="NoteBullet">
    <w:name w:val="Note Bullet"/>
    <w:basedOn w:val="Note"/>
    <w:rsid w:val="00AB0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E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EB1"/>
    <w:rPr>
      <w:b/>
      <w:smallCaps/>
    </w:rPr>
  </w:style>
  <w:style w:type="paragraph" w:customStyle="1" w:styleId="TableListNumber">
    <w:name w:val="Table List Number"/>
    <w:basedOn w:val="ListNumber"/>
    <w:rsid w:val="00AB0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EB1"/>
    <w:pPr>
      <w:numPr>
        <w:numId w:val="9"/>
      </w:numPr>
    </w:pPr>
  </w:style>
  <w:style w:type="paragraph" w:customStyle="1" w:styleId="ListAlpha2">
    <w:name w:val="List Alpha 2"/>
    <w:basedOn w:val="List2"/>
    <w:rsid w:val="00AB0EB1"/>
    <w:pPr>
      <w:numPr>
        <w:numId w:val="8"/>
      </w:numPr>
    </w:pPr>
  </w:style>
  <w:style w:type="paragraph" w:styleId="List2">
    <w:name w:val="List 2"/>
    <w:basedOn w:val="BodyText"/>
    <w:rsid w:val="00AB0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E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E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EB1"/>
    <w:pPr>
      <w:numPr>
        <w:numId w:val="4"/>
      </w:numPr>
    </w:pPr>
  </w:style>
  <w:style w:type="paragraph" w:styleId="ListContinue2">
    <w:name w:val="List Continue 2"/>
    <w:basedOn w:val="List2"/>
    <w:rsid w:val="00AB0EB1"/>
    <w:pPr>
      <w:ind w:firstLine="0"/>
    </w:pPr>
  </w:style>
  <w:style w:type="paragraph" w:styleId="ListContinue3">
    <w:name w:val="List Continue 3"/>
    <w:basedOn w:val="List3"/>
    <w:rsid w:val="00AB0EB1"/>
    <w:pPr>
      <w:ind w:left="1021" w:firstLine="0"/>
    </w:pPr>
  </w:style>
  <w:style w:type="paragraph" w:styleId="ListContinue4">
    <w:name w:val="List Continue 4"/>
    <w:basedOn w:val="List4"/>
    <w:rsid w:val="00AB0EB1"/>
    <w:pPr>
      <w:ind w:firstLine="0"/>
    </w:pPr>
  </w:style>
  <w:style w:type="paragraph" w:styleId="ListContinue5">
    <w:name w:val="List Continue 5"/>
    <w:basedOn w:val="List5"/>
    <w:rsid w:val="00AB0EB1"/>
    <w:pPr>
      <w:ind w:firstLine="0"/>
    </w:pPr>
  </w:style>
  <w:style w:type="paragraph" w:styleId="ListNumber3">
    <w:name w:val="List Number 3"/>
    <w:basedOn w:val="List3"/>
    <w:rsid w:val="00AB0EB1"/>
    <w:pPr>
      <w:numPr>
        <w:numId w:val="5"/>
      </w:numPr>
    </w:pPr>
  </w:style>
  <w:style w:type="paragraph" w:styleId="ListNumber4">
    <w:name w:val="List Number 4"/>
    <w:basedOn w:val="List4"/>
    <w:rsid w:val="00AB0EB1"/>
    <w:pPr>
      <w:numPr>
        <w:numId w:val="6"/>
      </w:numPr>
    </w:pPr>
  </w:style>
  <w:style w:type="paragraph" w:styleId="ListNumber5">
    <w:name w:val="List Number 5"/>
    <w:basedOn w:val="List5"/>
    <w:rsid w:val="00AB0EB1"/>
    <w:pPr>
      <w:numPr>
        <w:numId w:val="7"/>
      </w:numPr>
    </w:pPr>
  </w:style>
  <w:style w:type="paragraph" w:styleId="BlockText">
    <w:name w:val="Block Text"/>
    <w:basedOn w:val="Normal"/>
    <w:rsid w:val="00AB0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EB1"/>
    <w:rPr>
      <w:sz w:val="16"/>
      <w:vertAlign w:val="superscript"/>
    </w:rPr>
  </w:style>
  <w:style w:type="character" w:customStyle="1" w:styleId="Symbols">
    <w:name w:val="Symbols"/>
    <w:basedOn w:val="DefaultParagraphFont"/>
    <w:rsid w:val="00AB0EB1"/>
    <w:rPr>
      <w:rFonts w:ascii="Symbol" w:hAnsi="Symbol"/>
    </w:rPr>
  </w:style>
  <w:style w:type="character" w:customStyle="1" w:styleId="MenuOptions">
    <w:name w:val="Menu Options"/>
    <w:basedOn w:val="DefaultParagraphFont"/>
    <w:rsid w:val="00AB0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EB1"/>
    <w:rPr>
      <w:b/>
    </w:rPr>
  </w:style>
  <w:style w:type="character" w:customStyle="1" w:styleId="Underlined">
    <w:name w:val="Underlined"/>
    <w:basedOn w:val="DefaultParagraphFont"/>
    <w:rsid w:val="00AB0EB1"/>
    <w:rPr>
      <w:u w:val="single"/>
    </w:rPr>
  </w:style>
  <w:style w:type="paragraph" w:customStyle="1" w:styleId="TableBodyTextRight">
    <w:name w:val="Table Body Text Right"/>
    <w:basedOn w:val="TableBodyText"/>
    <w:rsid w:val="00AB0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EB1"/>
    <w:rPr>
      <w:sz w:val="18"/>
    </w:rPr>
  </w:style>
  <w:style w:type="paragraph" w:customStyle="1" w:styleId="BodySmallRight">
    <w:name w:val="Body Small Right"/>
    <w:basedOn w:val="BodyTextRight"/>
    <w:rsid w:val="00AB0EB1"/>
    <w:rPr>
      <w:sz w:val="18"/>
      <w:szCs w:val="18"/>
    </w:rPr>
  </w:style>
  <w:style w:type="paragraph" w:customStyle="1" w:styleId="MarginEdition">
    <w:name w:val="Margin Edition"/>
    <w:basedOn w:val="MarginNote"/>
    <w:rsid w:val="00AB0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EB1"/>
    <w:rPr>
      <w:sz w:val="2"/>
      <w:szCs w:val="2"/>
    </w:rPr>
  </w:style>
  <w:style w:type="character" w:customStyle="1" w:styleId="Small">
    <w:name w:val="Small"/>
    <w:basedOn w:val="DefaultParagraphFont"/>
    <w:rsid w:val="00AB0EB1"/>
    <w:rPr>
      <w:sz w:val="16"/>
    </w:rPr>
  </w:style>
  <w:style w:type="paragraph" w:customStyle="1" w:styleId="WideTable">
    <w:name w:val="Wide Table"/>
    <w:basedOn w:val="Normal"/>
    <w:rsid w:val="00AB0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EB1"/>
  </w:style>
  <w:style w:type="paragraph" w:styleId="Quote">
    <w:name w:val="Quote"/>
    <w:basedOn w:val="Heading1"/>
    <w:link w:val="QuoteChar"/>
    <w:qFormat/>
    <w:rsid w:val="00AB0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EB1"/>
    <w:pPr>
      <w:pageBreakBefore/>
    </w:pPr>
  </w:style>
  <w:style w:type="paragraph" w:customStyle="1" w:styleId="Border">
    <w:name w:val="Border"/>
    <w:basedOn w:val="Normal"/>
    <w:qFormat/>
    <w:rsid w:val="00AB0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EB1"/>
    <w:rPr>
      <w:u w:val="single"/>
    </w:rPr>
  </w:style>
  <w:style w:type="character" w:customStyle="1" w:styleId="BoldandItalics">
    <w:name w:val="Bold and Italics"/>
    <w:qFormat/>
    <w:rsid w:val="00AB0EB1"/>
    <w:rPr>
      <w:b/>
      <w:i/>
      <w:u w:val="none"/>
    </w:rPr>
  </w:style>
  <w:style w:type="paragraph" w:styleId="BalloonText">
    <w:name w:val="Balloon Text"/>
    <w:basedOn w:val="Normal"/>
    <w:link w:val="BalloonTextChar"/>
    <w:rsid w:val="00AB0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EB1"/>
    <w:pPr>
      <w:spacing w:before="0" w:after="0"/>
    </w:pPr>
  </w:style>
  <w:style w:type="paragraph" w:customStyle="1" w:styleId="BodyTextBold">
    <w:name w:val="Body Text Bold"/>
    <w:basedOn w:val="BodyText"/>
    <w:qFormat/>
    <w:rsid w:val="00AB0EB1"/>
    <w:rPr>
      <w:b/>
    </w:rPr>
  </w:style>
  <w:style w:type="character" w:styleId="Hyperlink">
    <w:name w:val="Hyperlink"/>
    <w:basedOn w:val="DefaultParagraphFont"/>
    <w:uiPriority w:val="99"/>
    <w:unhideWhenUsed/>
    <w:rsid w:val="00C52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6355</Characters>
  <Application>Microsoft Office Word</Application>
  <DocSecurity>0</DocSecurity>
  <Lines>219</Lines>
  <Paragraphs>135</Paragraphs>
  <ScaleCrop>false</ScaleCrop>
  <Company>Author-it Software Corporation Ltd.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CUADIG502 Design digital applications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