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D90" w:rsidP="00494D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CUADES523 Design virtual and hybrid events</w:t>
      </w:r>
      <w:r>
        <w:fldChar w:fldCharType="end"/>
      </w:r>
    </w:p>
    <w:p w:rsidR="00494D90" w:rsidP="00494D90">
      <w:pPr>
        <w:pStyle w:val="Version"/>
        <w:sectPr w:rsidSect="007C5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7D2" w:rsidP="007C57D2">
      <w:pPr>
        <w:pStyle w:val="SuperHeading"/>
      </w:pPr>
      <w:r w:rsidRPr="007C57D2">
        <w:t>Assessment Requirements for CUADES523 Design virtual and hybrid events</w:t>
      </w:r>
    </w:p>
    <w:p w:rsidR="00000000" w:rsidRPr="007C57D2" w:rsidP="007C57D2">
      <w:pPr>
        <w:pStyle w:val="Heading1"/>
      </w:pPr>
      <w:bookmarkStart w:id="1" w:name="O_1252576"/>
      <w:bookmarkEnd w:id="1"/>
      <w:r w:rsidRPr="007C57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2"/>
        <w:gridCol w:w="6030"/>
      </w:tblGrid>
      <w:tr w:rsidTr="007C5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D2">
            <w:pPr>
              <w:pStyle w:val="BodyText"/>
              <w:rPr>
                <w:lang w:val="en-NZ"/>
              </w:rPr>
            </w:pPr>
            <w:r w:rsidRPr="007C57D2">
              <w:t>Release 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D2" w:rsidP="007C57D2">
            <w:pPr>
              <w:pStyle w:val="BodyText"/>
            </w:pPr>
            <w:r w:rsidRPr="007C57D2">
              <w:t>This version first released with CUA Creative Arts and Culture Training Package version 6.0.</w:t>
            </w:r>
          </w:p>
          <w:p w:rsidR="00000000" w:rsidRPr="007C57D2" w:rsidP="007C57D2">
            <w:pPr>
              <w:pStyle w:val="BodyText"/>
            </w:pPr>
            <w:r w:rsidRPr="007C57D2">
              <w:t>New unit of competency.</w:t>
            </w:r>
          </w:p>
        </w:tc>
      </w:tr>
    </w:tbl>
    <w:p w:rsidR="00000000" w:rsidRPr="007C57D2" w:rsidP="007C57D2">
      <w:pPr>
        <w:pStyle w:val="BodyText"/>
      </w:pPr>
    </w:p>
    <w:p w:rsidR="00000000" w:rsidRPr="007C57D2" w:rsidP="007C57D2">
      <w:pPr>
        <w:pStyle w:val="AllowPageBreak"/>
      </w:pPr>
    </w:p>
    <w:p w:rsidR="00000000" w:rsidRPr="007C57D2" w:rsidP="007C57D2">
      <w:pPr>
        <w:pStyle w:val="Heading1"/>
      </w:pPr>
      <w:bookmarkStart w:id="2" w:name="O_1252577"/>
      <w:bookmarkEnd w:id="2"/>
      <w:r w:rsidRPr="007C57D2">
        <w:t>Performance Evidence</w:t>
      </w:r>
    </w:p>
    <w:p w:rsidR="00000000" w:rsidRPr="007C57D2" w:rsidP="00494D90">
      <w:pPr>
        <w:pStyle w:val="BodyText"/>
      </w:pPr>
      <w:r w:rsidRPr="007C57D2">
        <w:t>The candidate must demonstrate the ability to complete the tasks outlined in the elements, performance criteria and foundation skills of this unit, including evidence of the ability to:</w:t>
      </w:r>
    </w:p>
    <w:p w:rsidR="00000000" w:rsidRPr="007C57D2" w:rsidP="007C57D2">
      <w:pPr>
        <w:pStyle w:val="ListBullet"/>
      </w:pPr>
      <w:r w:rsidRPr="007C57D2">
        <w:t>design at least two events, one virtual</w:t>
      </w:r>
      <w:r w:rsidRPr="007C57D2">
        <w:t xml:space="preserve"> and one hybrid, according to different design briefs and requirements.</w:t>
      </w:r>
    </w:p>
    <w:p w:rsidR="00000000" w:rsidRPr="007C57D2" w:rsidP="007C57D2">
      <w:pPr>
        <w:pStyle w:val="BodyText"/>
      </w:pPr>
    </w:p>
    <w:p w:rsidR="00000000" w:rsidRPr="007C57D2" w:rsidP="00494D90">
      <w:pPr>
        <w:pStyle w:val="BodyText"/>
      </w:pPr>
      <w:r w:rsidRPr="007C57D2">
        <w:t xml:space="preserve">In the course of the above, the candidate must: </w:t>
      </w:r>
    </w:p>
    <w:p w:rsidR="00000000" w:rsidRPr="007C57D2" w:rsidP="007C57D2">
      <w:pPr>
        <w:pStyle w:val="ListBullet"/>
      </w:pPr>
      <w:r w:rsidRPr="007C57D2">
        <w:t>research and develop design ideas that support the event objectives and respond to design requirements within required timeframes and</w:t>
      </w:r>
      <w:r w:rsidRPr="007C57D2">
        <w:t xml:space="preserve"> budgets</w:t>
      </w:r>
    </w:p>
    <w:p w:rsidR="00000000" w:rsidRPr="007C57D2" w:rsidP="007C57D2">
      <w:pPr>
        <w:pStyle w:val="ListBullet"/>
      </w:pPr>
      <w:r w:rsidRPr="007C57D2">
        <w:t>develop final design and documentation for each event</w:t>
      </w:r>
    </w:p>
    <w:p w:rsidR="00000000" w:rsidRPr="007C57D2" w:rsidP="007C57D2">
      <w:pPr>
        <w:pStyle w:val="ListBullet"/>
      </w:pPr>
      <w:r w:rsidRPr="007C57D2">
        <w:t>communicate and work collaboratively in the design process for each event.</w:t>
      </w:r>
    </w:p>
    <w:p w:rsidR="00000000" w:rsidRPr="007C57D2" w:rsidP="007C57D2">
      <w:pPr>
        <w:pStyle w:val="AllowPageBreak"/>
      </w:pPr>
    </w:p>
    <w:p w:rsidR="00000000" w:rsidRPr="007C57D2" w:rsidP="007C57D2">
      <w:pPr>
        <w:pStyle w:val="Heading1"/>
      </w:pPr>
      <w:bookmarkStart w:id="3" w:name="O_1252578"/>
      <w:bookmarkEnd w:id="3"/>
      <w:r w:rsidRPr="007C57D2">
        <w:t>Knowledge Evidence</w:t>
      </w:r>
    </w:p>
    <w:p w:rsidR="00000000" w:rsidRPr="007C57D2" w:rsidP="00494D90">
      <w:pPr>
        <w:pStyle w:val="BodyText"/>
      </w:pPr>
      <w:r w:rsidRPr="007C57D2">
        <w:t>The candidate must be able to demonstrate knowledge to complete the tasks outlined in the elements, performance criteria and foundation skills of this unit, including knowledge of:</w:t>
      </w:r>
    </w:p>
    <w:p w:rsidR="00000000" w:rsidRPr="007C57D2" w:rsidP="007C57D2">
      <w:pPr>
        <w:pStyle w:val="ListBullet"/>
      </w:pPr>
      <w:r w:rsidRPr="007C57D2">
        <w:t>safety, licensing and regulatory implications relating to virtual and hybr</w:t>
      </w:r>
      <w:r w:rsidRPr="007C57D2">
        <w:t>id events, including:</w:t>
      </w:r>
    </w:p>
    <w:p w:rsidR="00000000" w:rsidRPr="007C57D2" w:rsidP="007C57D2">
      <w:pPr>
        <w:pStyle w:val="ListBullet2"/>
      </w:pPr>
      <w:r w:rsidRPr="007C57D2">
        <w:t>work health and safety (WHS) requirements</w:t>
      </w:r>
    </w:p>
    <w:p w:rsidR="00000000" w:rsidRPr="007C57D2" w:rsidP="007C57D2">
      <w:pPr>
        <w:pStyle w:val="ListBullet2"/>
      </w:pPr>
      <w:r w:rsidRPr="007C57D2">
        <w:t>copyright and intellectual property requirements</w:t>
      </w:r>
    </w:p>
    <w:p w:rsidR="00000000" w:rsidRPr="007C57D2" w:rsidP="007C57D2">
      <w:pPr>
        <w:pStyle w:val="ListBullet"/>
      </w:pPr>
      <w:r w:rsidRPr="007C57D2">
        <w:t>key features of design briefs relating to events in performance evidence, including:</w:t>
      </w:r>
    </w:p>
    <w:p w:rsidR="00000000" w:rsidRPr="007C57D2" w:rsidP="007C57D2">
      <w:pPr>
        <w:pStyle w:val="ListBullet2"/>
      </w:pPr>
      <w:r w:rsidRPr="007C57D2">
        <w:t>event scope and objectives</w:t>
      </w:r>
    </w:p>
    <w:p w:rsidR="00000000" w:rsidRPr="007C57D2" w:rsidP="007C57D2">
      <w:pPr>
        <w:pStyle w:val="ListBullet2"/>
      </w:pPr>
      <w:r w:rsidRPr="007C57D2">
        <w:t>target audience</w:t>
      </w:r>
    </w:p>
    <w:p w:rsidR="00000000" w:rsidRPr="007C57D2" w:rsidP="007C57D2">
      <w:pPr>
        <w:pStyle w:val="ListBullet2"/>
      </w:pPr>
      <w:r w:rsidRPr="007C57D2">
        <w:t>budget</w:t>
      </w:r>
    </w:p>
    <w:p w:rsidR="00000000" w:rsidRPr="007C57D2" w:rsidP="007C57D2">
      <w:pPr>
        <w:pStyle w:val="ListBullet2"/>
      </w:pPr>
      <w:r w:rsidRPr="007C57D2">
        <w:t>agend</w:t>
      </w:r>
      <w:r w:rsidRPr="007C57D2">
        <w:t>a</w:t>
      </w:r>
    </w:p>
    <w:p w:rsidR="00000000" w:rsidRPr="007C57D2" w:rsidP="007C57D2">
      <w:pPr>
        <w:pStyle w:val="ListBullet2"/>
      </w:pPr>
      <w:r w:rsidRPr="007C57D2">
        <w:t>technology requirements</w:t>
      </w:r>
    </w:p>
    <w:p w:rsidR="00000000" w:rsidRPr="007C57D2" w:rsidP="007C57D2">
      <w:pPr>
        <w:pStyle w:val="ListBullet2"/>
      </w:pPr>
      <w:r w:rsidRPr="007C57D2">
        <w:t>environmental and social considerations</w:t>
      </w:r>
    </w:p>
    <w:p w:rsidR="00000000" w:rsidRPr="007C57D2" w:rsidP="007C57D2">
      <w:pPr>
        <w:pStyle w:val="ListBullet2"/>
      </w:pPr>
      <w:r w:rsidRPr="007C57D2">
        <w:t>safety, licensing and regulatory requirements</w:t>
      </w:r>
    </w:p>
    <w:p w:rsidR="00000000" w:rsidRPr="007C57D2" w:rsidP="007C57D2">
      <w:pPr>
        <w:pStyle w:val="ListBullet"/>
      </w:pPr>
      <w:r w:rsidRPr="007C57D2">
        <w:t>key design requirements for virtual and hybrid events, including:</w:t>
      </w:r>
    </w:p>
    <w:p w:rsidR="00000000" w:rsidRPr="007C57D2" w:rsidP="007C57D2">
      <w:pPr>
        <w:pStyle w:val="ListBullet2"/>
      </w:pPr>
      <w:r w:rsidRPr="007C57D2">
        <w:t>technologies and platforms than can be used for virtual and hybrid events</w:t>
      </w:r>
    </w:p>
    <w:p w:rsidR="00000000" w:rsidRPr="007C57D2" w:rsidP="007C57D2">
      <w:pPr>
        <w:pStyle w:val="ListBullet2"/>
      </w:pPr>
      <w:r w:rsidRPr="007C57D2">
        <w:t>accessibility requirements and inclusive design features</w:t>
      </w:r>
    </w:p>
    <w:p w:rsidR="00000000" w:rsidRPr="007C57D2" w:rsidP="007C57D2">
      <w:pPr>
        <w:pStyle w:val="ListBullet2"/>
      </w:pPr>
      <w:r w:rsidRPr="007C57D2">
        <w:t>formats for documenting event designs</w:t>
      </w:r>
    </w:p>
    <w:p w:rsidR="00000000" w:rsidRPr="007C57D2" w:rsidP="007C57D2">
      <w:pPr>
        <w:pStyle w:val="ListBullet2"/>
      </w:pPr>
      <w:r w:rsidRPr="007C57D2">
        <w:t>documentation associated with the design of events</w:t>
      </w:r>
    </w:p>
    <w:p w:rsidR="00000000" w:rsidRPr="007C57D2" w:rsidP="007C57D2">
      <w:pPr>
        <w:pStyle w:val="ListBullet"/>
      </w:pPr>
      <w:r w:rsidRPr="007C57D2">
        <w:t>types of hybrid or virtual events in the creative industries, including:</w:t>
      </w:r>
    </w:p>
    <w:p w:rsidR="00000000" w:rsidRPr="007C57D2" w:rsidP="007C57D2">
      <w:pPr>
        <w:pStyle w:val="ListBullet2"/>
      </w:pPr>
      <w:r w:rsidRPr="007C57D2">
        <w:t>live music</w:t>
      </w:r>
    </w:p>
    <w:p w:rsidR="00000000" w:rsidRPr="007C57D2" w:rsidP="007C57D2">
      <w:pPr>
        <w:pStyle w:val="ListBullet2"/>
      </w:pPr>
      <w:r w:rsidRPr="007C57D2">
        <w:t>dance performance</w:t>
      </w:r>
    </w:p>
    <w:p w:rsidR="00000000" w:rsidRPr="007C57D2" w:rsidP="007C57D2">
      <w:pPr>
        <w:pStyle w:val="ListBullet2"/>
      </w:pPr>
      <w:r w:rsidRPr="007C57D2">
        <w:t>film f</w:t>
      </w:r>
      <w:r w:rsidRPr="007C57D2">
        <w:t>estivals</w:t>
      </w:r>
    </w:p>
    <w:p w:rsidR="00000000" w:rsidRPr="007C57D2" w:rsidP="007C57D2">
      <w:pPr>
        <w:pStyle w:val="ListBullet2"/>
      </w:pPr>
      <w:r w:rsidRPr="007C57D2">
        <w:t>art exhibitions</w:t>
      </w:r>
    </w:p>
    <w:p w:rsidR="00000000" w:rsidRPr="007C57D2" w:rsidP="007C57D2">
      <w:pPr>
        <w:pStyle w:val="ListBullet2"/>
      </w:pPr>
      <w:r w:rsidRPr="007C57D2">
        <w:t>live production</w:t>
      </w:r>
    </w:p>
    <w:p w:rsidR="00000000" w:rsidRPr="007C57D2" w:rsidP="007C57D2">
      <w:pPr>
        <w:pStyle w:val="ListBullet"/>
      </w:pPr>
      <w:r w:rsidRPr="007C57D2">
        <w:t>design principles relating to events described in performance evidence, and the relationship between different design elements of events</w:t>
      </w:r>
    </w:p>
    <w:p w:rsidR="00000000" w:rsidRPr="007C57D2" w:rsidP="007C57D2">
      <w:pPr>
        <w:pStyle w:val="ListBullet"/>
      </w:pPr>
      <w:r w:rsidRPr="007C57D2">
        <w:t xml:space="preserve">event budgetary constraints  </w:t>
      </w:r>
    </w:p>
    <w:p w:rsidR="00000000" w:rsidRPr="007C57D2" w:rsidP="007C57D2">
      <w:pPr>
        <w:pStyle w:val="ListBullet"/>
      </w:pPr>
      <w:r w:rsidRPr="007C57D2">
        <w:t>key roles and responsibilities for the design o</w:t>
      </w:r>
      <w:r w:rsidRPr="007C57D2">
        <w:t>f virtual and hybrid events</w:t>
      </w:r>
    </w:p>
    <w:p w:rsidR="00000000" w:rsidRPr="007C57D2" w:rsidP="007C57D2">
      <w:pPr>
        <w:pStyle w:val="ListBullet"/>
      </w:pPr>
      <w:r w:rsidRPr="007C57D2">
        <w:t>industry trends and technological developments that impact on the design of events</w:t>
      </w:r>
    </w:p>
    <w:p w:rsidR="00000000" w:rsidRPr="007C57D2" w:rsidP="007C57D2">
      <w:pPr>
        <w:pStyle w:val="ListBullet"/>
      </w:pPr>
      <w:r w:rsidRPr="007C57D2">
        <w:t>technical and equipment requirements of virtual and hybrid events described in performance evidence.</w:t>
      </w:r>
    </w:p>
    <w:p w:rsidR="00000000" w:rsidRPr="007C57D2" w:rsidP="007C57D2">
      <w:pPr>
        <w:pStyle w:val="AllowPageBreak"/>
      </w:pPr>
    </w:p>
    <w:p w:rsidR="00000000" w:rsidRPr="007C57D2" w:rsidP="007C57D2">
      <w:pPr>
        <w:pStyle w:val="Heading1"/>
      </w:pPr>
      <w:bookmarkStart w:id="4" w:name="O_1252579"/>
      <w:bookmarkEnd w:id="4"/>
      <w:r w:rsidRPr="007C57D2">
        <w:t>Assessment Conditions</w:t>
      </w:r>
    </w:p>
    <w:p w:rsidR="00000000" w:rsidRPr="007C57D2" w:rsidP="00494D90">
      <w:pPr>
        <w:pStyle w:val="BodyText"/>
      </w:pPr>
      <w:r w:rsidRPr="007C57D2">
        <w:t xml:space="preserve">Skills in this unit must be demonstrated in a workplace or simulated environment where the conditions are typical of those in a working environment in this industry. </w:t>
      </w:r>
    </w:p>
    <w:p w:rsidR="00000000" w:rsidRPr="007C57D2" w:rsidP="00494D90">
      <w:pPr>
        <w:pStyle w:val="BodyText"/>
      </w:pPr>
      <w:r w:rsidRPr="007C57D2">
        <w:t>This includes access to:</w:t>
      </w:r>
    </w:p>
    <w:p w:rsidR="00000000" w:rsidRPr="007C57D2" w:rsidP="007C57D2">
      <w:pPr>
        <w:pStyle w:val="ListBullet"/>
      </w:pPr>
      <w:r w:rsidRPr="007C57D2">
        <w:t>information on the design requirements for virtual and hybrid e</w:t>
      </w:r>
      <w:r w:rsidRPr="007C57D2">
        <w:t>vents described in performance evidence</w:t>
      </w:r>
    </w:p>
    <w:p w:rsidR="00000000" w:rsidRPr="007C57D2" w:rsidP="007C57D2">
      <w:pPr>
        <w:pStyle w:val="ListBullet"/>
      </w:pPr>
      <w:r w:rsidRPr="007C57D2">
        <w:t>resources for designing virtual and hybrid events</w:t>
      </w:r>
    </w:p>
    <w:p w:rsidR="00000000" w:rsidRPr="007C57D2" w:rsidP="007C57D2">
      <w:pPr>
        <w:pStyle w:val="ListBullet"/>
      </w:pPr>
      <w:r w:rsidRPr="007C57D2">
        <w:t xml:space="preserve">relevant personnel for interaction. </w:t>
      </w:r>
    </w:p>
    <w:p w:rsidR="00000000" w:rsidRPr="007C57D2" w:rsidP="007C57D2">
      <w:pPr>
        <w:pStyle w:val="BodyText"/>
      </w:pPr>
      <w:r w:rsidRPr="007C57D2">
        <w:t xml:space="preserve"> </w:t>
      </w:r>
    </w:p>
    <w:p w:rsidR="00000000" w:rsidRPr="007C57D2" w:rsidP="00494D90">
      <w:pPr>
        <w:pStyle w:val="BodyText"/>
      </w:pPr>
      <w:r w:rsidRPr="007C57D2">
        <w:t>Assessors of this unit must satisfy the requirements for assessors in applicable vocational education and training legislation,</w:t>
      </w:r>
      <w:r w:rsidRPr="007C57D2">
        <w:t xml:space="preserve"> frameworks and/or standards.</w:t>
      </w:r>
    </w:p>
    <w:p w:rsidR="00000000" w:rsidRPr="007C57D2" w:rsidP="007C57D2">
      <w:pPr>
        <w:pStyle w:val="Heading1"/>
      </w:pPr>
      <w:bookmarkStart w:id="5" w:name="O_1252582"/>
      <w:bookmarkEnd w:id="5"/>
      <w:r w:rsidRPr="007C57D2">
        <w:t>Links</w:t>
      </w:r>
    </w:p>
    <w:p w:rsidR="00000000" w:rsidRPr="007C57D2" w:rsidP="00494D90">
      <w:pPr>
        <w:pStyle w:val="BodyText"/>
      </w:pPr>
      <w:r w:rsidRPr="007C57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7C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57D2" w:rsidP="007C57D2"/>
    <w:sectPr w:rsidSect="007C57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D2" w:rsidRPr="00494D90" w:rsidP="00494D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D90" w:rsidP="007C5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4D90" w:rsidP="007C5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4D90" w:rsidP="007C5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D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7D2" w:rsidRPr="00494D90" w:rsidP="00494D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D90" w:rsidRPr="002D2AF8" w:rsidP="007C5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CUADES523 Design virtual and hybrid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94D90" w:rsidP="007C5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BEC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FE6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92F6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7D2"/>
  </w:style>
  <w:style w:type="character" w:customStyle="1" w:styleId="Heading1Char">
    <w:name w:val="Heading 1 Char"/>
    <w:basedOn w:val="DefaultParagraphFont"/>
    <w:link w:val="Heading1"/>
    <w:rsid w:val="007C5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7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7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57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5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7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57D2"/>
    <w:rPr>
      <w:b/>
      <w:spacing w:val="0"/>
    </w:rPr>
  </w:style>
  <w:style w:type="paragraph" w:customStyle="1" w:styleId="SuperTitle">
    <w:name w:val="SuperTitle"/>
    <w:basedOn w:val="Title"/>
    <w:rsid w:val="007C5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5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7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7D2"/>
    <w:rPr>
      <w:i/>
    </w:rPr>
  </w:style>
  <w:style w:type="paragraph" w:styleId="Caption">
    <w:name w:val="caption"/>
    <w:basedOn w:val="BodyText"/>
    <w:next w:val="Normal"/>
    <w:qFormat/>
    <w:rsid w:val="007C5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7D2"/>
  </w:style>
  <w:style w:type="paragraph" w:styleId="TableofFigures">
    <w:name w:val="table of figures"/>
    <w:basedOn w:val="Normal"/>
    <w:next w:val="Normal"/>
    <w:semiHidden/>
    <w:rsid w:val="007C5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7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57D2"/>
    <w:rPr>
      <w:rFonts w:ascii="Wingdings" w:hAnsi="Wingdings"/>
    </w:rPr>
  </w:style>
  <w:style w:type="paragraph" w:customStyle="1" w:styleId="TableHeading">
    <w:name w:val="Table Heading"/>
    <w:basedOn w:val="HeadingBase"/>
    <w:rsid w:val="007C5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7D2"/>
    <w:rPr>
      <w:color w:val="0033CC"/>
      <w:u w:val="none"/>
    </w:rPr>
  </w:style>
  <w:style w:type="paragraph" w:customStyle="1" w:styleId="BodyTextRight">
    <w:name w:val="Body Text Right"/>
    <w:basedOn w:val="BodyText"/>
    <w:rsid w:val="007C5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7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7D2"/>
    <w:rPr>
      <w:sz w:val="32"/>
    </w:rPr>
  </w:style>
  <w:style w:type="paragraph" w:customStyle="1" w:styleId="HeadingProcedure">
    <w:name w:val="Heading Procedure"/>
    <w:basedOn w:val="HeadingBase"/>
    <w:next w:val="Normal"/>
    <w:rsid w:val="007C5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7D2"/>
    <w:pPr>
      <w:spacing w:before="60" w:after="60"/>
    </w:pPr>
  </w:style>
  <w:style w:type="paragraph" w:styleId="ListContinue">
    <w:name w:val="List Continue"/>
    <w:basedOn w:val="List"/>
    <w:rsid w:val="007C57D2"/>
    <w:pPr>
      <w:ind w:firstLine="0"/>
    </w:pPr>
  </w:style>
  <w:style w:type="paragraph" w:customStyle="1" w:styleId="ListNote">
    <w:name w:val="List Note"/>
    <w:basedOn w:val="List"/>
    <w:rsid w:val="007C5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7D2"/>
    <w:rPr>
      <w:rFonts w:ascii="Courier New" w:hAnsi="Courier New"/>
    </w:rPr>
  </w:style>
  <w:style w:type="paragraph" w:customStyle="1" w:styleId="NoteBullet">
    <w:name w:val="Note Bullet"/>
    <w:basedOn w:val="Note"/>
    <w:rsid w:val="007C5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7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5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7D2"/>
    <w:rPr>
      <w:b/>
      <w:smallCaps/>
    </w:rPr>
  </w:style>
  <w:style w:type="paragraph" w:customStyle="1" w:styleId="TableListNumber">
    <w:name w:val="Table List Number"/>
    <w:basedOn w:val="ListNumber"/>
    <w:rsid w:val="007C5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7D2"/>
    <w:pPr>
      <w:numPr>
        <w:numId w:val="9"/>
      </w:numPr>
    </w:pPr>
  </w:style>
  <w:style w:type="paragraph" w:customStyle="1" w:styleId="ListAlpha2">
    <w:name w:val="List Alpha 2"/>
    <w:basedOn w:val="List2"/>
    <w:rsid w:val="007C57D2"/>
    <w:pPr>
      <w:numPr>
        <w:numId w:val="8"/>
      </w:numPr>
    </w:pPr>
  </w:style>
  <w:style w:type="paragraph" w:styleId="List2">
    <w:name w:val="List 2"/>
    <w:basedOn w:val="BodyText"/>
    <w:rsid w:val="007C5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7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7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7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57D2"/>
    <w:pPr>
      <w:numPr>
        <w:numId w:val="4"/>
      </w:numPr>
    </w:pPr>
  </w:style>
  <w:style w:type="paragraph" w:styleId="ListContinue2">
    <w:name w:val="List Continue 2"/>
    <w:basedOn w:val="List2"/>
    <w:rsid w:val="007C57D2"/>
    <w:pPr>
      <w:ind w:firstLine="0"/>
    </w:pPr>
  </w:style>
  <w:style w:type="paragraph" w:styleId="ListContinue3">
    <w:name w:val="List Continue 3"/>
    <w:basedOn w:val="List3"/>
    <w:rsid w:val="007C57D2"/>
    <w:pPr>
      <w:ind w:left="1021" w:firstLine="0"/>
    </w:pPr>
  </w:style>
  <w:style w:type="paragraph" w:styleId="ListContinue4">
    <w:name w:val="List Continue 4"/>
    <w:basedOn w:val="List4"/>
    <w:rsid w:val="007C57D2"/>
    <w:pPr>
      <w:ind w:firstLine="0"/>
    </w:pPr>
  </w:style>
  <w:style w:type="paragraph" w:styleId="ListContinue5">
    <w:name w:val="List Continue 5"/>
    <w:basedOn w:val="List5"/>
    <w:rsid w:val="007C57D2"/>
    <w:pPr>
      <w:ind w:firstLine="0"/>
    </w:pPr>
  </w:style>
  <w:style w:type="paragraph" w:styleId="ListNumber3">
    <w:name w:val="List Number 3"/>
    <w:basedOn w:val="List3"/>
    <w:rsid w:val="007C57D2"/>
    <w:pPr>
      <w:numPr>
        <w:numId w:val="5"/>
      </w:numPr>
    </w:pPr>
  </w:style>
  <w:style w:type="paragraph" w:styleId="ListNumber4">
    <w:name w:val="List Number 4"/>
    <w:basedOn w:val="List4"/>
    <w:rsid w:val="007C57D2"/>
    <w:pPr>
      <w:numPr>
        <w:numId w:val="6"/>
      </w:numPr>
    </w:pPr>
  </w:style>
  <w:style w:type="paragraph" w:styleId="ListNumber5">
    <w:name w:val="List Number 5"/>
    <w:basedOn w:val="List5"/>
    <w:rsid w:val="007C57D2"/>
    <w:pPr>
      <w:numPr>
        <w:numId w:val="7"/>
      </w:numPr>
    </w:pPr>
  </w:style>
  <w:style w:type="paragraph" w:styleId="BlockText">
    <w:name w:val="Block Text"/>
    <w:basedOn w:val="Normal"/>
    <w:rsid w:val="007C5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7D2"/>
    <w:rPr>
      <w:sz w:val="16"/>
      <w:vertAlign w:val="superscript"/>
    </w:rPr>
  </w:style>
  <w:style w:type="character" w:customStyle="1" w:styleId="Symbols">
    <w:name w:val="Symbols"/>
    <w:basedOn w:val="DefaultParagraphFont"/>
    <w:rsid w:val="007C57D2"/>
    <w:rPr>
      <w:rFonts w:ascii="Symbol" w:hAnsi="Symbol"/>
    </w:rPr>
  </w:style>
  <w:style w:type="character" w:customStyle="1" w:styleId="MenuOptions">
    <w:name w:val="Menu Options"/>
    <w:basedOn w:val="DefaultParagraphFont"/>
    <w:rsid w:val="007C5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7D2"/>
    <w:rPr>
      <w:b/>
    </w:rPr>
  </w:style>
  <w:style w:type="character" w:customStyle="1" w:styleId="Underlined">
    <w:name w:val="Underlined"/>
    <w:basedOn w:val="DefaultParagraphFont"/>
    <w:rsid w:val="007C57D2"/>
    <w:rPr>
      <w:u w:val="single"/>
    </w:rPr>
  </w:style>
  <w:style w:type="paragraph" w:customStyle="1" w:styleId="TableBodyTextRight">
    <w:name w:val="Table Body Text Right"/>
    <w:basedOn w:val="TableBodyText"/>
    <w:rsid w:val="007C5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7D2"/>
    <w:rPr>
      <w:sz w:val="18"/>
    </w:rPr>
  </w:style>
  <w:style w:type="paragraph" w:customStyle="1" w:styleId="BodySmallRight">
    <w:name w:val="Body Small Right"/>
    <w:basedOn w:val="BodyTextRight"/>
    <w:rsid w:val="007C57D2"/>
    <w:rPr>
      <w:sz w:val="18"/>
      <w:szCs w:val="18"/>
    </w:rPr>
  </w:style>
  <w:style w:type="paragraph" w:customStyle="1" w:styleId="MarginEdition">
    <w:name w:val="Margin Edition"/>
    <w:basedOn w:val="MarginNote"/>
    <w:rsid w:val="007C5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7D2"/>
    <w:rPr>
      <w:sz w:val="2"/>
      <w:szCs w:val="2"/>
    </w:rPr>
  </w:style>
  <w:style w:type="character" w:customStyle="1" w:styleId="Small">
    <w:name w:val="Small"/>
    <w:basedOn w:val="DefaultParagraphFont"/>
    <w:rsid w:val="007C57D2"/>
    <w:rPr>
      <w:sz w:val="16"/>
    </w:rPr>
  </w:style>
  <w:style w:type="paragraph" w:customStyle="1" w:styleId="WideTable">
    <w:name w:val="Wide Table"/>
    <w:basedOn w:val="Normal"/>
    <w:rsid w:val="007C5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7D2"/>
  </w:style>
  <w:style w:type="paragraph" w:styleId="Quote">
    <w:name w:val="Quote"/>
    <w:basedOn w:val="Heading1"/>
    <w:link w:val="QuoteChar"/>
    <w:qFormat/>
    <w:rsid w:val="007C5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7D2"/>
    <w:pPr>
      <w:pageBreakBefore/>
    </w:pPr>
  </w:style>
  <w:style w:type="paragraph" w:customStyle="1" w:styleId="Border">
    <w:name w:val="Border"/>
    <w:basedOn w:val="Normal"/>
    <w:qFormat/>
    <w:rsid w:val="007C5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7D2"/>
    <w:rPr>
      <w:u w:val="single"/>
    </w:rPr>
  </w:style>
  <w:style w:type="character" w:customStyle="1" w:styleId="BoldandItalics">
    <w:name w:val="Bold and Italics"/>
    <w:qFormat/>
    <w:rsid w:val="007C57D2"/>
    <w:rPr>
      <w:b/>
      <w:i/>
      <w:u w:val="none"/>
    </w:rPr>
  </w:style>
  <w:style w:type="paragraph" w:styleId="BalloonText">
    <w:name w:val="Balloon Text"/>
    <w:basedOn w:val="Normal"/>
    <w:link w:val="BalloonTextChar"/>
    <w:rsid w:val="007C5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7D2"/>
    <w:pPr>
      <w:spacing w:before="0" w:after="0"/>
    </w:pPr>
  </w:style>
  <w:style w:type="paragraph" w:customStyle="1" w:styleId="BodyTextBold">
    <w:name w:val="Body Text Bold"/>
    <w:basedOn w:val="BodyText"/>
    <w:qFormat/>
    <w:rsid w:val="007C57D2"/>
    <w:rPr>
      <w:b/>
    </w:rPr>
  </w:style>
  <w:style w:type="character" w:styleId="Hyperlink">
    <w:name w:val="Hyperlink"/>
    <w:basedOn w:val="DefaultParagraphFont"/>
    <w:uiPriority w:val="99"/>
    <w:unhideWhenUsed/>
    <w:rsid w:val="00494D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2882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CUADES523 Design virtual and hybrid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