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3E73" w:rsidP="00BA3E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CUADAN312 Increase depth of Aboriginal and/or Torres Strait Islander dance techniques</w:t>
      </w:r>
      <w:r>
        <w:fldChar w:fldCharType="end"/>
      </w:r>
    </w:p>
    <w:p w:rsidR="00BA3E73" w:rsidP="00BA3E73">
      <w:pPr>
        <w:pStyle w:val="Version"/>
        <w:sectPr w:rsidSect="00A056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6E1" w:rsidP="00A056E1">
      <w:pPr>
        <w:pStyle w:val="SuperHeading"/>
      </w:pPr>
      <w:r w:rsidRPr="00A056E1">
        <w:t>Assessment Requirements for CUADAN312 Increase depth of Aboriginal and/or Torres Strait Islander dance techniques</w:t>
      </w:r>
    </w:p>
    <w:p w:rsidR="00000000" w:rsidRPr="00A056E1" w:rsidP="00A056E1">
      <w:pPr>
        <w:pStyle w:val="Heading1"/>
      </w:pPr>
      <w:bookmarkStart w:id="1" w:name="O_1142592"/>
      <w:bookmarkEnd w:id="1"/>
      <w:r w:rsidRPr="00A056E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056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6E1" w:rsidP="00A056E1">
            <w:pPr>
              <w:pStyle w:val="BodyText"/>
            </w:pPr>
            <w:r w:rsidRPr="00A056E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6E1">
            <w:pPr>
              <w:pStyle w:val="BodyText"/>
              <w:rPr>
                <w:lang w:val="en-NZ"/>
              </w:rPr>
            </w:pPr>
            <w:r w:rsidRPr="00A056E1">
              <w:rPr>
                <w:rStyle w:val="SpecialBold"/>
              </w:rPr>
              <w:t>Comments</w:t>
            </w:r>
          </w:p>
        </w:tc>
      </w:tr>
      <w:tr w:rsidTr="00A056E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6E1">
            <w:pPr>
              <w:pStyle w:val="BodyText"/>
              <w:rPr>
                <w:lang w:val="en-NZ"/>
              </w:rPr>
            </w:pPr>
            <w:r w:rsidRPr="00A056E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6E1" w:rsidP="00A056E1">
            <w:pPr>
              <w:pStyle w:val="BodyText"/>
            </w:pPr>
            <w:r w:rsidRPr="00A056E1">
              <w:t>This version first released with CUA Creative Arts and Culture Training Package Version 5.0.</w:t>
            </w:r>
          </w:p>
        </w:tc>
      </w:tr>
    </w:tbl>
    <w:p w:rsidR="00000000" w:rsidRPr="00A056E1" w:rsidP="00A056E1">
      <w:pPr>
        <w:pStyle w:val="BodyText"/>
      </w:pPr>
    </w:p>
    <w:p w:rsidR="00000000" w:rsidRPr="00A056E1" w:rsidP="00A056E1">
      <w:pPr>
        <w:pStyle w:val="AllowPageBreak"/>
      </w:pPr>
    </w:p>
    <w:p w:rsidR="00000000" w:rsidRPr="00A056E1" w:rsidP="00A056E1">
      <w:pPr>
        <w:pStyle w:val="Heading1"/>
      </w:pPr>
      <w:bookmarkStart w:id="2" w:name="O_1142595"/>
      <w:bookmarkEnd w:id="2"/>
      <w:r w:rsidRPr="00A056E1">
        <w:t>Performance Evidence</w:t>
      </w:r>
    </w:p>
    <w:p w:rsidR="00000000" w:rsidRPr="00A056E1" w:rsidP="00BA3E73">
      <w:pPr>
        <w:pStyle w:val="BodyText"/>
      </w:pPr>
      <w:r w:rsidRPr="00A056E1">
        <w:t>The candidate must demonstrate the ability to complete the tasks outlined in the elements, performance criteria and found</w:t>
      </w:r>
      <w:r w:rsidRPr="00A056E1">
        <w:t>ation skills of this unit, including evidence of the ability to:</w:t>
      </w:r>
    </w:p>
    <w:p w:rsidR="00000000" w:rsidRPr="00A056E1" w:rsidP="00A056E1">
      <w:pPr>
        <w:pStyle w:val="ListBullet"/>
      </w:pPr>
      <w:r w:rsidRPr="00A056E1">
        <w:t>perform at least two Aboriginal and/or Torres Strait Islander dance pieces, at least one of which must be an ensemble piece, and at least one of which must be a solo piece.</w:t>
      </w:r>
    </w:p>
    <w:p w:rsidR="00000000" w:rsidRPr="00A056E1" w:rsidP="00A056E1">
      <w:pPr>
        <w:pStyle w:val="List"/>
      </w:pPr>
    </w:p>
    <w:p w:rsidR="00000000" w:rsidRPr="00A056E1" w:rsidP="00BA3E73">
      <w:pPr>
        <w:pStyle w:val="BodyText"/>
      </w:pPr>
      <w:r w:rsidRPr="00A056E1">
        <w:t>In the course of the above, the candidate must:</w:t>
      </w:r>
    </w:p>
    <w:p w:rsidR="00000000" w:rsidRPr="00A056E1" w:rsidP="00A056E1">
      <w:pPr>
        <w:pStyle w:val="ListBullet"/>
      </w:pPr>
      <w:r w:rsidRPr="00A056E1">
        <w:t>follow Aboriginal and/or Torres Strait Islander community cultural beliefs and protocols identify and apply different responses to music and rhythms through dance movements</w:t>
      </w:r>
    </w:p>
    <w:p w:rsidR="00000000" w:rsidRPr="00A056E1" w:rsidP="00A056E1">
      <w:pPr>
        <w:pStyle w:val="ListBullet"/>
      </w:pPr>
      <w:r w:rsidRPr="00A056E1">
        <w:t>choreograph simple movement sequen</w:t>
      </w:r>
      <w:r w:rsidRPr="00A056E1">
        <w:t>ces</w:t>
      </w:r>
    </w:p>
    <w:p w:rsidR="00000000" w:rsidRPr="00A056E1" w:rsidP="00A056E1">
      <w:pPr>
        <w:pStyle w:val="ListBullet"/>
      </w:pPr>
      <w:r w:rsidRPr="00A056E1">
        <w:t>follow procedures for minimising the impact of performance activities on the environment</w:t>
      </w:r>
    </w:p>
    <w:p w:rsidR="00000000" w:rsidRPr="00A056E1" w:rsidP="00A056E1">
      <w:pPr>
        <w:pStyle w:val="ListBullet"/>
      </w:pPr>
      <w:r w:rsidRPr="00A056E1">
        <w:t>operate within legal rights and responsibilities when accessing and performing Aboriginal and/or Torres Strait Islander dances</w:t>
      </w:r>
    </w:p>
    <w:p w:rsidR="00000000" w:rsidRPr="00A056E1" w:rsidP="00A056E1">
      <w:pPr>
        <w:pStyle w:val="ListBullet"/>
      </w:pPr>
      <w:r w:rsidRPr="00A056E1">
        <w:t>follow safe dance practices</w:t>
      </w:r>
    </w:p>
    <w:p w:rsidR="00000000" w:rsidRPr="00A056E1" w:rsidP="00A056E1">
      <w:pPr>
        <w:pStyle w:val="ListBullet"/>
      </w:pPr>
      <w:r w:rsidRPr="00A056E1">
        <w:t>use danc</w:t>
      </w:r>
      <w:r w:rsidRPr="00A056E1">
        <w:t>e and performance terminology.</w:t>
      </w:r>
    </w:p>
    <w:p w:rsidR="00000000" w:rsidRPr="00A056E1" w:rsidP="00A056E1">
      <w:pPr>
        <w:pStyle w:val="AllowPageBreak"/>
      </w:pPr>
    </w:p>
    <w:p w:rsidR="00000000" w:rsidRPr="00A056E1" w:rsidP="00A056E1">
      <w:pPr>
        <w:pStyle w:val="Heading1"/>
      </w:pPr>
      <w:bookmarkStart w:id="3" w:name="O_1142594"/>
      <w:bookmarkEnd w:id="3"/>
      <w:r w:rsidRPr="00A056E1">
        <w:t>Knowledge Evidence</w:t>
      </w:r>
    </w:p>
    <w:p w:rsidR="00000000" w:rsidRPr="00A056E1" w:rsidP="00BA3E73">
      <w:pPr>
        <w:pStyle w:val="BodyText"/>
      </w:pPr>
      <w:r w:rsidRPr="00A056E1">
        <w:t>The candidate must be able to demonstrate knowledge to complete the tasks outlined in the elements, performance criteria and foundation skills of this unit, including knowledge of:</w:t>
      </w:r>
    </w:p>
    <w:p w:rsidR="00000000" w:rsidRPr="00A056E1" w:rsidP="00A056E1">
      <w:pPr>
        <w:pStyle w:val="ListBullet"/>
      </w:pPr>
      <w:r w:rsidRPr="00A056E1">
        <w:t>cultu</w:t>
      </w:r>
      <w:r w:rsidRPr="00A056E1">
        <w:t>ral systems and their influence on the following:</w:t>
      </w:r>
    </w:p>
    <w:p w:rsidR="00000000" w:rsidRPr="00A056E1" w:rsidP="00A056E1">
      <w:pPr>
        <w:pStyle w:val="ListBullet2"/>
      </w:pPr>
      <w:r w:rsidRPr="00A056E1">
        <w:t>body painting</w:t>
      </w:r>
    </w:p>
    <w:p w:rsidR="00000000" w:rsidRPr="00A056E1" w:rsidP="00A056E1">
      <w:pPr>
        <w:pStyle w:val="ListBullet2"/>
      </w:pPr>
      <w:r w:rsidRPr="00A056E1">
        <w:t>dress and costumes</w:t>
      </w:r>
    </w:p>
    <w:p w:rsidR="00000000" w:rsidRPr="00A056E1" w:rsidP="00A056E1">
      <w:pPr>
        <w:pStyle w:val="ListBullet2"/>
      </w:pPr>
      <w:r w:rsidRPr="00A056E1">
        <w:t>make-up</w:t>
      </w:r>
    </w:p>
    <w:p w:rsidR="00000000" w:rsidRPr="00A056E1" w:rsidP="00A056E1">
      <w:pPr>
        <w:pStyle w:val="ListBullet2"/>
      </w:pPr>
      <w:r w:rsidRPr="00A056E1">
        <w:t>music</w:t>
      </w:r>
    </w:p>
    <w:p w:rsidR="00000000" w:rsidRPr="00A056E1" w:rsidP="00A056E1">
      <w:pPr>
        <w:pStyle w:val="ListBullet2"/>
      </w:pPr>
      <w:r w:rsidRPr="00A056E1">
        <w:t>props</w:t>
      </w:r>
    </w:p>
    <w:p w:rsidR="00000000" w:rsidRPr="00A056E1" w:rsidP="00A056E1">
      <w:pPr>
        <w:pStyle w:val="ListBullet2"/>
      </w:pPr>
      <w:r w:rsidRPr="00A056E1">
        <w:t>sets</w:t>
      </w:r>
    </w:p>
    <w:p w:rsidR="00000000" w:rsidRPr="00A056E1" w:rsidP="00A056E1">
      <w:pPr>
        <w:pStyle w:val="ListBullet2"/>
      </w:pPr>
      <w:r w:rsidRPr="00A056E1">
        <w:t>story telling</w:t>
      </w:r>
    </w:p>
    <w:p w:rsidR="00000000" w:rsidRPr="00A056E1" w:rsidP="00A056E1">
      <w:pPr>
        <w:pStyle w:val="ListBullet"/>
      </w:pPr>
      <w:r w:rsidRPr="00A056E1">
        <w:t xml:space="preserve">traditions of ownership and protocols relating to created work and dance performance in Aboriginal </w:t>
      </w:r>
      <w:r w:rsidRPr="00A056E1">
        <w:t>and/or Torres Strait Islander cultures</w:t>
      </w:r>
    </w:p>
    <w:p w:rsidR="00000000" w:rsidRPr="00A056E1" w:rsidP="00A056E1">
      <w:pPr>
        <w:pStyle w:val="ListBullet"/>
      </w:pPr>
      <w:r w:rsidRPr="00A056E1">
        <w:t>considerations for the following in relation to Aboriginal and/or Torres Strait Islander performing arts:</w:t>
      </w:r>
    </w:p>
    <w:p w:rsidR="00000000" w:rsidRPr="00A056E1" w:rsidP="00A056E1">
      <w:pPr>
        <w:pStyle w:val="ListBullet2"/>
      </w:pPr>
      <w:r w:rsidRPr="00A056E1">
        <w:t>choreographic techniques</w:t>
      </w:r>
    </w:p>
    <w:p w:rsidR="00000000" w:rsidRPr="00A056E1" w:rsidP="00A056E1">
      <w:pPr>
        <w:pStyle w:val="ListBullet2"/>
      </w:pPr>
      <w:r w:rsidRPr="00A056E1">
        <w:t>commercialisation of cultural material</w:t>
      </w:r>
    </w:p>
    <w:p w:rsidR="00000000" w:rsidRPr="00A056E1" w:rsidP="00A056E1">
      <w:pPr>
        <w:pStyle w:val="ListBullet2"/>
      </w:pPr>
      <w:r w:rsidRPr="00A056E1">
        <w:t>copyright</w:t>
      </w:r>
    </w:p>
    <w:p w:rsidR="00000000" w:rsidRPr="00A056E1" w:rsidP="00A056E1">
      <w:pPr>
        <w:pStyle w:val="ListBullet2"/>
      </w:pPr>
      <w:r w:rsidRPr="00A056E1">
        <w:t>cultural heritage</w:t>
      </w:r>
    </w:p>
    <w:p w:rsidR="00000000" w:rsidRPr="00A056E1" w:rsidP="00A056E1">
      <w:pPr>
        <w:pStyle w:val="ListBullet2"/>
      </w:pPr>
      <w:r w:rsidRPr="00A056E1">
        <w:t>cultural tourism</w:t>
      </w:r>
    </w:p>
    <w:p w:rsidR="00000000" w:rsidRPr="00A056E1" w:rsidP="00A056E1">
      <w:pPr>
        <w:pStyle w:val="ListBullet2"/>
      </w:pPr>
      <w:r w:rsidRPr="00A056E1">
        <w:t>i</w:t>
      </w:r>
      <w:r w:rsidRPr="00A056E1">
        <w:t>ntellectual property</w:t>
      </w:r>
    </w:p>
    <w:p w:rsidR="00000000" w:rsidRPr="00A056E1" w:rsidP="00A056E1">
      <w:pPr>
        <w:pStyle w:val="ListBullet2"/>
      </w:pPr>
      <w:r w:rsidRPr="00A056E1">
        <w:t>health and safety</w:t>
      </w:r>
    </w:p>
    <w:p w:rsidR="00000000" w:rsidRPr="00A056E1" w:rsidP="00A056E1">
      <w:pPr>
        <w:pStyle w:val="ListBullet2"/>
      </w:pPr>
      <w:r w:rsidRPr="00A056E1">
        <w:t>licensing and accreditation schemes</w:t>
      </w:r>
    </w:p>
    <w:p w:rsidR="00000000" w:rsidRPr="00A056E1" w:rsidP="00A056E1">
      <w:pPr>
        <w:pStyle w:val="ListBullet2"/>
      </w:pPr>
      <w:r w:rsidRPr="00A056E1">
        <w:t>protocols in relation to moral rights</w:t>
      </w:r>
    </w:p>
    <w:p w:rsidR="00000000" w:rsidRPr="00A056E1" w:rsidP="00A056E1">
      <w:pPr>
        <w:pStyle w:val="ListBullet"/>
      </w:pPr>
      <w:r w:rsidRPr="00A056E1">
        <w:t>Aboriginal and/or Torres Strait Islander dance movements and techniques, relating to:</w:t>
      </w:r>
    </w:p>
    <w:p w:rsidR="00000000" w:rsidRPr="00A056E1" w:rsidP="00A056E1">
      <w:pPr>
        <w:pStyle w:val="ListBullet2"/>
      </w:pPr>
      <w:r w:rsidRPr="00A056E1">
        <w:t>extending</w:t>
      </w:r>
    </w:p>
    <w:p w:rsidR="00000000" w:rsidRPr="00A056E1" w:rsidP="00A056E1">
      <w:pPr>
        <w:pStyle w:val="ListBullet2"/>
      </w:pPr>
      <w:r w:rsidRPr="00A056E1">
        <w:t>folding</w:t>
      </w:r>
    </w:p>
    <w:p w:rsidR="00000000" w:rsidRPr="00A056E1" w:rsidP="00A056E1">
      <w:pPr>
        <w:pStyle w:val="ListBullet2"/>
      </w:pPr>
      <w:r w:rsidRPr="00A056E1">
        <w:t>relationship with gravity</w:t>
      </w:r>
    </w:p>
    <w:p w:rsidR="00000000" w:rsidRPr="00A056E1" w:rsidP="00A056E1">
      <w:pPr>
        <w:pStyle w:val="ListBullet2"/>
      </w:pPr>
      <w:r w:rsidRPr="00A056E1">
        <w:t>rotating</w:t>
      </w:r>
    </w:p>
    <w:p w:rsidR="00000000" w:rsidRPr="00A056E1" w:rsidP="00A056E1">
      <w:pPr>
        <w:pStyle w:val="ListBullet2"/>
      </w:pPr>
      <w:r w:rsidRPr="00A056E1">
        <w:t>shifting weight</w:t>
      </w:r>
    </w:p>
    <w:p w:rsidR="00000000" w:rsidRPr="00A056E1" w:rsidP="00A056E1">
      <w:pPr>
        <w:pStyle w:val="ListBullet2"/>
      </w:pPr>
      <w:r w:rsidRPr="00A056E1">
        <w:t>spatial awareness</w:t>
      </w:r>
    </w:p>
    <w:p w:rsidR="00000000" w:rsidRPr="00A056E1" w:rsidP="00A056E1">
      <w:pPr>
        <w:pStyle w:val="ListBullet2"/>
      </w:pPr>
      <w:r w:rsidRPr="00A056E1">
        <w:t>successional movement</w:t>
      </w:r>
    </w:p>
    <w:p w:rsidR="00000000" w:rsidRPr="00A056E1" w:rsidP="00A056E1">
      <w:pPr>
        <w:pStyle w:val="ListBullet2"/>
      </w:pPr>
      <w:r w:rsidRPr="00A056E1">
        <w:t>use of breath</w:t>
      </w:r>
    </w:p>
    <w:p w:rsidR="00000000" w:rsidRPr="00A056E1" w:rsidP="00A056E1">
      <w:pPr>
        <w:pStyle w:val="ListBullet"/>
      </w:pPr>
      <w:r w:rsidRPr="00A056E1">
        <w:t>safe dance practice and injury prevention principles, relating to:</w:t>
      </w:r>
    </w:p>
    <w:p w:rsidR="00000000" w:rsidRPr="00A056E1" w:rsidP="00A056E1">
      <w:pPr>
        <w:pStyle w:val="ListBullet2"/>
      </w:pPr>
      <w:r w:rsidRPr="00A056E1">
        <w:t>spine articulation</w:t>
      </w:r>
    </w:p>
    <w:p w:rsidR="00000000" w:rsidRPr="00A056E1" w:rsidP="00A056E1">
      <w:pPr>
        <w:pStyle w:val="ListBullet2"/>
      </w:pPr>
      <w:r w:rsidRPr="00A056E1">
        <w:t>foot engagement</w:t>
      </w:r>
    </w:p>
    <w:p w:rsidR="00000000" w:rsidRPr="00A056E1" w:rsidP="00A056E1">
      <w:pPr>
        <w:pStyle w:val="ListBullet2"/>
      </w:pPr>
      <w:r w:rsidRPr="00A056E1">
        <w:t>bases of support, including feet, legs, hands, arms and torso</w:t>
      </w:r>
    </w:p>
    <w:p w:rsidR="00000000" w:rsidRPr="00A056E1" w:rsidP="00A056E1">
      <w:pPr>
        <w:pStyle w:val="ListBullet2"/>
      </w:pPr>
      <w:r w:rsidRPr="00A056E1">
        <w:t>joint range of motion</w:t>
      </w:r>
    </w:p>
    <w:p w:rsidR="00000000" w:rsidRPr="00A056E1" w:rsidP="00A056E1">
      <w:pPr>
        <w:pStyle w:val="ListBullet2"/>
      </w:pPr>
      <w:r w:rsidRPr="00A056E1">
        <w:t>differentiation of legs and pelvis</w:t>
      </w:r>
    </w:p>
    <w:p w:rsidR="00000000" w:rsidRPr="00A056E1" w:rsidP="00A056E1">
      <w:pPr>
        <w:pStyle w:val="ListBullet"/>
      </w:pPr>
      <w:r w:rsidRPr="00A056E1">
        <w:t>key aspects of the history and role of performing arts in Aboriginal and/or Torres Strait Islander culture</w:t>
      </w:r>
    </w:p>
    <w:p w:rsidR="00000000" w:rsidRPr="00A056E1" w:rsidP="00A056E1">
      <w:pPr>
        <w:pStyle w:val="ListBullet"/>
      </w:pPr>
      <w:r w:rsidRPr="00A056E1">
        <w:t>strategies to respond to feedback to improve dance techniques.</w:t>
      </w:r>
    </w:p>
    <w:p w:rsidR="00000000" w:rsidRPr="00A056E1" w:rsidP="00A056E1">
      <w:pPr>
        <w:pStyle w:val="AllowPageBreak"/>
      </w:pPr>
    </w:p>
    <w:p w:rsidR="00000000" w:rsidRPr="00A056E1" w:rsidP="00A056E1">
      <w:pPr>
        <w:pStyle w:val="Heading1"/>
      </w:pPr>
      <w:bookmarkStart w:id="4" w:name="O_1142593"/>
      <w:bookmarkEnd w:id="4"/>
      <w:r w:rsidRPr="00A056E1">
        <w:t>Assessmen</w:t>
      </w:r>
      <w:r w:rsidRPr="00A056E1">
        <w:t>t Conditions</w:t>
      </w:r>
    </w:p>
    <w:p w:rsidR="00000000" w:rsidRPr="00A056E1" w:rsidP="00BA3E73">
      <w:pPr>
        <w:pStyle w:val="BodyText"/>
      </w:pPr>
      <w:r w:rsidRPr="00A056E1">
        <w:t xml:space="preserve">Skills in this unit must be demonstrated in a workplace or simulated environment where the conditions are typical of those in a working environment in this industry. </w:t>
      </w:r>
    </w:p>
    <w:p w:rsidR="00000000" w:rsidRPr="00A056E1" w:rsidP="00BA3E73">
      <w:pPr>
        <w:pStyle w:val="BodyText"/>
      </w:pPr>
      <w:r w:rsidRPr="00A056E1">
        <w:t>This includes access to:</w:t>
      </w:r>
    </w:p>
    <w:p w:rsidR="00000000" w:rsidRPr="00A056E1" w:rsidP="00A056E1">
      <w:pPr>
        <w:pStyle w:val="ListBullet"/>
      </w:pPr>
      <w:r w:rsidRPr="00A056E1">
        <w:t>Aboriginal and/or Torres Strait Islander Elders, c</w:t>
      </w:r>
      <w:r w:rsidRPr="00A056E1">
        <w:t>ustodians and other culturally knowledgeable people authorised by their communities as mentors in performance disciplines</w:t>
      </w:r>
    </w:p>
    <w:p w:rsidR="00000000" w:rsidRPr="00A056E1" w:rsidP="00A056E1">
      <w:pPr>
        <w:pStyle w:val="ListBullet"/>
      </w:pPr>
      <w:r w:rsidRPr="00A056E1">
        <w:t>dance performance areas or spaces, including outdoor locations</w:t>
      </w:r>
    </w:p>
    <w:p w:rsidR="00000000" w:rsidRPr="00A056E1" w:rsidP="00A056E1">
      <w:pPr>
        <w:pStyle w:val="ListBullet"/>
      </w:pPr>
      <w:r w:rsidRPr="00A056E1">
        <w:t>instruments, sets, props, costuming and other equipment required to dem</w:t>
      </w:r>
      <w:r w:rsidRPr="00A056E1">
        <w:t>onstrate the performance evidence</w:t>
      </w:r>
    </w:p>
    <w:p w:rsidR="00000000" w:rsidRPr="00A056E1" w:rsidP="00A056E1">
      <w:pPr>
        <w:pStyle w:val="ListBullet"/>
      </w:pPr>
      <w:r w:rsidRPr="00A056E1">
        <w:t>interaction with others required to demonstrate the performance evidence</w:t>
      </w:r>
    </w:p>
    <w:p w:rsidR="00000000" w:rsidRPr="00A056E1" w:rsidP="00A056E1">
      <w:pPr>
        <w:pStyle w:val="ListBullet"/>
      </w:pPr>
      <w:r w:rsidRPr="00A056E1">
        <w:t>performance opportunities.</w:t>
      </w:r>
    </w:p>
    <w:p w:rsidR="00000000" w:rsidRPr="00A056E1" w:rsidP="00A056E1">
      <w:pPr>
        <w:pStyle w:val="List"/>
      </w:pPr>
    </w:p>
    <w:p w:rsidR="00000000" w:rsidRPr="00A056E1" w:rsidP="00BA3E73">
      <w:pPr>
        <w:pStyle w:val="BodyText"/>
      </w:pPr>
      <w:r w:rsidRPr="00A056E1">
        <w:t>Assessors must ensure that the cultural and intellectual property rights of Aboriginal and/or Torres Strait Islander people are protected.</w:t>
      </w:r>
    </w:p>
    <w:p w:rsidR="00000000" w:rsidRPr="00A056E1" w:rsidP="00BA3E73">
      <w:pPr>
        <w:pStyle w:val="BodyText"/>
      </w:pPr>
      <w:r w:rsidRPr="00A056E1">
        <w:t>Assessors of this unit must satisfy the requirements for assessors in applicable vocational education and training le</w:t>
      </w:r>
      <w:r w:rsidRPr="00A056E1">
        <w:t>gislation, frameworks and/or standards.</w:t>
      </w:r>
    </w:p>
    <w:p w:rsidR="00000000" w:rsidRPr="00A056E1" w:rsidP="00A056E1">
      <w:pPr>
        <w:pStyle w:val="Heading1"/>
      </w:pPr>
      <w:bookmarkStart w:id="5" w:name="O_1142591"/>
      <w:bookmarkEnd w:id="5"/>
      <w:r w:rsidRPr="00A056E1">
        <w:t>Links</w:t>
      </w:r>
    </w:p>
    <w:p w:rsidR="00000000" w:rsidRPr="00A056E1" w:rsidP="00BA3E73">
      <w:pPr>
        <w:pStyle w:val="BodyText"/>
      </w:pPr>
      <w:r w:rsidRPr="00A056E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06C5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056E1" w:rsidP="00A056E1"/>
    <w:sectPr w:rsidSect="00A056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6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6E1" w:rsidRPr="00BA3E73" w:rsidP="00BA3E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6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73" w:rsidP="00A056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3E73" w:rsidP="00A056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A3E73" w:rsidP="00A056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6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6E1" w:rsidRPr="00BA3E73" w:rsidP="00BA3E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6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E73" w:rsidRPr="002D2AF8" w:rsidP="00A056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CUADAN312 Increase depth of Aboriginal and/or Torres Strait Islander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BA3E73" w:rsidP="00A056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66C2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E294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EAAC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6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6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6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6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6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6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6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6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6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6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6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6E1"/>
  </w:style>
  <w:style w:type="character" w:customStyle="1" w:styleId="Heading1Char">
    <w:name w:val="Heading 1 Char"/>
    <w:basedOn w:val="DefaultParagraphFont"/>
    <w:link w:val="Heading1"/>
    <w:rsid w:val="00A056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6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6E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056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56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56E1"/>
    <w:rPr>
      <w:b/>
      <w:spacing w:val="0"/>
    </w:rPr>
  </w:style>
  <w:style w:type="paragraph" w:styleId="ListBullet2">
    <w:name w:val="List Bullet 2"/>
    <w:basedOn w:val="List2"/>
    <w:rsid w:val="00A056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56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6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56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6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6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6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6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6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6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6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6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6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6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6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6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6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6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6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6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6E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056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56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6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6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56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6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6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6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6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6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6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6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6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56E1"/>
    <w:rPr>
      <w:i/>
    </w:rPr>
  </w:style>
  <w:style w:type="paragraph" w:styleId="Caption">
    <w:name w:val="caption"/>
    <w:basedOn w:val="BodyText"/>
    <w:next w:val="Normal"/>
    <w:qFormat/>
    <w:rsid w:val="00A056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6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6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6E1"/>
  </w:style>
  <w:style w:type="paragraph" w:styleId="TableofFigures">
    <w:name w:val="table of figures"/>
    <w:basedOn w:val="Normal"/>
    <w:next w:val="Normal"/>
    <w:semiHidden/>
    <w:rsid w:val="00A056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6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56E1"/>
    <w:rPr>
      <w:rFonts w:ascii="Wingdings" w:hAnsi="Wingdings"/>
    </w:rPr>
  </w:style>
  <w:style w:type="paragraph" w:customStyle="1" w:styleId="TableHeading">
    <w:name w:val="Table Heading"/>
    <w:basedOn w:val="HeadingBase"/>
    <w:rsid w:val="00A056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6E1"/>
    <w:rPr>
      <w:color w:val="0033CC"/>
      <w:u w:val="none"/>
    </w:rPr>
  </w:style>
  <w:style w:type="paragraph" w:customStyle="1" w:styleId="BodyTextRight">
    <w:name w:val="Body Text Right"/>
    <w:basedOn w:val="BodyText"/>
    <w:rsid w:val="00A056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6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6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6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6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6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6E1"/>
    <w:rPr>
      <w:sz w:val="32"/>
    </w:rPr>
  </w:style>
  <w:style w:type="paragraph" w:customStyle="1" w:styleId="HeadingProcedure">
    <w:name w:val="Heading Procedure"/>
    <w:basedOn w:val="HeadingBase"/>
    <w:next w:val="Normal"/>
    <w:rsid w:val="00A056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6E1"/>
    <w:pPr>
      <w:spacing w:before="60" w:after="60"/>
    </w:pPr>
  </w:style>
  <w:style w:type="paragraph" w:styleId="ListContinue">
    <w:name w:val="List Continue"/>
    <w:basedOn w:val="List"/>
    <w:rsid w:val="00A056E1"/>
    <w:pPr>
      <w:ind w:firstLine="0"/>
    </w:pPr>
  </w:style>
  <w:style w:type="paragraph" w:customStyle="1" w:styleId="ListNote">
    <w:name w:val="List Note"/>
    <w:basedOn w:val="List"/>
    <w:rsid w:val="00A056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6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6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6E1"/>
    <w:rPr>
      <w:rFonts w:ascii="Courier New" w:hAnsi="Courier New"/>
    </w:rPr>
  </w:style>
  <w:style w:type="paragraph" w:customStyle="1" w:styleId="NoteBullet">
    <w:name w:val="Note Bullet"/>
    <w:basedOn w:val="Note"/>
    <w:rsid w:val="00A056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6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6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6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6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56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6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6E1"/>
    <w:rPr>
      <w:b/>
      <w:smallCaps/>
    </w:rPr>
  </w:style>
  <w:style w:type="paragraph" w:customStyle="1" w:styleId="TableListNumber">
    <w:name w:val="Table List Number"/>
    <w:basedOn w:val="ListNumber"/>
    <w:rsid w:val="00A056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6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6E1"/>
    <w:pPr>
      <w:numPr>
        <w:numId w:val="9"/>
      </w:numPr>
    </w:pPr>
  </w:style>
  <w:style w:type="paragraph" w:customStyle="1" w:styleId="ListAlpha2">
    <w:name w:val="List Alpha 2"/>
    <w:basedOn w:val="List2"/>
    <w:rsid w:val="00A056E1"/>
    <w:pPr>
      <w:numPr>
        <w:numId w:val="8"/>
      </w:numPr>
    </w:pPr>
  </w:style>
  <w:style w:type="paragraph" w:styleId="List2">
    <w:name w:val="List 2"/>
    <w:basedOn w:val="BodyText"/>
    <w:rsid w:val="00A056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6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6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6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56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56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56E1"/>
    <w:pPr>
      <w:numPr>
        <w:numId w:val="4"/>
      </w:numPr>
    </w:pPr>
  </w:style>
  <w:style w:type="paragraph" w:styleId="ListContinue2">
    <w:name w:val="List Continue 2"/>
    <w:basedOn w:val="List2"/>
    <w:rsid w:val="00A056E1"/>
    <w:pPr>
      <w:ind w:firstLine="0"/>
    </w:pPr>
  </w:style>
  <w:style w:type="paragraph" w:styleId="ListContinue3">
    <w:name w:val="List Continue 3"/>
    <w:basedOn w:val="List3"/>
    <w:rsid w:val="00A056E1"/>
    <w:pPr>
      <w:ind w:left="1021" w:firstLine="0"/>
    </w:pPr>
  </w:style>
  <w:style w:type="paragraph" w:styleId="ListContinue4">
    <w:name w:val="List Continue 4"/>
    <w:basedOn w:val="List4"/>
    <w:rsid w:val="00A056E1"/>
    <w:pPr>
      <w:ind w:firstLine="0"/>
    </w:pPr>
  </w:style>
  <w:style w:type="paragraph" w:styleId="ListContinue5">
    <w:name w:val="List Continue 5"/>
    <w:basedOn w:val="List5"/>
    <w:rsid w:val="00A056E1"/>
    <w:pPr>
      <w:ind w:firstLine="0"/>
    </w:pPr>
  </w:style>
  <w:style w:type="paragraph" w:styleId="ListNumber3">
    <w:name w:val="List Number 3"/>
    <w:basedOn w:val="List3"/>
    <w:rsid w:val="00A056E1"/>
    <w:pPr>
      <w:numPr>
        <w:numId w:val="5"/>
      </w:numPr>
    </w:pPr>
  </w:style>
  <w:style w:type="paragraph" w:styleId="ListNumber4">
    <w:name w:val="List Number 4"/>
    <w:basedOn w:val="List4"/>
    <w:rsid w:val="00A056E1"/>
    <w:pPr>
      <w:numPr>
        <w:numId w:val="6"/>
      </w:numPr>
    </w:pPr>
  </w:style>
  <w:style w:type="paragraph" w:styleId="ListNumber5">
    <w:name w:val="List Number 5"/>
    <w:basedOn w:val="List5"/>
    <w:rsid w:val="00A056E1"/>
    <w:pPr>
      <w:numPr>
        <w:numId w:val="7"/>
      </w:numPr>
    </w:pPr>
  </w:style>
  <w:style w:type="paragraph" w:styleId="BlockText">
    <w:name w:val="Block Text"/>
    <w:basedOn w:val="Normal"/>
    <w:rsid w:val="00A056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6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6E1"/>
    <w:rPr>
      <w:sz w:val="16"/>
      <w:vertAlign w:val="superscript"/>
    </w:rPr>
  </w:style>
  <w:style w:type="character" w:customStyle="1" w:styleId="Symbols">
    <w:name w:val="Symbols"/>
    <w:basedOn w:val="DefaultParagraphFont"/>
    <w:rsid w:val="00A056E1"/>
    <w:rPr>
      <w:rFonts w:ascii="Symbol" w:hAnsi="Symbol"/>
    </w:rPr>
  </w:style>
  <w:style w:type="character" w:customStyle="1" w:styleId="MenuOptions">
    <w:name w:val="Menu Options"/>
    <w:basedOn w:val="DefaultParagraphFont"/>
    <w:rsid w:val="00A056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6E1"/>
    <w:rPr>
      <w:b/>
    </w:rPr>
  </w:style>
  <w:style w:type="character" w:customStyle="1" w:styleId="Underlined">
    <w:name w:val="Underlined"/>
    <w:basedOn w:val="DefaultParagraphFont"/>
    <w:rsid w:val="00A056E1"/>
    <w:rPr>
      <w:u w:val="single"/>
    </w:rPr>
  </w:style>
  <w:style w:type="paragraph" w:customStyle="1" w:styleId="TableBodyTextRight">
    <w:name w:val="Table Body Text Right"/>
    <w:basedOn w:val="TableBodyText"/>
    <w:rsid w:val="00A056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6E1"/>
    <w:rPr>
      <w:sz w:val="18"/>
    </w:rPr>
  </w:style>
  <w:style w:type="paragraph" w:customStyle="1" w:styleId="BodySmallRight">
    <w:name w:val="Body Small Right"/>
    <w:basedOn w:val="BodyTextRight"/>
    <w:rsid w:val="00A056E1"/>
    <w:rPr>
      <w:sz w:val="18"/>
      <w:szCs w:val="18"/>
    </w:rPr>
  </w:style>
  <w:style w:type="paragraph" w:customStyle="1" w:styleId="MarginEdition">
    <w:name w:val="Margin Edition"/>
    <w:basedOn w:val="MarginNote"/>
    <w:rsid w:val="00A056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6E1"/>
    <w:rPr>
      <w:sz w:val="2"/>
      <w:szCs w:val="2"/>
    </w:rPr>
  </w:style>
  <w:style w:type="character" w:customStyle="1" w:styleId="Small">
    <w:name w:val="Small"/>
    <w:basedOn w:val="DefaultParagraphFont"/>
    <w:rsid w:val="00A056E1"/>
    <w:rPr>
      <w:sz w:val="16"/>
    </w:rPr>
  </w:style>
  <w:style w:type="paragraph" w:customStyle="1" w:styleId="WideTable">
    <w:name w:val="Wide Table"/>
    <w:basedOn w:val="Normal"/>
    <w:rsid w:val="00A056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6E1"/>
  </w:style>
  <w:style w:type="paragraph" w:styleId="Quote">
    <w:name w:val="Quote"/>
    <w:basedOn w:val="Heading1"/>
    <w:link w:val="QuoteChar"/>
    <w:qFormat/>
    <w:rsid w:val="00A056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6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6E1"/>
    <w:pPr>
      <w:pageBreakBefore/>
    </w:pPr>
  </w:style>
  <w:style w:type="paragraph" w:customStyle="1" w:styleId="Border">
    <w:name w:val="Border"/>
    <w:basedOn w:val="Normal"/>
    <w:qFormat/>
    <w:rsid w:val="00A056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6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6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6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6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6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6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6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6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6E1"/>
    <w:rPr>
      <w:u w:val="single"/>
    </w:rPr>
  </w:style>
  <w:style w:type="character" w:customStyle="1" w:styleId="BoldandItalics">
    <w:name w:val="Bold and Italics"/>
    <w:qFormat/>
    <w:rsid w:val="00A056E1"/>
    <w:rPr>
      <w:b/>
      <w:i/>
      <w:u w:val="none"/>
    </w:rPr>
  </w:style>
  <w:style w:type="paragraph" w:styleId="BalloonText">
    <w:name w:val="Balloon Text"/>
    <w:basedOn w:val="Normal"/>
    <w:link w:val="BalloonTextChar"/>
    <w:rsid w:val="00A056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6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6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6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6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6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6E1"/>
    <w:pPr>
      <w:spacing w:before="0" w:after="0"/>
    </w:pPr>
  </w:style>
  <w:style w:type="paragraph" w:customStyle="1" w:styleId="BodyTextBold">
    <w:name w:val="Body Text Bold"/>
    <w:basedOn w:val="BodyText"/>
    <w:qFormat/>
    <w:rsid w:val="00A056E1"/>
    <w:rPr>
      <w:b/>
    </w:rPr>
  </w:style>
  <w:style w:type="character" w:styleId="Hyperlink">
    <w:name w:val="Hyperlink"/>
    <w:basedOn w:val="DefaultParagraphFont"/>
    <w:uiPriority w:val="99"/>
    <w:unhideWhenUsed/>
    <w:rsid w:val="00BA3E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3445</Characters>
  <Application>Microsoft Office Word</Application>
  <DocSecurity>0</DocSecurity>
  <Lines>98</Lines>
  <Paragraphs>81</Paragraphs>
  <ScaleCrop>false</ScaleCrop>
  <Company>Author-it Software Corporation Ltd.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CUADAN312 Increase depth of Aboriginal and/or Torres Strait Islander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2022-10-19T13:02:00Z</dcterms:created>
  <dcterms:modified xsi:type="dcterms:W3CDTF">2022-10-19T13:02:00Z</dcterms:modified>
</cp:coreProperties>
</file>