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0BC" w:rsidP="006D7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CUADAN302 Increase depth of Aboriginal and Torres Strait Islander dance technique</w:t>
      </w:r>
      <w:r>
        <w:fldChar w:fldCharType="end"/>
      </w:r>
    </w:p>
    <w:p w:rsidR="006D70BC" w:rsidP="006D70BC">
      <w:pPr>
        <w:pStyle w:val="Version"/>
        <w:sectPr w:rsidSect="00043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309A" w:rsidP="0004309A">
      <w:pPr>
        <w:pStyle w:val="SuperHeading"/>
      </w:pPr>
      <w:r w:rsidRPr="0004309A">
        <w:t>Assessment Requirements for CUADAN302 Increase depth of Aboriginal and Torres Strait Islander dance technique</w:t>
      </w:r>
    </w:p>
    <w:p w:rsidR="00000000" w:rsidRPr="0004309A" w:rsidP="0004309A">
      <w:pPr>
        <w:pStyle w:val="Heading1"/>
      </w:pPr>
      <w:bookmarkStart w:id="1" w:name="O_800746"/>
      <w:bookmarkEnd w:id="1"/>
      <w:r w:rsidRPr="00043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43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09A" w:rsidP="0004309A">
            <w:pPr>
              <w:pStyle w:val="BodyText"/>
            </w:pPr>
            <w:r w:rsidRPr="000430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9A">
            <w:pPr>
              <w:pStyle w:val="BodyText"/>
              <w:rPr>
                <w:lang w:val="en-NZ"/>
              </w:rPr>
            </w:pPr>
            <w:r w:rsidRPr="0004309A">
              <w:rPr>
                <w:rStyle w:val="SpecialBold"/>
              </w:rPr>
              <w:t>Comments</w:t>
            </w:r>
          </w:p>
        </w:tc>
      </w:tr>
      <w:tr w:rsidTr="00043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9A">
            <w:pPr>
              <w:pStyle w:val="BodyText"/>
              <w:rPr>
                <w:lang w:val="en-NZ"/>
              </w:rPr>
            </w:pPr>
            <w:r w:rsidRPr="0004309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9A">
            <w:pPr>
              <w:pStyle w:val="BodyText"/>
              <w:rPr>
                <w:lang w:val="en-NZ"/>
              </w:rPr>
            </w:pPr>
            <w:r w:rsidRPr="0004309A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043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09A">
            <w:pPr>
              <w:pStyle w:val="BodyText"/>
              <w:rPr>
                <w:lang w:val="en-NZ"/>
              </w:rPr>
            </w:pPr>
            <w:r w:rsidRPr="000430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09A" w:rsidP="0004309A">
            <w:pPr>
              <w:pStyle w:val="BodyText"/>
            </w:pPr>
            <w:r w:rsidRPr="0004309A">
              <w:t>This version first r</w:t>
            </w:r>
            <w:r w:rsidRPr="0004309A">
              <w:t>eleased with CUA Creative Arts and Culture Training Package version 1.0.</w:t>
            </w:r>
          </w:p>
        </w:tc>
      </w:tr>
    </w:tbl>
    <w:p w:rsidR="00000000" w:rsidRPr="0004309A" w:rsidP="0004309A">
      <w:pPr>
        <w:pStyle w:val="BodyText"/>
      </w:pPr>
    </w:p>
    <w:p w:rsidR="00000000" w:rsidRPr="0004309A" w:rsidP="0004309A">
      <w:pPr>
        <w:pStyle w:val="AllowPageBreak"/>
      </w:pPr>
    </w:p>
    <w:p w:rsidR="00000000" w:rsidRPr="0004309A" w:rsidP="0004309A">
      <w:pPr>
        <w:pStyle w:val="Heading1"/>
      </w:pPr>
      <w:bookmarkStart w:id="2" w:name="O_800745"/>
      <w:bookmarkEnd w:id="2"/>
      <w:r w:rsidRPr="0004309A">
        <w:t>Performance Evidence</w:t>
      </w:r>
    </w:p>
    <w:p w:rsidR="00000000" w:rsidRPr="0004309A" w:rsidP="006D70BC">
      <w:pPr>
        <w:pStyle w:val="BodyText"/>
      </w:pPr>
      <w:r w:rsidRPr="0004309A">
        <w:t>Evidence of the ability to:</w:t>
      </w:r>
    </w:p>
    <w:p w:rsidR="00000000" w:rsidRPr="0004309A" w:rsidP="0004309A">
      <w:pPr>
        <w:pStyle w:val="ListBullet"/>
      </w:pPr>
      <w:r w:rsidRPr="0004309A">
        <w:t>safely and cooperatively execute basic dance movements appropriate to Indigenous Australian dance forms</w:t>
      </w:r>
    </w:p>
    <w:p w:rsidR="00000000" w:rsidRPr="0004309A" w:rsidP="0004309A">
      <w:pPr>
        <w:pStyle w:val="ListBullet"/>
      </w:pPr>
      <w:r w:rsidRPr="0004309A">
        <w:t>follow Aboriginal and Torres Strait Islander community cultural beliefs and protocols when working with people from different communities</w:t>
      </w:r>
    </w:p>
    <w:p w:rsidR="00000000" w:rsidRPr="0004309A" w:rsidP="0004309A">
      <w:pPr>
        <w:pStyle w:val="ListBullet"/>
      </w:pPr>
      <w:r w:rsidRPr="0004309A">
        <w:t>develop a professional relationship with mentor</w:t>
      </w:r>
    </w:p>
    <w:p w:rsidR="00000000" w:rsidRPr="0004309A" w:rsidP="0004309A">
      <w:pPr>
        <w:pStyle w:val="ListBullet"/>
      </w:pPr>
      <w:r w:rsidRPr="0004309A">
        <w:t>use dance and performance terminology correctly.</w:t>
      </w:r>
    </w:p>
    <w:p w:rsidR="00000000" w:rsidRPr="0004309A" w:rsidP="0004309A">
      <w:pPr>
        <w:pStyle w:val="BodyText"/>
      </w:pPr>
    </w:p>
    <w:p w:rsidR="00000000" w:rsidRPr="0004309A" w:rsidP="006D70BC">
      <w:pPr>
        <w:pStyle w:val="BodyText"/>
      </w:pPr>
      <w:r w:rsidRPr="0004309A">
        <w:t xml:space="preserve">Note: If a specific </w:t>
      </w:r>
      <w:r w:rsidRPr="0004309A">
        <w:t>volume or frequency is not stated, then evidence must be provided for each of the above points at least once.</w:t>
      </w:r>
    </w:p>
    <w:p w:rsidR="00000000" w:rsidRPr="0004309A" w:rsidP="0004309A">
      <w:pPr>
        <w:pStyle w:val="Heading1"/>
      </w:pPr>
      <w:bookmarkStart w:id="3" w:name="O_800744"/>
      <w:bookmarkEnd w:id="3"/>
      <w:r w:rsidRPr="0004309A">
        <w:t>Knowledge Evidence</w:t>
      </w:r>
    </w:p>
    <w:p w:rsidR="00000000" w:rsidRPr="0004309A" w:rsidP="006D70BC">
      <w:pPr>
        <w:pStyle w:val="BodyText"/>
      </w:pPr>
      <w:r w:rsidRPr="0004309A">
        <w:t>To complete the unit requirements the individual must:</w:t>
      </w:r>
    </w:p>
    <w:p w:rsidR="00000000" w:rsidRPr="0004309A" w:rsidP="0004309A">
      <w:pPr>
        <w:pStyle w:val="ListBullet"/>
      </w:pPr>
      <w:r w:rsidRPr="0004309A">
        <w:t>describe how the following express cultural systems:</w:t>
      </w:r>
    </w:p>
    <w:p w:rsidR="00000000" w:rsidRPr="0004309A" w:rsidP="0004309A">
      <w:pPr>
        <w:pStyle w:val="ListBullet2"/>
      </w:pPr>
      <w:r w:rsidRPr="0004309A">
        <w:t>body painting</w:t>
      </w:r>
    </w:p>
    <w:p w:rsidR="00000000" w:rsidRPr="0004309A" w:rsidP="0004309A">
      <w:pPr>
        <w:pStyle w:val="ListBullet2"/>
      </w:pPr>
      <w:r w:rsidRPr="0004309A">
        <w:t>costumes</w:t>
      </w:r>
    </w:p>
    <w:p w:rsidR="00000000" w:rsidRPr="0004309A" w:rsidP="0004309A">
      <w:pPr>
        <w:pStyle w:val="ListBullet2"/>
      </w:pPr>
      <w:r w:rsidRPr="0004309A">
        <w:t>make-up</w:t>
      </w:r>
    </w:p>
    <w:p w:rsidR="00000000" w:rsidRPr="0004309A" w:rsidP="0004309A">
      <w:pPr>
        <w:pStyle w:val="ListBullet2"/>
      </w:pPr>
      <w:r w:rsidRPr="0004309A">
        <w:t>music</w:t>
      </w:r>
    </w:p>
    <w:p w:rsidR="00000000" w:rsidRPr="0004309A" w:rsidP="0004309A">
      <w:pPr>
        <w:pStyle w:val="ListBullet2"/>
      </w:pPr>
      <w:r w:rsidRPr="0004309A">
        <w:t>story telling</w:t>
      </w:r>
    </w:p>
    <w:p w:rsidR="00000000" w:rsidRPr="0004309A" w:rsidP="0004309A">
      <w:pPr>
        <w:pStyle w:val="ListBullet"/>
      </w:pPr>
      <w:r w:rsidRPr="0004309A">
        <w:t>explain traditions of ownership and protocols relating to created work and dance performance in Aboriginal and Torres Strait Islander cultures</w:t>
      </w:r>
    </w:p>
    <w:p w:rsidR="00000000" w:rsidRPr="0004309A" w:rsidP="0004309A">
      <w:pPr>
        <w:pStyle w:val="ListBullet"/>
      </w:pPr>
      <w:r w:rsidRPr="0004309A">
        <w:t>explain h</w:t>
      </w:r>
      <w:r w:rsidRPr="0004309A">
        <w:t>ow the following apply to performing arts in Aboriginal and Torres Strait Islander cultures:</w:t>
      </w:r>
    </w:p>
    <w:p w:rsidR="00000000" w:rsidRPr="0004309A" w:rsidP="0004309A">
      <w:pPr>
        <w:pStyle w:val="ListBullet2"/>
      </w:pPr>
      <w:r w:rsidRPr="0004309A">
        <w:t>choreographic techniques</w:t>
      </w:r>
    </w:p>
    <w:p w:rsidR="00000000" w:rsidRPr="0004309A" w:rsidP="0004309A">
      <w:pPr>
        <w:pStyle w:val="ListBullet2"/>
      </w:pPr>
      <w:r w:rsidRPr="0004309A">
        <w:t>commercialisation of cultural material</w:t>
      </w:r>
    </w:p>
    <w:p w:rsidR="00000000" w:rsidRPr="0004309A" w:rsidP="0004309A">
      <w:pPr>
        <w:pStyle w:val="ListBullet2"/>
      </w:pPr>
      <w:r w:rsidRPr="0004309A">
        <w:t>copyright</w:t>
      </w:r>
    </w:p>
    <w:p w:rsidR="00000000" w:rsidRPr="0004309A" w:rsidP="0004309A">
      <w:pPr>
        <w:pStyle w:val="ListBullet2"/>
      </w:pPr>
      <w:r w:rsidRPr="0004309A">
        <w:t>cultural heritage</w:t>
      </w:r>
    </w:p>
    <w:p w:rsidR="00000000" w:rsidRPr="0004309A" w:rsidP="0004309A">
      <w:pPr>
        <w:pStyle w:val="ListBullet2"/>
      </w:pPr>
      <w:r w:rsidRPr="0004309A">
        <w:t>cultural tourism</w:t>
      </w:r>
    </w:p>
    <w:p w:rsidR="00000000" w:rsidRPr="0004309A" w:rsidP="0004309A">
      <w:pPr>
        <w:pStyle w:val="ListBullet2"/>
      </w:pPr>
      <w:r w:rsidRPr="0004309A">
        <w:t>intellectual property</w:t>
      </w:r>
    </w:p>
    <w:p w:rsidR="00000000" w:rsidRPr="0004309A" w:rsidP="0004309A">
      <w:pPr>
        <w:pStyle w:val="ListBullet2"/>
      </w:pPr>
      <w:r w:rsidRPr="0004309A">
        <w:t>health and safety</w:t>
      </w:r>
    </w:p>
    <w:p w:rsidR="00000000" w:rsidRPr="0004309A" w:rsidP="0004309A">
      <w:pPr>
        <w:pStyle w:val="ListBullet2"/>
      </w:pPr>
      <w:r w:rsidRPr="0004309A">
        <w:t>licensing and</w:t>
      </w:r>
      <w:r w:rsidRPr="0004309A">
        <w:t xml:space="preserve"> accreditation schemes</w:t>
      </w:r>
    </w:p>
    <w:p w:rsidR="00000000" w:rsidRPr="0004309A" w:rsidP="0004309A">
      <w:pPr>
        <w:pStyle w:val="ListBullet2"/>
      </w:pPr>
      <w:r w:rsidRPr="0004309A">
        <w:t>protocols in relation to moral rights</w:t>
      </w:r>
    </w:p>
    <w:p w:rsidR="00000000" w:rsidRPr="0004309A" w:rsidP="0004309A">
      <w:pPr>
        <w:pStyle w:val="ListBullet"/>
      </w:pPr>
      <w:r w:rsidRPr="0004309A">
        <w:t>explain how the following principles relate to Aboriginal and Torres Strait Islander dance movements and techniques:</w:t>
      </w:r>
    </w:p>
    <w:p w:rsidR="00000000" w:rsidRPr="0004309A" w:rsidP="0004309A">
      <w:pPr>
        <w:pStyle w:val="ListBullet2"/>
      </w:pPr>
      <w:r w:rsidRPr="0004309A">
        <w:t>extending</w:t>
      </w:r>
    </w:p>
    <w:p w:rsidR="00000000" w:rsidRPr="0004309A" w:rsidP="0004309A">
      <w:pPr>
        <w:pStyle w:val="ListBullet2"/>
      </w:pPr>
      <w:r w:rsidRPr="0004309A">
        <w:t>folding</w:t>
      </w:r>
    </w:p>
    <w:p w:rsidR="00000000" w:rsidRPr="0004309A" w:rsidP="0004309A">
      <w:pPr>
        <w:pStyle w:val="ListBullet2"/>
      </w:pPr>
      <w:r w:rsidRPr="0004309A">
        <w:t>relationship with gravity</w:t>
      </w:r>
    </w:p>
    <w:p w:rsidR="00000000" w:rsidRPr="0004309A" w:rsidP="0004309A">
      <w:pPr>
        <w:pStyle w:val="ListBullet2"/>
      </w:pPr>
      <w:r w:rsidRPr="0004309A">
        <w:t>rotating</w:t>
      </w:r>
    </w:p>
    <w:p w:rsidR="00000000" w:rsidRPr="0004309A" w:rsidP="0004309A">
      <w:pPr>
        <w:pStyle w:val="ListBullet2"/>
      </w:pPr>
      <w:r w:rsidRPr="0004309A">
        <w:t>shifting weight</w:t>
      </w:r>
    </w:p>
    <w:p w:rsidR="00000000" w:rsidRPr="0004309A" w:rsidP="0004309A">
      <w:pPr>
        <w:pStyle w:val="ListBullet2"/>
      </w:pPr>
      <w:r w:rsidRPr="0004309A">
        <w:t>spatial awareness</w:t>
      </w:r>
    </w:p>
    <w:p w:rsidR="00000000" w:rsidRPr="0004309A" w:rsidP="0004309A">
      <w:pPr>
        <w:pStyle w:val="ListBullet2"/>
      </w:pPr>
      <w:r w:rsidRPr="0004309A">
        <w:t>successional movement</w:t>
      </w:r>
    </w:p>
    <w:p w:rsidR="00000000" w:rsidRPr="0004309A" w:rsidP="0004309A">
      <w:pPr>
        <w:pStyle w:val="ListBullet2"/>
      </w:pPr>
      <w:r w:rsidRPr="0004309A">
        <w:t>use of breath</w:t>
      </w:r>
    </w:p>
    <w:p w:rsidR="00000000" w:rsidRPr="0004309A" w:rsidP="0004309A">
      <w:pPr>
        <w:pStyle w:val="ListBullet"/>
      </w:pPr>
      <w:r w:rsidRPr="0004309A">
        <w:t>explain how the following apply in the context of safe dance practice and injury prevention:</w:t>
      </w:r>
    </w:p>
    <w:p w:rsidR="00000000" w:rsidRPr="0004309A" w:rsidP="0004309A">
      <w:pPr>
        <w:pStyle w:val="ListBullet2"/>
      </w:pPr>
      <w:r w:rsidRPr="0004309A">
        <w:t>articulation of the spine</w:t>
      </w:r>
    </w:p>
    <w:p w:rsidR="00000000" w:rsidRPr="0004309A" w:rsidP="0004309A">
      <w:pPr>
        <w:pStyle w:val="ListBullet2"/>
      </w:pPr>
      <w:r w:rsidRPr="0004309A">
        <w:t>engagement of the feet</w:t>
      </w:r>
    </w:p>
    <w:p w:rsidR="00000000" w:rsidRPr="0004309A" w:rsidP="0004309A">
      <w:pPr>
        <w:pStyle w:val="ListBullet2"/>
      </w:pPr>
      <w:r w:rsidRPr="0004309A">
        <w:t>bases of support, including feet, legs, hands, arms and to</w:t>
      </w:r>
      <w:r w:rsidRPr="0004309A">
        <w:t>rso</w:t>
      </w:r>
    </w:p>
    <w:p w:rsidR="00000000" w:rsidRPr="0004309A" w:rsidP="0004309A">
      <w:pPr>
        <w:pStyle w:val="ListBullet2"/>
      </w:pPr>
      <w:r w:rsidRPr="0004309A">
        <w:t>range of motion of the joints</w:t>
      </w:r>
    </w:p>
    <w:p w:rsidR="00000000" w:rsidRPr="0004309A" w:rsidP="0004309A">
      <w:pPr>
        <w:pStyle w:val="ListBullet2"/>
      </w:pPr>
      <w:r w:rsidRPr="0004309A">
        <w:t>differentiation of the legs and pelvis</w:t>
      </w:r>
    </w:p>
    <w:p w:rsidR="00000000" w:rsidRPr="0004309A" w:rsidP="0004309A">
      <w:pPr>
        <w:pStyle w:val="ListBullet2"/>
      </w:pPr>
      <w:r w:rsidRPr="0004309A">
        <w:t>healthy nutrition and diet</w:t>
      </w:r>
    </w:p>
    <w:p w:rsidR="00000000" w:rsidRPr="0004309A" w:rsidP="0004309A">
      <w:pPr>
        <w:pStyle w:val="ListBullet"/>
      </w:pPr>
      <w:r w:rsidRPr="0004309A">
        <w:t>describe key aspects of the history and role of performing arts in Aboriginal and Torres Strait Islander culture.</w:t>
      </w:r>
    </w:p>
    <w:p w:rsidR="00000000" w:rsidRPr="0004309A" w:rsidP="0004309A">
      <w:pPr>
        <w:pStyle w:val="AllowPageBreak"/>
      </w:pPr>
    </w:p>
    <w:p w:rsidR="00000000" w:rsidRPr="0004309A" w:rsidP="0004309A">
      <w:pPr>
        <w:pStyle w:val="Heading1"/>
      </w:pPr>
      <w:bookmarkStart w:id="4" w:name="O_800743"/>
      <w:bookmarkEnd w:id="4"/>
      <w:r w:rsidRPr="0004309A">
        <w:t>Assessment Conditions</w:t>
      </w:r>
    </w:p>
    <w:p w:rsidR="00000000" w:rsidRPr="0004309A" w:rsidP="006D70BC">
      <w:pPr>
        <w:pStyle w:val="BodyText"/>
      </w:pPr>
      <w:r w:rsidRPr="0004309A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4309A" w:rsidP="0004309A">
      <w:pPr>
        <w:pStyle w:val="ListBullet"/>
      </w:pPr>
      <w:r w:rsidRPr="0004309A">
        <w:t>Aboriginal and Tor</w:t>
      </w:r>
      <w:r w:rsidRPr="0004309A">
        <w:t>res Strait Islander Elders, custodians and other culturally knowledgeable people authorised by their communities to act as mentors in performance disciplines</w:t>
      </w:r>
    </w:p>
    <w:p w:rsidR="00000000" w:rsidRPr="0004309A" w:rsidP="0004309A">
      <w:pPr>
        <w:pStyle w:val="ListBullet"/>
      </w:pPr>
      <w:r w:rsidRPr="0004309A">
        <w:t>appropriate dance performance areas or spaces, including outdoor locations</w:t>
      </w:r>
    </w:p>
    <w:p w:rsidR="00000000" w:rsidRPr="0004309A" w:rsidP="0004309A">
      <w:pPr>
        <w:pStyle w:val="ListBullet"/>
      </w:pPr>
      <w:r w:rsidRPr="0004309A">
        <w:t>relevant instruments, s</w:t>
      </w:r>
      <w:r w:rsidRPr="0004309A">
        <w:t>ets, props, costuming and other equipment</w:t>
      </w:r>
    </w:p>
    <w:p w:rsidR="00000000" w:rsidRPr="0004309A" w:rsidP="0004309A">
      <w:pPr>
        <w:pStyle w:val="ListBullet"/>
      </w:pPr>
      <w:r w:rsidRPr="0004309A">
        <w:t>music, stories, and dance ensembles</w:t>
      </w:r>
    </w:p>
    <w:p w:rsidR="00000000" w:rsidRPr="0004309A" w:rsidP="0004309A">
      <w:pPr>
        <w:pStyle w:val="ListBullet"/>
      </w:pPr>
      <w:r w:rsidRPr="0004309A">
        <w:t>performance opportunities.</w:t>
      </w:r>
    </w:p>
    <w:p w:rsidR="00000000" w:rsidRPr="0004309A" w:rsidP="0004309A">
      <w:pPr>
        <w:pStyle w:val="BodyText"/>
      </w:pPr>
    </w:p>
    <w:p w:rsidR="00000000" w:rsidRPr="0004309A" w:rsidP="006D70BC">
      <w:pPr>
        <w:pStyle w:val="BodyText"/>
      </w:pPr>
      <w:r w:rsidRPr="0004309A">
        <w:t>Assessors must ensure that the cultural and intellectual property rights of Aboriginal and Torres Strait Islander peoples are protected.</w:t>
      </w:r>
    </w:p>
    <w:p w:rsidR="00000000" w:rsidRPr="0004309A" w:rsidP="006D70BC">
      <w:pPr>
        <w:pStyle w:val="BodyText"/>
      </w:pPr>
      <w:r w:rsidRPr="0004309A">
        <w:t>Assessors of</w:t>
      </w:r>
      <w:r w:rsidRPr="0004309A">
        <w:t xml:space="preserve"> this unit must satisfy the requirements for assessors in applicable vocational educational and training legislation, frameworks and/or standards.</w:t>
      </w:r>
    </w:p>
    <w:p w:rsidR="00000000" w:rsidRPr="0004309A" w:rsidP="0004309A">
      <w:pPr>
        <w:pStyle w:val="Heading1"/>
      </w:pPr>
      <w:bookmarkStart w:id="5" w:name="O_800756"/>
      <w:bookmarkEnd w:id="5"/>
      <w:r w:rsidRPr="0004309A">
        <w:t>Links</w:t>
      </w:r>
    </w:p>
    <w:p w:rsidR="00000000" w:rsidRPr="0004309A" w:rsidP="006D70BC">
      <w:pPr>
        <w:pStyle w:val="BodyText"/>
      </w:pPr>
      <w:r w:rsidRPr="0004309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62D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4309A" w:rsidP="0004309A"/>
    <w:sectPr w:rsidSect="000430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9A" w:rsidRPr="006D70BC" w:rsidP="006D7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BC" w:rsidP="00043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70BC" w:rsidP="00043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70BC" w:rsidP="00043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09A" w:rsidRPr="006D70BC" w:rsidP="006D7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BC" w:rsidRPr="002D2AF8" w:rsidP="00043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CUADAN302 Increase depth of Aboriginal and Torres Strait Islander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D70BC" w:rsidP="00043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0E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EC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0CD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09A"/>
  </w:style>
  <w:style w:type="character" w:customStyle="1" w:styleId="Heading1Char">
    <w:name w:val="Heading 1 Char"/>
    <w:basedOn w:val="DefaultParagraphFont"/>
    <w:link w:val="Heading1"/>
    <w:rsid w:val="00043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309A"/>
    <w:rPr>
      <w:b/>
      <w:spacing w:val="0"/>
    </w:rPr>
  </w:style>
  <w:style w:type="paragraph" w:styleId="ListBullet2">
    <w:name w:val="List Bullet 2"/>
    <w:basedOn w:val="List2"/>
    <w:rsid w:val="000430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0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09A"/>
    <w:rPr>
      <w:i/>
    </w:rPr>
  </w:style>
  <w:style w:type="paragraph" w:styleId="Caption">
    <w:name w:val="caption"/>
    <w:basedOn w:val="BodyText"/>
    <w:next w:val="Normal"/>
    <w:qFormat/>
    <w:rsid w:val="00043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09A"/>
  </w:style>
  <w:style w:type="paragraph" w:styleId="TableofFigures">
    <w:name w:val="table of figures"/>
    <w:basedOn w:val="Normal"/>
    <w:next w:val="Normal"/>
    <w:semiHidden/>
    <w:rsid w:val="00043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0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09A"/>
    <w:rPr>
      <w:rFonts w:ascii="Wingdings" w:hAnsi="Wingdings"/>
    </w:rPr>
  </w:style>
  <w:style w:type="paragraph" w:customStyle="1" w:styleId="TableHeading">
    <w:name w:val="Table Heading"/>
    <w:basedOn w:val="HeadingBase"/>
    <w:rsid w:val="00043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09A"/>
    <w:rPr>
      <w:color w:val="0033CC"/>
      <w:u w:val="none"/>
    </w:rPr>
  </w:style>
  <w:style w:type="paragraph" w:customStyle="1" w:styleId="BodyTextRight">
    <w:name w:val="Body Text Right"/>
    <w:basedOn w:val="BodyText"/>
    <w:rsid w:val="00043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0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09A"/>
    <w:rPr>
      <w:sz w:val="32"/>
    </w:rPr>
  </w:style>
  <w:style w:type="paragraph" w:customStyle="1" w:styleId="HeadingProcedure">
    <w:name w:val="Heading Procedure"/>
    <w:basedOn w:val="HeadingBase"/>
    <w:next w:val="Normal"/>
    <w:rsid w:val="00043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09A"/>
    <w:pPr>
      <w:spacing w:before="60" w:after="60"/>
    </w:pPr>
  </w:style>
  <w:style w:type="paragraph" w:styleId="ListContinue">
    <w:name w:val="List Continue"/>
    <w:basedOn w:val="List"/>
    <w:rsid w:val="0004309A"/>
    <w:pPr>
      <w:ind w:firstLine="0"/>
    </w:pPr>
  </w:style>
  <w:style w:type="paragraph" w:customStyle="1" w:styleId="ListNote">
    <w:name w:val="List Note"/>
    <w:basedOn w:val="List"/>
    <w:rsid w:val="00043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09A"/>
    <w:rPr>
      <w:rFonts w:ascii="Courier New" w:hAnsi="Courier New"/>
    </w:rPr>
  </w:style>
  <w:style w:type="paragraph" w:customStyle="1" w:styleId="NoteBullet">
    <w:name w:val="Note Bullet"/>
    <w:basedOn w:val="Note"/>
    <w:rsid w:val="00043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09A"/>
    <w:rPr>
      <w:b/>
      <w:smallCaps/>
    </w:rPr>
  </w:style>
  <w:style w:type="paragraph" w:customStyle="1" w:styleId="TableListNumber">
    <w:name w:val="Table List Number"/>
    <w:basedOn w:val="ListNumber"/>
    <w:rsid w:val="00043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09A"/>
    <w:pPr>
      <w:numPr>
        <w:numId w:val="9"/>
      </w:numPr>
    </w:pPr>
  </w:style>
  <w:style w:type="paragraph" w:customStyle="1" w:styleId="ListAlpha2">
    <w:name w:val="List Alpha 2"/>
    <w:basedOn w:val="List2"/>
    <w:rsid w:val="0004309A"/>
    <w:pPr>
      <w:numPr>
        <w:numId w:val="8"/>
      </w:numPr>
    </w:pPr>
  </w:style>
  <w:style w:type="paragraph" w:styleId="List2">
    <w:name w:val="List 2"/>
    <w:basedOn w:val="BodyText"/>
    <w:rsid w:val="00043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0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09A"/>
    <w:pPr>
      <w:numPr>
        <w:numId w:val="4"/>
      </w:numPr>
    </w:pPr>
  </w:style>
  <w:style w:type="paragraph" w:styleId="ListContinue2">
    <w:name w:val="List Continue 2"/>
    <w:basedOn w:val="List2"/>
    <w:rsid w:val="0004309A"/>
    <w:pPr>
      <w:ind w:firstLine="0"/>
    </w:pPr>
  </w:style>
  <w:style w:type="paragraph" w:styleId="ListContinue3">
    <w:name w:val="List Continue 3"/>
    <w:basedOn w:val="List3"/>
    <w:rsid w:val="0004309A"/>
    <w:pPr>
      <w:ind w:left="1021" w:firstLine="0"/>
    </w:pPr>
  </w:style>
  <w:style w:type="paragraph" w:styleId="ListContinue4">
    <w:name w:val="List Continue 4"/>
    <w:basedOn w:val="List4"/>
    <w:rsid w:val="0004309A"/>
    <w:pPr>
      <w:ind w:firstLine="0"/>
    </w:pPr>
  </w:style>
  <w:style w:type="paragraph" w:styleId="ListContinue5">
    <w:name w:val="List Continue 5"/>
    <w:basedOn w:val="List5"/>
    <w:rsid w:val="0004309A"/>
    <w:pPr>
      <w:ind w:firstLine="0"/>
    </w:pPr>
  </w:style>
  <w:style w:type="paragraph" w:styleId="ListNumber3">
    <w:name w:val="List Number 3"/>
    <w:basedOn w:val="List3"/>
    <w:rsid w:val="0004309A"/>
    <w:pPr>
      <w:numPr>
        <w:numId w:val="5"/>
      </w:numPr>
    </w:pPr>
  </w:style>
  <w:style w:type="paragraph" w:styleId="ListNumber4">
    <w:name w:val="List Number 4"/>
    <w:basedOn w:val="List4"/>
    <w:rsid w:val="0004309A"/>
    <w:pPr>
      <w:numPr>
        <w:numId w:val="6"/>
      </w:numPr>
    </w:pPr>
  </w:style>
  <w:style w:type="paragraph" w:styleId="ListNumber5">
    <w:name w:val="List Number 5"/>
    <w:basedOn w:val="List5"/>
    <w:rsid w:val="0004309A"/>
    <w:pPr>
      <w:numPr>
        <w:numId w:val="7"/>
      </w:numPr>
    </w:pPr>
  </w:style>
  <w:style w:type="paragraph" w:styleId="BlockText">
    <w:name w:val="Block Text"/>
    <w:basedOn w:val="Normal"/>
    <w:rsid w:val="00043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09A"/>
    <w:rPr>
      <w:sz w:val="16"/>
      <w:vertAlign w:val="superscript"/>
    </w:rPr>
  </w:style>
  <w:style w:type="character" w:customStyle="1" w:styleId="Symbols">
    <w:name w:val="Symbols"/>
    <w:basedOn w:val="DefaultParagraphFont"/>
    <w:rsid w:val="0004309A"/>
    <w:rPr>
      <w:rFonts w:ascii="Symbol" w:hAnsi="Symbol"/>
    </w:rPr>
  </w:style>
  <w:style w:type="character" w:customStyle="1" w:styleId="MenuOptions">
    <w:name w:val="Menu Options"/>
    <w:basedOn w:val="DefaultParagraphFont"/>
    <w:rsid w:val="00043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09A"/>
    <w:rPr>
      <w:b/>
    </w:rPr>
  </w:style>
  <w:style w:type="character" w:customStyle="1" w:styleId="Underlined">
    <w:name w:val="Underlined"/>
    <w:basedOn w:val="DefaultParagraphFont"/>
    <w:rsid w:val="0004309A"/>
    <w:rPr>
      <w:u w:val="single"/>
    </w:rPr>
  </w:style>
  <w:style w:type="paragraph" w:customStyle="1" w:styleId="TableBodyTextRight">
    <w:name w:val="Table Body Text Right"/>
    <w:basedOn w:val="TableBodyText"/>
    <w:rsid w:val="00043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09A"/>
    <w:rPr>
      <w:sz w:val="18"/>
    </w:rPr>
  </w:style>
  <w:style w:type="paragraph" w:customStyle="1" w:styleId="BodySmallRight">
    <w:name w:val="Body Small Right"/>
    <w:basedOn w:val="BodyTextRight"/>
    <w:rsid w:val="0004309A"/>
    <w:rPr>
      <w:sz w:val="18"/>
      <w:szCs w:val="18"/>
    </w:rPr>
  </w:style>
  <w:style w:type="paragraph" w:customStyle="1" w:styleId="MarginEdition">
    <w:name w:val="Margin Edition"/>
    <w:basedOn w:val="MarginNote"/>
    <w:rsid w:val="00043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09A"/>
    <w:rPr>
      <w:sz w:val="2"/>
      <w:szCs w:val="2"/>
    </w:rPr>
  </w:style>
  <w:style w:type="character" w:customStyle="1" w:styleId="Small">
    <w:name w:val="Small"/>
    <w:basedOn w:val="DefaultParagraphFont"/>
    <w:rsid w:val="0004309A"/>
    <w:rPr>
      <w:sz w:val="16"/>
    </w:rPr>
  </w:style>
  <w:style w:type="paragraph" w:customStyle="1" w:styleId="WideTable">
    <w:name w:val="Wide Table"/>
    <w:basedOn w:val="Normal"/>
    <w:rsid w:val="00043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09A"/>
  </w:style>
  <w:style w:type="paragraph" w:styleId="Quote">
    <w:name w:val="Quote"/>
    <w:basedOn w:val="Heading1"/>
    <w:link w:val="QuoteChar"/>
    <w:qFormat/>
    <w:rsid w:val="00043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09A"/>
    <w:pPr>
      <w:pageBreakBefore/>
    </w:pPr>
  </w:style>
  <w:style w:type="paragraph" w:customStyle="1" w:styleId="Border">
    <w:name w:val="Border"/>
    <w:basedOn w:val="Normal"/>
    <w:qFormat/>
    <w:rsid w:val="00043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09A"/>
    <w:rPr>
      <w:u w:val="single"/>
    </w:rPr>
  </w:style>
  <w:style w:type="character" w:customStyle="1" w:styleId="BoldandItalics">
    <w:name w:val="Bold and Italics"/>
    <w:qFormat/>
    <w:rsid w:val="0004309A"/>
    <w:rPr>
      <w:b/>
      <w:i/>
      <w:u w:val="none"/>
    </w:rPr>
  </w:style>
  <w:style w:type="paragraph" w:styleId="BalloonText">
    <w:name w:val="Balloon Text"/>
    <w:basedOn w:val="Normal"/>
    <w:link w:val="BalloonTextChar"/>
    <w:rsid w:val="0004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09A"/>
    <w:pPr>
      <w:spacing w:before="0" w:after="0"/>
    </w:pPr>
  </w:style>
  <w:style w:type="paragraph" w:customStyle="1" w:styleId="BodyTextBold">
    <w:name w:val="Body Text Bold"/>
    <w:basedOn w:val="BodyText"/>
    <w:qFormat/>
    <w:rsid w:val="0004309A"/>
    <w:rPr>
      <w:b/>
    </w:rPr>
  </w:style>
  <w:style w:type="character" w:styleId="Hyperlink">
    <w:name w:val="Hyperlink"/>
    <w:basedOn w:val="DefaultParagraphFont"/>
    <w:uiPriority w:val="99"/>
    <w:unhideWhenUsed/>
    <w:rsid w:val="006D7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3223</Characters>
  <Application>Microsoft Office Word</Application>
  <DocSecurity>0</DocSecurity>
  <Lines>103</Lines>
  <Paragraphs>75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CUADAN302 Increase depth of Aboriginal and Torres Strait Islander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2019-02-21T12:45:00Z</dcterms:created>
  <dcterms:modified xsi:type="dcterms:W3CDTF">2019-02-21T12:45:00Z</dcterms:modified>
</cp:coreProperties>
</file>