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4FB" w:rsidP="00124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CUAATS513 Work effectively with Aboriginal and/or Torres Strait Islander cultural artists and communities</w:t>
      </w:r>
      <w:r>
        <w:fldChar w:fldCharType="end"/>
      </w:r>
    </w:p>
    <w:p w:rsidR="001244FB" w:rsidP="001244FB">
      <w:pPr>
        <w:pStyle w:val="Version"/>
        <w:sectPr w:rsidSect="00870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C24" w:rsidP="00870C24">
      <w:pPr>
        <w:pStyle w:val="SuperHeading"/>
      </w:pPr>
      <w:r w:rsidRPr="00870C24">
        <w:t>Assessment Requirements for CUAATS513 Work effectively with Aboriginal and/or Torres Strait Islander cultural artists and communities</w:t>
      </w:r>
    </w:p>
    <w:p w:rsidR="00000000" w:rsidRPr="00870C24" w:rsidP="00870C24">
      <w:pPr>
        <w:pStyle w:val="Heading1"/>
      </w:pPr>
      <w:bookmarkStart w:id="1" w:name="O_1164236"/>
      <w:bookmarkEnd w:id="1"/>
      <w:r w:rsidRPr="00870C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70C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24" w:rsidP="00870C24">
            <w:pPr>
              <w:pStyle w:val="BodyText"/>
            </w:pPr>
            <w:r w:rsidRPr="00870C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24">
            <w:pPr>
              <w:pStyle w:val="BodyText"/>
              <w:rPr>
                <w:lang w:val="en-NZ"/>
              </w:rPr>
            </w:pPr>
            <w:r w:rsidRPr="00870C24">
              <w:rPr>
                <w:rStyle w:val="SpecialBold"/>
              </w:rPr>
              <w:t>Comments</w:t>
            </w:r>
          </w:p>
        </w:tc>
      </w:tr>
      <w:tr w:rsidTr="00870C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24">
            <w:pPr>
              <w:pStyle w:val="BodyText"/>
              <w:rPr>
                <w:lang w:val="en-NZ"/>
              </w:rPr>
            </w:pPr>
            <w:r w:rsidRPr="00870C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24" w:rsidP="00870C24">
            <w:pPr>
              <w:pStyle w:val="BodyText"/>
            </w:pPr>
            <w:r w:rsidRPr="00870C24">
              <w:t>This version first released with CUA Creative Arts and Culture Training Package Version 5.0.</w:t>
            </w:r>
          </w:p>
        </w:tc>
      </w:tr>
    </w:tbl>
    <w:p w:rsidR="00000000" w:rsidRPr="00870C24" w:rsidP="00870C24">
      <w:pPr>
        <w:pStyle w:val="BodyText"/>
      </w:pPr>
    </w:p>
    <w:p w:rsidR="00000000" w:rsidRPr="00870C24" w:rsidP="00870C24">
      <w:pPr>
        <w:pStyle w:val="AllowPageBreak"/>
      </w:pPr>
    </w:p>
    <w:p w:rsidR="00000000" w:rsidRPr="00870C24" w:rsidP="00870C24">
      <w:pPr>
        <w:pStyle w:val="Heading1"/>
      </w:pPr>
      <w:bookmarkStart w:id="2" w:name="O_1164239"/>
      <w:bookmarkEnd w:id="2"/>
      <w:r w:rsidRPr="00870C24">
        <w:t>Performance Evidence</w:t>
      </w:r>
    </w:p>
    <w:p w:rsidR="00000000" w:rsidRPr="00870C24" w:rsidP="001244FB">
      <w:pPr>
        <w:pStyle w:val="BodyText"/>
      </w:pPr>
      <w:r w:rsidRPr="00870C24">
        <w:t>The candidate must demonstrate the ability to complete the tasks outlined in the elements, performance criteria and found</w:t>
      </w:r>
      <w:r w:rsidRPr="00870C24">
        <w:t>ation skills of this unit, including evidence of the ability to:</w:t>
      </w:r>
    </w:p>
    <w:p w:rsidR="00000000" w:rsidRPr="00870C24" w:rsidP="00870C24">
      <w:pPr>
        <w:pStyle w:val="ListBullet"/>
      </w:pPr>
      <w:r w:rsidRPr="00870C24">
        <w:t>develop at least two professional partnerships with Aboriginal and/or Torres Strait Islander artists or communities.</w:t>
      </w:r>
    </w:p>
    <w:p w:rsidR="00000000" w:rsidRPr="00870C24" w:rsidP="00870C24">
      <w:pPr>
        <w:pStyle w:val="List"/>
      </w:pPr>
    </w:p>
    <w:p w:rsidR="00000000" w:rsidRPr="00870C24" w:rsidP="001244FB">
      <w:pPr>
        <w:pStyle w:val="BodyText"/>
      </w:pPr>
      <w:r w:rsidRPr="00870C24">
        <w:t>In the course of the above, the candidate must:</w:t>
      </w:r>
    </w:p>
    <w:p w:rsidR="00000000" w:rsidRPr="00870C24" w:rsidP="00870C24">
      <w:pPr>
        <w:pStyle w:val="ListBullet"/>
      </w:pPr>
      <w:r w:rsidRPr="00870C24">
        <w:t xml:space="preserve">consult with artists, their families or communities, and other required stakeholders using required cultural protocols </w:t>
      </w:r>
    </w:p>
    <w:p w:rsidR="00000000" w:rsidRPr="00870C24" w:rsidP="00870C24">
      <w:pPr>
        <w:pStyle w:val="ListBullet"/>
      </w:pPr>
      <w:r w:rsidRPr="00870C24">
        <w:t xml:space="preserve">evaluate work practices that support Aboriginal and/or Torres Strait Islander artists </w:t>
      </w:r>
    </w:p>
    <w:p w:rsidR="00000000" w:rsidRPr="00870C24" w:rsidP="00870C24">
      <w:pPr>
        <w:pStyle w:val="ListBullet"/>
      </w:pPr>
      <w:r w:rsidRPr="00870C24">
        <w:t>follow legal and ethical work practices when cond</w:t>
      </w:r>
      <w:r w:rsidRPr="00870C24">
        <w:t>ucting work practices</w:t>
      </w:r>
    </w:p>
    <w:p w:rsidR="00000000" w:rsidRPr="00870C24" w:rsidP="00870C24">
      <w:pPr>
        <w:pStyle w:val="ListBullet"/>
      </w:pPr>
      <w:r w:rsidRPr="00870C24">
        <w:t xml:space="preserve">record organisational strategies to build and maintain partnerships with Aboriginal and/or Torres Strait artists and their communities. </w:t>
      </w:r>
    </w:p>
    <w:p w:rsidR="00000000" w:rsidRPr="00870C24" w:rsidP="00870C24">
      <w:pPr>
        <w:pStyle w:val="AllowPageBreak"/>
      </w:pPr>
    </w:p>
    <w:p w:rsidR="00000000" w:rsidRPr="00870C24" w:rsidP="00870C24">
      <w:pPr>
        <w:pStyle w:val="Heading1"/>
      </w:pPr>
      <w:bookmarkStart w:id="3" w:name="O_1164238"/>
      <w:bookmarkEnd w:id="3"/>
      <w:r w:rsidRPr="00870C24">
        <w:t>Knowledge Evidence</w:t>
      </w:r>
    </w:p>
    <w:p w:rsidR="00000000" w:rsidRPr="00870C24" w:rsidP="001244FB">
      <w:pPr>
        <w:pStyle w:val="BodyText"/>
      </w:pPr>
      <w:r w:rsidRPr="00870C24">
        <w:t>The candidate must be able to demonstrate knowledge to comp</w:t>
      </w:r>
      <w:r w:rsidRPr="00870C24">
        <w:t>lete the tasks outlined in the elements, performance criteria and foundation skills of this unit, including knowledge of:</w:t>
      </w:r>
    </w:p>
    <w:p w:rsidR="00000000" w:rsidRPr="00870C24" w:rsidP="00870C24">
      <w:pPr>
        <w:pStyle w:val="ListBullet"/>
      </w:pPr>
      <w:r w:rsidRPr="00870C24">
        <w:t>past and present historical, cultural and social events and issues that impact Aboriginal and/or Torres Strait Islander peoples</w:t>
      </w:r>
    </w:p>
    <w:p w:rsidR="00000000" w:rsidRPr="00870C24" w:rsidP="00870C24">
      <w:pPr>
        <w:pStyle w:val="ListBullet"/>
      </w:pPr>
      <w:r w:rsidRPr="00870C24">
        <w:t>sourc</w:t>
      </w:r>
      <w:r w:rsidRPr="00870C24">
        <w:t>es of information required for local, regional, national and global indigenous cultural arts industry</w:t>
      </w:r>
    </w:p>
    <w:p w:rsidR="00000000" w:rsidRPr="00870C24" w:rsidP="00870C24">
      <w:pPr>
        <w:pStyle w:val="ListBullet"/>
      </w:pPr>
      <w:r w:rsidRPr="00870C24">
        <w:t>factors impacting urban, regional, rural and remote Aboriginal and/or Torres Strait Islander artists and their communities</w:t>
      </w:r>
    </w:p>
    <w:p w:rsidR="00000000" w:rsidRPr="00870C24" w:rsidP="00870C24">
      <w:pPr>
        <w:pStyle w:val="ListBullet"/>
      </w:pPr>
      <w:r w:rsidRPr="00870C24">
        <w:t xml:space="preserve">communication and consultation </w:t>
      </w:r>
      <w:r w:rsidRPr="00870C24">
        <w:t>strategies required for working with Aboriginal and/or Torres Strait Islander artists and their communities</w:t>
      </w:r>
    </w:p>
    <w:p w:rsidR="00000000" w:rsidRPr="00870C24" w:rsidP="00870C24">
      <w:pPr>
        <w:pStyle w:val="ListBullet"/>
      </w:pPr>
      <w:r w:rsidRPr="00870C24">
        <w:t>features and cultural significance of diverse Aboriginal and/or Torres Strait Islander cultural arts practices</w:t>
      </w:r>
    </w:p>
    <w:p w:rsidR="00000000" w:rsidRPr="00870C24" w:rsidP="00870C24">
      <w:pPr>
        <w:pStyle w:val="ListBullet"/>
      </w:pPr>
      <w:r w:rsidRPr="00870C24">
        <w:t>meaning of the following terms:</w:t>
      </w:r>
    </w:p>
    <w:p w:rsidR="00000000" w:rsidRPr="00870C24" w:rsidP="00870C24">
      <w:pPr>
        <w:pStyle w:val="ListBullet2"/>
      </w:pPr>
      <w:r w:rsidRPr="00870C24">
        <w:t>comm</w:t>
      </w:r>
      <w:r w:rsidRPr="00870C24">
        <w:t>unity control</w:t>
      </w:r>
    </w:p>
    <w:p w:rsidR="00000000" w:rsidRPr="00870C24" w:rsidP="00870C24">
      <w:pPr>
        <w:pStyle w:val="ListBullet2"/>
      </w:pPr>
      <w:r w:rsidRPr="00870C24">
        <w:t>self-determination</w:t>
      </w:r>
    </w:p>
    <w:p w:rsidR="00000000" w:rsidRPr="00870C24" w:rsidP="00870C24">
      <w:pPr>
        <w:pStyle w:val="ListBullet2"/>
      </w:pPr>
      <w:r w:rsidRPr="00870C24">
        <w:t>cultural safety</w:t>
      </w:r>
    </w:p>
    <w:p w:rsidR="00000000" w:rsidRPr="00870C24" w:rsidP="00870C24">
      <w:pPr>
        <w:pStyle w:val="ListBullet"/>
      </w:pPr>
      <w:r w:rsidRPr="00870C24">
        <w:t>role and local availability of language interpreters and cultural brokers</w:t>
      </w:r>
    </w:p>
    <w:p w:rsidR="00000000" w:rsidRPr="00870C24" w:rsidP="00870C24">
      <w:pPr>
        <w:pStyle w:val="ListBullet"/>
      </w:pPr>
      <w:r w:rsidRPr="00870C24">
        <w:t>fair and ethical work practices supporting Aboriginal and/or Torres Strait Islander artists and their communities, including key principles and protocols for using indigenous cultural material</w:t>
      </w:r>
    </w:p>
    <w:p w:rsidR="00000000" w:rsidRPr="00870C24" w:rsidP="00870C24">
      <w:pPr>
        <w:pStyle w:val="ListBullet"/>
      </w:pPr>
      <w:r w:rsidRPr="00870C24">
        <w:t>characteristics of dishonest, misleading or deceptive conduct r</w:t>
      </w:r>
      <w:r w:rsidRPr="00870C24">
        <w:t>elated to Aboriginal and/or Torres Strait Islander artists and their communities</w:t>
      </w:r>
    </w:p>
    <w:p w:rsidR="00000000" w:rsidRPr="00870C24" w:rsidP="00870C24">
      <w:pPr>
        <w:pStyle w:val="ListBullet"/>
      </w:pPr>
      <w:r w:rsidRPr="00870C24">
        <w:t>copyright, moral rights and intellectual property issues with reference to Aboriginal and/or Torres Strait Islander artwork</w:t>
      </w:r>
    </w:p>
    <w:p w:rsidR="00000000" w:rsidRPr="00870C24" w:rsidP="00870C24">
      <w:pPr>
        <w:pStyle w:val="ListBullet"/>
      </w:pPr>
      <w:r w:rsidRPr="00870C24">
        <w:t>key legislation, codes and/or regulations that affe</w:t>
      </w:r>
      <w:r w:rsidRPr="00870C24">
        <w:t>ct artists’ rights.</w:t>
      </w:r>
    </w:p>
    <w:p w:rsidR="00000000" w:rsidRPr="00870C24" w:rsidP="00870C24">
      <w:pPr>
        <w:pStyle w:val="AllowPageBreak"/>
      </w:pPr>
    </w:p>
    <w:p w:rsidR="00000000" w:rsidRPr="00870C24" w:rsidP="00870C24">
      <w:pPr>
        <w:pStyle w:val="Heading1"/>
      </w:pPr>
      <w:bookmarkStart w:id="4" w:name="O_1164237"/>
      <w:bookmarkEnd w:id="4"/>
      <w:r w:rsidRPr="00870C24">
        <w:t>Assessment Conditions</w:t>
      </w:r>
    </w:p>
    <w:p w:rsidR="00000000" w:rsidRPr="00870C24" w:rsidP="001244FB">
      <w:pPr>
        <w:pStyle w:val="BodyText"/>
      </w:pPr>
      <w:r w:rsidRPr="00870C24">
        <w:t xml:space="preserve">Skills in this unit must be demonstrated in a workplace or simulated environment where the conditions are typical of those in a working environment in this industry. </w:t>
      </w:r>
    </w:p>
    <w:p w:rsidR="00000000" w:rsidRPr="00870C24" w:rsidP="001244FB">
      <w:pPr>
        <w:pStyle w:val="BodyText"/>
      </w:pPr>
      <w:r w:rsidRPr="00870C24">
        <w:t>This includes access to:</w:t>
      </w:r>
    </w:p>
    <w:p w:rsidR="00000000" w:rsidRPr="00870C24" w:rsidP="00870C24">
      <w:pPr>
        <w:pStyle w:val="ListBullet"/>
      </w:pPr>
      <w:r w:rsidRPr="00870C24">
        <w:t>Ab</w:t>
      </w:r>
      <w:r w:rsidRPr="00870C24">
        <w:t>original and/or Torres Strait Islander cultural art, artists or their communities</w:t>
      </w:r>
    </w:p>
    <w:p w:rsidR="00000000" w:rsidRPr="00870C24" w:rsidP="00870C24">
      <w:pPr>
        <w:pStyle w:val="ListBullet"/>
      </w:pPr>
      <w:r w:rsidRPr="00870C24">
        <w:t>cultural requirements, processes and techniques suited to language and literacy capacity of learners and work being performed.</w:t>
      </w:r>
    </w:p>
    <w:p w:rsidR="00000000" w:rsidRPr="00870C24" w:rsidP="00870C24">
      <w:pPr>
        <w:pStyle w:val="List"/>
      </w:pPr>
    </w:p>
    <w:p w:rsidR="00000000" w:rsidRPr="00870C24" w:rsidP="001244FB">
      <w:pPr>
        <w:pStyle w:val="BodyText"/>
      </w:pPr>
      <w:r w:rsidRPr="00870C24">
        <w:t>Assessors of this unit must satisfy the requirements for assessors in applicable vocational educational and training legislation, frameworks and/or standards.</w:t>
      </w:r>
    </w:p>
    <w:p w:rsidR="00000000" w:rsidRPr="00870C24" w:rsidP="00870C24">
      <w:pPr>
        <w:pStyle w:val="Heading1"/>
      </w:pPr>
      <w:bookmarkStart w:id="5" w:name="O_1164235"/>
      <w:bookmarkEnd w:id="5"/>
      <w:r w:rsidRPr="00870C24">
        <w:t>Links</w:t>
      </w:r>
    </w:p>
    <w:p w:rsidR="00000000" w:rsidRPr="00870C24" w:rsidP="001244FB">
      <w:pPr>
        <w:pStyle w:val="BodyText"/>
      </w:pPr>
      <w:r w:rsidRPr="00870C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65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0C24" w:rsidP="00870C24"/>
    <w:sectPr w:rsidSect="00870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24" w:rsidRPr="001244FB" w:rsidP="00124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FB" w:rsidP="00870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44FB" w:rsidP="00870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4FB" w:rsidP="00870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C24" w:rsidRPr="001244FB" w:rsidP="00124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FB" w:rsidRPr="002D2AF8" w:rsidP="00870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CUAATS513 Work effectively with Aboriginal and/or Torres Strait Islander cultural artists and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244FB" w:rsidP="00870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48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63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6F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C24"/>
  </w:style>
  <w:style w:type="character" w:customStyle="1" w:styleId="Heading1Char">
    <w:name w:val="Heading 1 Char"/>
    <w:basedOn w:val="DefaultParagraphFont"/>
    <w:link w:val="Heading1"/>
    <w:rsid w:val="00870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C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0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0C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C24"/>
    <w:rPr>
      <w:b/>
      <w:spacing w:val="0"/>
    </w:rPr>
  </w:style>
  <w:style w:type="paragraph" w:styleId="ListBullet2">
    <w:name w:val="List Bullet 2"/>
    <w:basedOn w:val="List2"/>
    <w:rsid w:val="00870C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C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0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C24"/>
    <w:rPr>
      <w:i/>
    </w:rPr>
  </w:style>
  <w:style w:type="paragraph" w:styleId="Caption">
    <w:name w:val="caption"/>
    <w:basedOn w:val="BodyText"/>
    <w:next w:val="Normal"/>
    <w:qFormat/>
    <w:rsid w:val="00870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C24"/>
  </w:style>
  <w:style w:type="paragraph" w:styleId="TableofFigures">
    <w:name w:val="table of figures"/>
    <w:basedOn w:val="Normal"/>
    <w:next w:val="Normal"/>
    <w:semiHidden/>
    <w:rsid w:val="00870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C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C24"/>
    <w:rPr>
      <w:rFonts w:ascii="Wingdings" w:hAnsi="Wingdings"/>
    </w:rPr>
  </w:style>
  <w:style w:type="paragraph" w:customStyle="1" w:styleId="TableHeading">
    <w:name w:val="Table Heading"/>
    <w:basedOn w:val="HeadingBase"/>
    <w:rsid w:val="00870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C24"/>
    <w:rPr>
      <w:color w:val="0033CC"/>
      <w:u w:val="none"/>
    </w:rPr>
  </w:style>
  <w:style w:type="paragraph" w:customStyle="1" w:styleId="BodyTextRight">
    <w:name w:val="Body Text Right"/>
    <w:basedOn w:val="BodyText"/>
    <w:rsid w:val="00870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C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C24"/>
    <w:rPr>
      <w:sz w:val="32"/>
    </w:rPr>
  </w:style>
  <w:style w:type="paragraph" w:customStyle="1" w:styleId="HeadingProcedure">
    <w:name w:val="Heading Procedure"/>
    <w:basedOn w:val="HeadingBase"/>
    <w:next w:val="Normal"/>
    <w:rsid w:val="00870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C24"/>
    <w:pPr>
      <w:spacing w:before="60" w:after="60"/>
    </w:pPr>
  </w:style>
  <w:style w:type="paragraph" w:styleId="ListContinue">
    <w:name w:val="List Continue"/>
    <w:basedOn w:val="List"/>
    <w:rsid w:val="00870C24"/>
    <w:pPr>
      <w:ind w:firstLine="0"/>
    </w:pPr>
  </w:style>
  <w:style w:type="paragraph" w:customStyle="1" w:styleId="ListNote">
    <w:name w:val="List Note"/>
    <w:basedOn w:val="List"/>
    <w:rsid w:val="00870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C24"/>
    <w:rPr>
      <w:rFonts w:ascii="Courier New" w:hAnsi="Courier New"/>
    </w:rPr>
  </w:style>
  <w:style w:type="paragraph" w:customStyle="1" w:styleId="NoteBullet">
    <w:name w:val="Note Bullet"/>
    <w:basedOn w:val="Note"/>
    <w:rsid w:val="00870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C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C24"/>
    <w:rPr>
      <w:b/>
      <w:smallCaps/>
    </w:rPr>
  </w:style>
  <w:style w:type="paragraph" w:customStyle="1" w:styleId="TableListNumber">
    <w:name w:val="Table List Number"/>
    <w:basedOn w:val="ListNumber"/>
    <w:rsid w:val="00870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C24"/>
    <w:pPr>
      <w:numPr>
        <w:numId w:val="9"/>
      </w:numPr>
    </w:pPr>
  </w:style>
  <w:style w:type="paragraph" w:customStyle="1" w:styleId="ListAlpha2">
    <w:name w:val="List Alpha 2"/>
    <w:basedOn w:val="List2"/>
    <w:rsid w:val="00870C24"/>
    <w:pPr>
      <w:numPr>
        <w:numId w:val="8"/>
      </w:numPr>
    </w:pPr>
  </w:style>
  <w:style w:type="paragraph" w:styleId="List2">
    <w:name w:val="List 2"/>
    <w:basedOn w:val="BodyText"/>
    <w:rsid w:val="00870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C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C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C24"/>
    <w:pPr>
      <w:numPr>
        <w:numId w:val="4"/>
      </w:numPr>
    </w:pPr>
  </w:style>
  <w:style w:type="paragraph" w:styleId="ListContinue2">
    <w:name w:val="List Continue 2"/>
    <w:basedOn w:val="List2"/>
    <w:rsid w:val="00870C24"/>
    <w:pPr>
      <w:ind w:firstLine="0"/>
    </w:pPr>
  </w:style>
  <w:style w:type="paragraph" w:styleId="ListContinue3">
    <w:name w:val="List Continue 3"/>
    <w:basedOn w:val="List3"/>
    <w:rsid w:val="00870C24"/>
    <w:pPr>
      <w:ind w:left="1021" w:firstLine="0"/>
    </w:pPr>
  </w:style>
  <w:style w:type="paragraph" w:styleId="ListContinue4">
    <w:name w:val="List Continue 4"/>
    <w:basedOn w:val="List4"/>
    <w:rsid w:val="00870C24"/>
    <w:pPr>
      <w:ind w:firstLine="0"/>
    </w:pPr>
  </w:style>
  <w:style w:type="paragraph" w:styleId="ListContinue5">
    <w:name w:val="List Continue 5"/>
    <w:basedOn w:val="List5"/>
    <w:rsid w:val="00870C24"/>
    <w:pPr>
      <w:ind w:firstLine="0"/>
    </w:pPr>
  </w:style>
  <w:style w:type="paragraph" w:styleId="ListNumber3">
    <w:name w:val="List Number 3"/>
    <w:basedOn w:val="List3"/>
    <w:rsid w:val="00870C24"/>
    <w:pPr>
      <w:numPr>
        <w:numId w:val="5"/>
      </w:numPr>
    </w:pPr>
  </w:style>
  <w:style w:type="paragraph" w:styleId="ListNumber4">
    <w:name w:val="List Number 4"/>
    <w:basedOn w:val="List4"/>
    <w:rsid w:val="00870C24"/>
    <w:pPr>
      <w:numPr>
        <w:numId w:val="6"/>
      </w:numPr>
    </w:pPr>
  </w:style>
  <w:style w:type="paragraph" w:styleId="ListNumber5">
    <w:name w:val="List Number 5"/>
    <w:basedOn w:val="List5"/>
    <w:rsid w:val="00870C24"/>
    <w:pPr>
      <w:numPr>
        <w:numId w:val="7"/>
      </w:numPr>
    </w:pPr>
  </w:style>
  <w:style w:type="paragraph" w:styleId="BlockText">
    <w:name w:val="Block Text"/>
    <w:basedOn w:val="Normal"/>
    <w:rsid w:val="00870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C24"/>
    <w:rPr>
      <w:sz w:val="16"/>
      <w:vertAlign w:val="superscript"/>
    </w:rPr>
  </w:style>
  <w:style w:type="character" w:customStyle="1" w:styleId="Symbols">
    <w:name w:val="Symbols"/>
    <w:basedOn w:val="DefaultParagraphFont"/>
    <w:rsid w:val="00870C24"/>
    <w:rPr>
      <w:rFonts w:ascii="Symbol" w:hAnsi="Symbol"/>
    </w:rPr>
  </w:style>
  <w:style w:type="character" w:customStyle="1" w:styleId="MenuOptions">
    <w:name w:val="Menu Options"/>
    <w:basedOn w:val="DefaultParagraphFont"/>
    <w:rsid w:val="00870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C24"/>
    <w:rPr>
      <w:b/>
    </w:rPr>
  </w:style>
  <w:style w:type="character" w:customStyle="1" w:styleId="Underlined">
    <w:name w:val="Underlined"/>
    <w:basedOn w:val="DefaultParagraphFont"/>
    <w:rsid w:val="00870C24"/>
    <w:rPr>
      <w:u w:val="single"/>
    </w:rPr>
  </w:style>
  <w:style w:type="paragraph" w:customStyle="1" w:styleId="TableBodyTextRight">
    <w:name w:val="Table Body Text Right"/>
    <w:basedOn w:val="TableBodyText"/>
    <w:rsid w:val="00870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C24"/>
    <w:rPr>
      <w:sz w:val="18"/>
    </w:rPr>
  </w:style>
  <w:style w:type="paragraph" w:customStyle="1" w:styleId="BodySmallRight">
    <w:name w:val="Body Small Right"/>
    <w:basedOn w:val="BodyTextRight"/>
    <w:rsid w:val="00870C24"/>
    <w:rPr>
      <w:sz w:val="18"/>
      <w:szCs w:val="18"/>
    </w:rPr>
  </w:style>
  <w:style w:type="paragraph" w:customStyle="1" w:styleId="MarginEdition">
    <w:name w:val="Margin Edition"/>
    <w:basedOn w:val="MarginNote"/>
    <w:rsid w:val="00870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C24"/>
    <w:rPr>
      <w:sz w:val="2"/>
      <w:szCs w:val="2"/>
    </w:rPr>
  </w:style>
  <w:style w:type="character" w:customStyle="1" w:styleId="Small">
    <w:name w:val="Small"/>
    <w:basedOn w:val="DefaultParagraphFont"/>
    <w:rsid w:val="00870C24"/>
    <w:rPr>
      <w:sz w:val="16"/>
    </w:rPr>
  </w:style>
  <w:style w:type="paragraph" w:customStyle="1" w:styleId="WideTable">
    <w:name w:val="Wide Table"/>
    <w:basedOn w:val="Normal"/>
    <w:rsid w:val="00870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C24"/>
  </w:style>
  <w:style w:type="paragraph" w:styleId="Quote">
    <w:name w:val="Quote"/>
    <w:basedOn w:val="Heading1"/>
    <w:link w:val="QuoteChar"/>
    <w:qFormat/>
    <w:rsid w:val="00870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C24"/>
    <w:pPr>
      <w:pageBreakBefore/>
    </w:pPr>
  </w:style>
  <w:style w:type="paragraph" w:customStyle="1" w:styleId="Border">
    <w:name w:val="Border"/>
    <w:basedOn w:val="Normal"/>
    <w:qFormat/>
    <w:rsid w:val="00870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C24"/>
    <w:rPr>
      <w:u w:val="single"/>
    </w:rPr>
  </w:style>
  <w:style w:type="character" w:customStyle="1" w:styleId="BoldandItalics">
    <w:name w:val="Bold and Italics"/>
    <w:qFormat/>
    <w:rsid w:val="00870C24"/>
    <w:rPr>
      <w:b/>
      <w:i/>
      <w:u w:val="none"/>
    </w:rPr>
  </w:style>
  <w:style w:type="paragraph" w:styleId="BalloonText">
    <w:name w:val="Balloon Text"/>
    <w:basedOn w:val="Normal"/>
    <w:link w:val="BalloonTextChar"/>
    <w:rsid w:val="00870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C24"/>
    <w:pPr>
      <w:spacing w:before="0" w:after="0"/>
    </w:pPr>
  </w:style>
  <w:style w:type="paragraph" w:customStyle="1" w:styleId="BodyTextBold">
    <w:name w:val="Body Text Bold"/>
    <w:basedOn w:val="BodyText"/>
    <w:qFormat/>
    <w:rsid w:val="00870C24"/>
    <w:rPr>
      <w:b/>
    </w:rPr>
  </w:style>
  <w:style w:type="character" w:styleId="Hyperlink">
    <w:name w:val="Hyperlink"/>
    <w:basedOn w:val="DefaultParagraphFont"/>
    <w:uiPriority w:val="99"/>
    <w:unhideWhenUsed/>
    <w:rsid w:val="00124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3149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CUAATS513 Work effectively with Aboriginal and/or Torres Strait Islander cultural artists and communities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