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88C" w:rsidP="005C08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CUAATS503 Work effectively with Aboriginal and Torres Strait Islander visual artists and their communities</w:t>
      </w:r>
      <w:r>
        <w:fldChar w:fldCharType="end"/>
      </w:r>
    </w:p>
    <w:p w:rsidR="005C088C" w:rsidP="005C088C">
      <w:pPr>
        <w:pStyle w:val="Version"/>
        <w:sectPr w:rsidSect="002C7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C6F" w:rsidP="002C7C6F">
      <w:pPr>
        <w:pStyle w:val="SuperHeading"/>
      </w:pPr>
      <w:r w:rsidRPr="002C7C6F">
        <w:t>CUAATS503 Work effectively with Aboriginal and Torres Strait Islander visual artists and their communities</w:t>
      </w:r>
    </w:p>
    <w:p w:rsidR="00000000" w:rsidRPr="002C7C6F" w:rsidP="002C7C6F">
      <w:pPr>
        <w:pStyle w:val="Heading1"/>
      </w:pPr>
      <w:bookmarkStart w:id="1" w:name="O_788581"/>
      <w:bookmarkEnd w:id="1"/>
      <w:r w:rsidRPr="002C7C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rPr>
                <w:rStyle w:val="SpecialBold"/>
              </w:rPr>
              <w:t>Comments</w:t>
            </w:r>
          </w:p>
        </w:tc>
      </w:tr>
      <w:tr w:rsidTr="002C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t>This version first released with CUA Creative Arts and Culture Training Package version 2.0.</w:t>
            </w:r>
          </w:p>
        </w:tc>
      </w:tr>
    </w:tbl>
    <w:p w:rsidR="00000000" w:rsidRPr="002C7C6F" w:rsidP="002C7C6F">
      <w:pPr>
        <w:pStyle w:val="BodyText"/>
      </w:pPr>
    </w:p>
    <w:p w:rsidR="00000000" w:rsidRPr="002C7C6F" w:rsidP="002C7C6F">
      <w:pPr>
        <w:pStyle w:val="AllowPageBreak"/>
      </w:pPr>
    </w:p>
    <w:p w:rsidR="00000000" w:rsidRPr="002C7C6F" w:rsidP="002C7C6F">
      <w:pPr>
        <w:pStyle w:val="Heading1"/>
      </w:pPr>
      <w:bookmarkStart w:id="2" w:name="O_788582"/>
      <w:bookmarkEnd w:id="2"/>
      <w:r w:rsidRPr="002C7C6F">
        <w:t>Application</w:t>
      </w:r>
    </w:p>
    <w:p w:rsidR="00000000" w:rsidRPr="002C7C6F" w:rsidP="005C088C">
      <w:pPr>
        <w:pStyle w:val="BodyText"/>
      </w:pPr>
      <w:r w:rsidRPr="002C7C6F">
        <w:t>This unit describes the performance outcomes, skills and knowledge required to build working relationships with Aboriginal and/or To</w:t>
      </w:r>
      <w:r w:rsidRPr="002C7C6F">
        <w:t>rres Strait Islander artists and their communities in a culturally appropriate manner.</w:t>
      </w:r>
    </w:p>
    <w:p w:rsidR="00000000" w:rsidRPr="002C7C6F" w:rsidP="005C088C">
      <w:pPr>
        <w:pStyle w:val="BodyText"/>
      </w:pPr>
      <w:r w:rsidRPr="002C7C6F">
        <w:t>It applies to individuals who work as practitioners, administrators or managers in the Aboriginal and Torres Strait Islander visual arts industry, the arts industry gen</w:t>
      </w:r>
      <w:r w:rsidRPr="002C7C6F">
        <w:t>erally, or other associated industries. Individuals could be working in urban, regional, rural or remote settings. The work environment could involve interactions with artists and their communities in contexts such as cultural/arts centres and cooperatives</w:t>
      </w:r>
      <w:r w:rsidRPr="002C7C6F">
        <w:t>, commercial and public galleries, museums, retail outlets, community projects, exhibitions, events and festivals.</w:t>
      </w:r>
    </w:p>
    <w:p w:rsidR="00000000" w:rsidRPr="002C7C6F" w:rsidP="005C088C">
      <w:pPr>
        <w:pStyle w:val="BodyText"/>
      </w:pPr>
      <w:r w:rsidRPr="002C7C6F">
        <w:t>This unit reflects the diversity of Aboriginal and Torres Strait Islander cultures and visual arts practices. It emphasises the importance o</w:t>
      </w:r>
      <w:r w:rsidRPr="002C7C6F">
        <w:t>f Aboriginal and Torres Strait Islander peoples controlling their own cultural heritage and identity.</w:t>
      </w:r>
    </w:p>
    <w:p w:rsidR="00000000" w:rsidRPr="002C7C6F" w:rsidP="005C088C">
      <w:pPr>
        <w:pStyle w:val="BodyText"/>
      </w:pPr>
      <w:r w:rsidRPr="002C7C6F">
        <w:t>No licensing, legislative or certification requirements apply to this unit at the time of publication.</w:t>
      </w:r>
    </w:p>
    <w:p w:rsidR="00000000" w:rsidRPr="002C7C6F" w:rsidP="002C7C6F">
      <w:pPr>
        <w:pStyle w:val="Heading1"/>
      </w:pPr>
      <w:bookmarkStart w:id="3" w:name="O_788585"/>
      <w:bookmarkEnd w:id="3"/>
      <w:r w:rsidRPr="002C7C6F">
        <w:t>Unit Sector</w:t>
      </w:r>
    </w:p>
    <w:p w:rsidR="00000000" w:rsidRPr="002C7C6F" w:rsidP="005C088C">
      <w:pPr>
        <w:pStyle w:val="BodyText"/>
      </w:pPr>
      <w:r w:rsidRPr="002C7C6F">
        <w:t>Aboriginal and Torres</w:t>
      </w:r>
      <w:r w:rsidRPr="002C7C6F">
        <w:t xml:space="preserve"> Strait Islander visual arts</w:t>
      </w:r>
    </w:p>
    <w:p w:rsidR="00000000" w:rsidRPr="002C7C6F" w:rsidP="002C7C6F">
      <w:pPr>
        <w:pStyle w:val="Heading1"/>
      </w:pPr>
      <w:bookmarkStart w:id="4" w:name="O_788586"/>
      <w:bookmarkEnd w:id="4"/>
      <w:r w:rsidRPr="002C7C6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7C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rPr>
                <w:rStyle w:val="SpecialBold"/>
              </w:rPr>
              <w:t>PERFORMANCE CRITERIA</w:t>
            </w:r>
          </w:p>
        </w:tc>
      </w:tr>
      <w:tr w:rsidTr="002C7C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rPr>
                <w:rStyle w:val="Emphasis"/>
              </w:rPr>
              <w:t xml:space="preserve">Elements describe the </w:t>
            </w:r>
            <w:r w:rsidRPr="002C7C6F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rPr>
                <w:rStyle w:val="Emphasis"/>
              </w:rPr>
              <w:t xml:space="preserve">Performance criteria describe the performance needed to </w:t>
            </w:r>
            <w:r w:rsidRPr="002C7C6F">
              <w:rPr>
                <w:rStyle w:val="Emphasis"/>
              </w:rPr>
              <w:t>demonstrate achievement of the element.</w:t>
            </w:r>
          </w:p>
        </w:tc>
      </w:tr>
      <w:tr w:rsidTr="002C7C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1. Determine impacts of Aboriginal and Torres Strait Islander history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t>1.1 Discuss historical and contemporary events and issues and their impacts on Aboriginal and Torres Strait Islander peoples</w:t>
            </w:r>
          </w:p>
          <w:p w:rsidR="00000000" w:rsidRPr="002C7C6F" w:rsidP="002C7C6F">
            <w:pPr>
              <w:pStyle w:val="BodyText"/>
            </w:pPr>
            <w:r w:rsidRPr="002C7C6F">
              <w:t>1.2 Identify factors that continue to impact on urban, region</w:t>
            </w:r>
            <w:r w:rsidRPr="002C7C6F">
              <w:t>al, rural and remote Aboriginal and Torres Strait Islander artists and their communities</w:t>
            </w:r>
          </w:p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1.3 Analyse how identified factors impact on professional practice issues</w:t>
            </w:r>
          </w:p>
        </w:tc>
      </w:tr>
      <w:tr w:rsidTr="002C7C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2. Develop knowledge of cultural practices and artists’ rights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t>2.1 Use sources of information to extend knowledge of cultural protocols related to local Aboriginal and Torres Strait Islander communities</w:t>
            </w:r>
          </w:p>
          <w:p w:rsidR="00000000" w:rsidRPr="002C7C6F" w:rsidP="002C7C6F">
            <w:pPr>
              <w:pStyle w:val="BodyText"/>
            </w:pPr>
            <w:r w:rsidRPr="002C7C6F">
              <w:t>2.2 Expand knowledge of the diversity of Aboriginal and Torres Strait Islander visual arts practices and how they re</w:t>
            </w:r>
            <w:r w:rsidRPr="002C7C6F">
              <w:t>late to culture</w:t>
            </w:r>
          </w:p>
          <w:p w:rsidR="00000000" w:rsidRPr="002C7C6F" w:rsidP="002C7C6F">
            <w:pPr>
              <w:pStyle w:val="BodyText"/>
            </w:pPr>
            <w:r w:rsidRPr="002C7C6F">
              <w:t>2.3 Evaluate work practices to ensure they are culturally safe and support artists’ rights</w:t>
            </w:r>
          </w:p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2.4 Identify potential dishonest, misleading or deceptive conduct related to Aboriginal and Torres Strait Islander visual artists and their communiti</w:t>
            </w:r>
            <w:r w:rsidRPr="002C7C6F">
              <w:t>es</w:t>
            </w:r>
          </w:p>
        </w:tc>
      </w:tr>
      <w:tr w:rsidTr="002C7C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3. Communicate effectively with artists and their communities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t>3.1 Recognise potential communication issues related to working with Aboriginal and/or Torres Strait Islander artists and their communities</w:t>
            </w:r>
          </w:p>
          <w:p w:rsidR="00000000" w:rsidRPr="002C7C6F" w:rsidP="002C7C6F">
            <w:pPr>
              <w:pStyle w:val="BodyText"/>
            </w:pPr>
            <w:r w:rsidRPr="002C7C6F">
              <w:t>3.2 Plan and document communication strategies tha</w:t>
            </w:r>
            <w:r w:rsidRPr="002C7C6F">
              <w:t xml:space="preserve">t integrate cultural protocols, involving stakeholders internal and external to the community </w:t>
            </w:r>
          </w:p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3.3 Engage the services of language interpreters, colleagues and/or cultural brokers to ensure fair and ethical work practices</w:t>
            </w:r>
          </w:p>
        </w:tc>
      </w:tr>
      <w:tr w:rsidTr="002C7C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4. Build and maintain partnership</w:t>
            </w:r>
            <w:r w:rsidRPr="002C7C6F">
              <w:t>s with artists and their communities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t>4.1 Identify key issues that influence professional partnerships with Aboriginal and Torres Strait Islander artists and their communities</w:t>
            </w:r>
          </w:p>
          <w:p w:rsidR="00000000" w:rsidRPr="002C7C6F" w:rsidP="002C7C6F">
            <w:pPr>
              <w:pStyle w:val="BodyText"/>
            </w:pPr>
            <w:r w:rsidRPr="002C7C6F">
              <w:t>4.2 Promote work practices that are based on mutual respect, inclusivity and self</w:t>
            </w:r>
            <w:r w:rsidRPr="002C7C6F">
              <w:t>-determination</w:t>
            </w:r>
          </w:p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4.3 Record effective strategies that foster true partnerships with Aboriginal and Torres Strait Islander artists and their communities</w:t>
            </w:r>
          </w:p>
        </w:tc>
      </w:tr>
      <w:tr w:rsidTr="002C7C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5. Represent artists and their communities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t xml:space="preserve">5.1 Seek permission and advice to work with artists and their </w:t>
            </w:r>
            <w:r w:rsidRPr="002C7C6F">
              <w:t>artwork according to cultural protocols</w:t>
            </w:r>
          </w:p>
          <w:p w:rsidR="00000000" w:rsidRPr="002C7C6F" w:rsidP="002C7C6F">
            <w:pPr>
              <w:pStyle w:val="BodyText"/>
            </w:pPr>
            <w:r w:rsidRPr="002C7C6F">
              <w:t>5.2 Consult with Aboriginal and/or Torres Strait Islander artists and their communities to determine culturally appropriate ways to promote, exhibit and display artwork</w:t>
            </w:r>
          </w:p>
          <w:p w:rsidR="00000000" w:rsidRPr="002C7C6F" w:rsidP="002C7C6F">
            <w:pPr>
              <w:pStyle w:val="BodyText"/>
            </w:pPr>
            <w:r w:rsidRPr="002C7C6F">
              <w:t>5.3 Address potential barriers to fair and ethi</w:t>
            </w:r>
            <w:r w:rsidRPr="002C7C6F">
              <w:t>cal representation and Aboriginal and Torres Strait Islander control of cultural heritage</w:t>
            </w:r>
          </w:p>
        </w:tc>
      </w:tr>
    </w:tbl>
    <w:p w:rsidR="00000000" w:rsidRPr="002C7C6F" w:rsidP="002C7C6F">
      <w:pPr>
        <w:pStyle w:val="BodyText"/>
      </w:pPr>
    </w:p>
    <w:p w:rsidR="00000000" w:rsidRPr="002C7C6F" w:rsidP="002C7C6F">
      <w:pPr>
        <w:pStyle w:val="AllowPageBreak"/>
      </w:pPr>
    </w:p>
    <w:p w:rsidR="00000000" w:rsidRPr="002C7C6F" w:rsidP="002C7C6F">
      <w:pPr>
        <w:pStyle w:val="Heading1"/>
      </w:pPr>
      <w:bookmarkStart w:id="5" w:name="O_788587"/>
      <w:bookmarkEnd w:id="5"/>
      <w:r w:rsidRPr="002C7C6F">
        <w:t>Foundation Skills</w:t>
      </w:r>
    </w:p>
    <w:p w:rsidR="00000000" w:rsidRPr="005C088C" w:rsidP="005C088C">
      <w:pPr>
        <w:pStyle w:val="BodyText"/>
        <w:rPr>
          <w:i/>
        </w:rPr>
      </w:pPr>
      <w:r w:rsidRPr="005C088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C7C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>Performance</w:t>
            </w:r>
          </w:p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rPr>
                <w:rStyle w:val="SpecialBold"/>
              </w:rPr>
              <w:t>Description</w:t>
            </w:r>
          </w:p>
        </w:tc>
      </w:tr>
      <w:tr w:rsidTr="002C7C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ListBullet"/>
              <w:rPr>
                <w:lang w:val="en-NZ"/>
              </w:rPr>
            </w:pPr>
            <w:r w:rsidRPr="002C7C6F">
              <w:t>Extends knowledge of visual arts prac</w:t>
            </w:r>
            <w:r w:rsidRPr="002C7C6F">
              <w:t>tices and cultural protocols using a range of sources of information</w:t>
            </w:r>
          </w:p>
        </w:tc>
      </w:tr>
      <w:tr w:rsidTr="002C7C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1.1, 2.1, 5.1, 5.2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ListBullet"/>
            </w:pPr>
            <w:r w:rsidRPr="002C7C6F">
              <w:t>Presents complex information and directs discussions to seek the views and opinions of others by listening and questioning in a culturally appropri</w:t>
            </w:r>
            <w:r w:rsidRPr="002C7C6F">
              <w:t>ate way</w:t>
            </w:r>
          </w:p>
          <w:p w:rsidR="00000000" w:rsidP="002C7C6F">
            <w:pPr>
              <w:pStyle w:val="ListBullet"/>
              <w:rPr>
                <w:lang w:val="en-NZ"/>
              </w:rPr>
            </w:pPr>
            <w:r w:rsidRPr="002C7C6F">
              <w:t>Displays a depth of understanding in a range of contexts related to the industry</w:t>
            </w:r>
          </w:p>
        </w:tc>
      </w:tr>
      <w:tr w:rsidTr="002C7C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ListBullet"/>
              <w:rPr>
                <w:lang w:val="en-NZ"/>
              </w:rPr>
            </w:pPr>
            <w:r w:rsidRPr="002C7C6F">
              <w:t>Evaluates complex text to gather information on cultural protocols and visual arts practices</w:t>
            </w:r>
          </w:p>
        </w:tc>
      </w:tr>
      <w:tr w:rsidTr="002C7C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3.2, 4.3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ListBullet"/>
              <w:rPr>
                <w:lang w:val="en-NZ"/>
              </w:rPr>
            </w:pPr>
            <w:r w:rsidRPr="002C7C6F">
              <w:t xml:space="preserve">Documents complex text related to summarising in-depth knowledge and work practices </w:t>
            </w:r>
          </w:p>
        </w:tc>
      </w:tr>
      <w:tr w:rsidTr="002C7C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1.1, 1.2, 1.3, 2.1, 2.2, 3.3, 5.1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ListBullet"/>
            </w:pPr>
            <w:r w:rsidRPr="002C7C6F">
              <w:t>Uses formal and informal opportunities to develop knowledge and insight and reflects on professional practic</w:t>
            </w:r>
            <w:r w:rsidRPr="002C7C6F">
              <w:t>e</w:t>
            </w:r>
          </w:p>
          <w:p w:rsidR="00000000" w:rsidP="002C7C6F">
            <w:pPr>
              <w:pStyle w:val="ListBullet"/>
              <w:rPr>
                <w:lang w:val="en-NZ"/>
              </w:rPr>
            </w:pPr>
            <w:r w:rsidRPr="002C7C6F">
              <w:t>Understands legal rights, responsibilities and cultural protocols applicable across work contexts</w:t>
            </w:r>
          </w:p>
        </w:tc>
      </w:tr>
      <w:tr w:rsidTr="002C7C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3.1, 3.2, 3.3, 4.1, 4.2, 4.3, 5.1, 5.2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ListBullet"/>
            </w:pPr>
            <w:r w:rsidRPr="002C7C6F">
              <w:t xml:space="preserve">Recognises and applies the protocols governing what to communicate, with whom and </w:t>
            </w:r>
            <w:r w:rsidRPr="002C7C6F">
              <w:t>how in a range of work contexts</w:t>
            </w:r>
          </w:p>
          <w:p w:rsidR="00000000" w:rsidRPr="002C7C6F" w:rsidP="002C7C6F">
            <w:pPr>
              <w:pStyle w:val="ListBullet"/>
            </w:pPr>
            <w:r w:rsidRPr="002C7C6F">
              <w:t>Recognises the importance of taking audience, purpose and contextual factors into account</w:t>
            </w:r>
          </w:p>
          <w:p w:rsidR="00000000" w:rsidRPr="002C7C6F" w:rsidP="002C7C6F">
            <w:pPr>
              <w:pStyle w:val="ListBullet"/>
            </w:pPr>
            <w:r w:rsidRPr="002C7C6F">
              <w:t>Recognises the importance of building rapport and collaborates to achieve joint outcomes</w:t>
            </w:r>
          </w:p>
          <w:p w:rsidR="00000000" w:rsidRPr="002C7C6F" w:rsidP="002C7C6F">
            <w:pPr>
              <w:pStyle w:val="ListBullet"/>
            </w:pPr>
            <w:r w:rsidRPr="002C7C6F">
              <w:t>Promotes better understanding of different va</w:t>
            </w:r>
            <w:r w:rsidRPr="002C7C6F">
              <w:t>lues and beliefs</w:t>
            </w:r>
          </w:p>
          <w:p w:rsidR="00000000" w:rsidP="002C7C6F">
            <w:pPr>
              <w:pStyle w:val="ListBullet"/>
              <w:rPr>
                <w:lang w:val="en-NZ"/>
              </w:rPr>
            </w:pPr>
            <w:r w:rsidRPr="002C7C6F">
              <w:t>Reflects on behaviours that contribute to conflict</w:t>
            </w:r>
          </w:p>
        </w:tc>
      </w:tr>
      <w:tr w:rsidTr="002C7C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1.3, 2.4, 3.1, 3.2, 3.3, 4.1, 4.2, 4.3, 5.1, 5.2, 5.3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ListBullet"/>
            </w:pPr>
            <w:r w:rsidRPr="002C7C6F">
              <w:t>Uses increasing understanding of context to identify relevant information, risks and alternative strategies</w:t>
            </w:r>
          </w:p>
        </w:tc>
      </w:tr>
    </w:tbl>
    <w:p w:rsidR="00000000" w:rsidRPr="002C7C6F" w:rsidP="002C7C6F">
      <w:pPr>
        <w:pStyle w:val="BodyText"/>
      </w:pPr>
    </w:p>
    <w:p w:rsidR="00000000" w:rsidRPr="002C7C6F" w:rsidP="002C7C6F">
      <w:pPr>
        <w:pStyle w:val="AllowPageBreak"/>
      </w:pPr>
    </w:p>
    <w:p w:rsidR="00000000" w:rsidRPr="002C7C6F" w:rsidP="002C7C6F">
      <w:pPr>
        <w:pStyle w:val="Heading1"/>
      </w:pPr>
      <w:bookmarkStart w:id="6" w:name="O_788589"/>
      <w:bookmarkEnd w:id="6"/>
      <w:r w:rsidRPr="002C7C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C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 xml:space="preserve">Code and title </w:t>
            </w:r>
          </w:p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>Code and title</w:t>
            </w:r>
          </w:p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rPr>
                <w:rStyle w:val="SpecialBold"/>
              </w:rPr>
              <w:t>Equivalence status</w:t>
            </w:r>
          </w:p>
        </w:tc>
      </w:tr>
      <w:tr w:rsidTr="002C7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CUAATS503 Work effectively with Aboriginal and Torres Strait Islander visual artists and their communities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CUVATS503 Work effectively with Aboriginal and Torres Strait Islander visual artists and their communities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C6F">
            <w:pPr>
              <w:pStyle w:val="BodyText"/>
              <w:rPr>
                <w:lang w:val="en-NZ"/>
              </w:rPr>
            </w:pPr>
            <w:r w:rsidRPr="002C7C6F">
              <w:t>Code updated to reflect change of training package name. Minor edits to wording of assessment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C6F" w:rsidP="002C7C6F">
            <w:pPr>
              <w:pStyle w:val="BodyText"/>
            </w:pPr>
            <w:r w:rsidRPr="002C7C6F">
              <w:t>Equivalent unit</w:t>
            </w:r>
          </w:p>
        </w:tc>
      </w:tr>
    </w:tbl>
    <w:p w:rsidR="00000000" w:rsidRPr="002C7C6F" w:rsidP="002C7C6F">
      <w:pPr>
        <w:pStyle w:val="BodyText"/>
      </w:pPr>
    </w:p>
    <w:p w:rsidR="00000000" w:rsidRPr="002C7C6F" w:rsidP="002C7C6F">
      <w:pPr>
        <w:pStyle w:val="AllowPageBreak"/>
      </w:pPr>
    </w:p>
    <w:p w:rsidR="00000000" w:rsidRPr="002C7C6F" w:rsidP="002C7C6F">
      <w:pPr>
        <w:pStyle w:val="Heading1"/>
      </w:pPr>
      <w:bookmarkStart w:id="7" w:name="O_788596"/>
      <w:bookmarkEnd w:id="7"/>
      <w:r w:rsidRPr="002C7C6F">
        <w:t>Links</w:t>
      </w:r>
    </w:p>
    <w:p w:rsidR="00000000" w:rsidRPr="002C7C6F" w:rsidP="005C088C">
      <w:pPr>
        <w:pStyle w:val="BodyText"/>
      </w:pPr>
      <w:r w:rsidRPr="002C7C6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B439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C7C6F" w:rsidP="002C7C6F"/>
    <w:sectPr w:rsidSect="002C7C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F" w:rsidRPr="005C088C" w:rsidP="005C08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8C" w:rsidP="002C7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88C" w:rsidP="002C7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088C" w:rsidP="002C7C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C6F" w:rsidRPr="005C088C" w:rsidP="005C08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C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8C" w:rsidRPr="002D2AF8" w:rsidP="002C7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CUAATS503 Work effectively with Aboriginal and Torres Strait Islander visual artists and their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C088C" w:rsidP="002C7C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D41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DAAB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C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C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C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C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C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C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C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C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C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C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C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C6F"/>
  </w:style>
  <w:style w:type="character" w:customStyle="1" w:styleId="Heading1Char">
    <w:name w:val="Heading 1 Char"/>
    <w:basedOn w:val="DefaultParagraphFont"/>
    <w:link w:val="Heading1"/>
    <w:rsid w:val="002C7C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C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C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C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C6F"/>
    <w:rPr>
      <w:b/>
      <w:spacing w:val="0"/>
    </w:rPr>
  </w:style>
  <w:style w:type="character" w:styleId="Emphasis">
    <w:name w:val="Emphasis"/>
    <w:basedOn w:val="DefaultParagraphFont"/>
    <w:qFormat/>
    <w:rsid w:val="002C7C6F"/>
    <w:rPr>
      <w:i/>
    </w:rPr>
  </w:style>
  <w:style w:type="paragraph" w:customStyle="1" w:styleId="SuperHeading">
    <w:name w:val="SuperHeading"/>
    <w:basedOn w:val="Normal"/>
    <w:rsid w:val="002C7C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C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C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C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C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C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C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C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C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C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C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C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C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C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C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C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C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C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C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C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C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C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C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C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C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C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C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C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C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C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C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7C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C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C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C6F"/>
  </w:style>
  <w:style w:type="paragraph" w:styleId="TableofFigures">
    <w:name w:val="table of figures"/>
    <w:basedOn w:val="Normal"/>
    <w:next w:val="Normal"/>
    <w:semiHidden/>
    <w:rsid w:val="002C7C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C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7C6F"/>
    <w:rPr>
      <w:rFonts w:ascii="Wingdings" w:hAnsi="Wingdings"/>
    </w:rPr>
  </w:style>
  <w:style w:type="paragraph" w:customStyle="1" w:styleId="TableHeading">
    <w:name w:val="Table Heading"/>
    <w:basedOn w:val="HeadingBase"/>
    <w:rsid w:val="002C7C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C6F"/>
    <w:rPr>
      <w:color w:val="0033CC"/>
      <w:u w:val="none"/>
    </w:rPr>
  </w:style>
  <w:style w:type="paragraph" w:customStyle="1" w:styleId="BodyTextRight">
    <w:name w:val="Body Text Right"/>
    <w:basedOn w:val="BodyText"/>
    <w:rsid w:val="002C7C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C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C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C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C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C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C6F"/>
    <w:rPr>
      <w:sz w:val="32"/>
    </w:rPr>
  </w:style>
  <w:style w:type="paragraph" w:customStyle="1" w:styleId="HeadingProcedure">
    <w:name w:val="Heading Procedure"/>
    <w:basedOn w:val="HeadingBase"/>
    <w:next w:val="Normal"/>
    <w:rsid w:val="002C7C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C6F"/>
    <w:pPr>
      <w:spacing w:before="60" w:after="60"/>
    </w:pPr>
  </w:style>
  <w:style w:type="paragraph" w:styleId="ListContinue">
    <w:name w:val="List Continue"/>
    <w:basedOn w:val="List"/>
    <w:rsid w:val="002C7C6F"/>
    <w:pPr>
      <w:ind w:firstLine="0"/>
    </w:pPr>
  </w:style>
  <w:style w:type="paragraph" w:customStyle="1" w:styleId="ListNote">
    <w:name w:val="List Note"/>
    <w:basedOn w:val="List"/>
    <w:rsid w:val="002C7C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C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C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C6F"/>
    <w:rPr>
      <w:rFonts w:ascii="Courier New" w:hAnsi="Courier New"/>
    </w:rPr>
  </w:style>
  <w:style w:type="paragraph" w:customStyle="1" w:styleId="NoteBullet">
    <w:name w:val="Note Bullet"/>
    <w:basedOn w:val="Note"/>
    <w:rsid w:val="002C7C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C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C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C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C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7C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C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C6F"/>
    <w:rPr>
      <w:b/>
      <w:smallCaps/>
    </w:rPr>
  </w:style>
  <w:style w:type="paragraph" w:customStyle="1" w:styleId="TableListNumber">
    <w:name w:val="Table List Number"/>
    <w:basedOn w:val="ListNumber"/>
    <w:rsid w:val="002C7C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C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C6F"/>
    <w:pPr>
      <w:numPr>
        <w:numId w:val="8"/>
      </w:numPr>
    </w:pPr>
  </w:style>
  <w:style w:type="paragraph" w:customStyle="1" w:styleId="ListAlpha2">
    <w:name w:val="List Alpha 2"/>
    <w:basedOn w:val="List2"/>
    <w:rsid w:val="002C7C6F"/>
    <w:pPr>
      <w:numPr>
        <w:numId w:val="7"/>
      </w:numPr>
    </w:pPr>
  </w:style>
  <w:style w:type="paragraph" w:styleId="List2">
    <w:name w:val="List 2"/>
    <w:basedOn w:val="BodyText"/>
    <w:rsid w:val="002C7C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C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C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C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C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C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7C6F"/>
    <w:pPr>
      <w:numPr>
        <w:numId w:val="3"/>
      </w:numPr>
    </w:pPr>
  </w:style>
  <w:style w:type="paragraph" w:styleId="ListContinue2">
    <w:name w:val="List Continue 2"/>
    <w:basedOn w:val="List2"/>
    <w:rsid w:val="002C7C6F"/>
    <w:pPr>
      <w:ind w:firstLine="0"/>
    </w:pPr>
  </w:style>
  <w:style w:type="paragraph" w:styleId="ListContinue3">
    <w:name w:val="List Continue 3"/>
    <w:basedOn w:val="List3"/>
    <w:rsid w:val="002C7C6F"/>
    <w:pPr>
      <w:ind w:left="1021" w:firstLine="0"/>
    </w:pPr>
  </w:style>
  <w:style w:type="paragraph" w:styleId="ListContinue4">
    <w:name w:val="List Continue 4"/>
    <w:basedOn w:val="List4"/>
    <w:rsid w:val="002C7C6F"/>
    <w:pPr>
      <w:ind w:firstLine="0"/>
    </w:pPr>
  </w:style>
  <w:style w:type="paragraph" w:styleId="ListContinue5">
    <w:name w:val="List Continue 5"/>
    <w:basedOn w:val="List5"/>
    <w:rsid w:val="002C7C6F"/>
    <w:pPr>
      <w:ind w:firstLine="0"/>
    </w:pPr>
  </w:style>
  <w:style w:type="paragraph" w:styleId="ListNumber3">
    <w:name w:val="List Number 3"/>
    <w:basedOn w:val="List3"/>
    <w:rsid w:val="002C7C6F"/>
    <w:pPr>
      <w:numPr>
        <w:numId w:val="4"/>
      </w:numPr>
    </w:pPr>
  </w:style>
  <w:style w:type="paragraph" w:styleId="ListNumber4">
    <w:name w:val="List Number 4"/>
    <w:basedOn w:val="List4"/>
    <w:rsid w:val="002C7C6F"/>
    <w:pPr>
      <w:numPr>
        <w:numId w:val="5"/>
      </w:numPr>
    </w:pPr>
  </w:style>
  <w:style w:type="paragraph" w:styleId="ListNumber5">
    <w:name w:val="List Number 5"/>
    <w:basedOn w:val="List5"/>
    <w:rsid w:val="002C7C6F"/>
    <w:pPr>
      <w:numPr>
        <w:numId w:val="6"/>
      </w:numPr>
    </w:pPr>
  </w:style>
  <w:style w:type="paragraph" w:styleId="BlockText">
    <w:name w:val="Block Text"/>
    <w:basedOn w:val="Normal"/>
    <w:rsid w:val="002C7C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C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C6F"/>
    <w:rPr>
      <w:sz w:val="16"/>
      <w:vertAlign w:val="superscript"/>
    </w:rPr>
  </w:style>
  <w:style w:type="character" w:customStyle="1" w:styleId="Symbols">
    <w:name w:val="Symbols"/>
    <w:basedOn w:val="DefaultParagraphFont"/>
    <w:rsid w:val="002C7C6F"/>
    <w:rPr>
      <w:rFonts w:ascii="Symbol" w:hAnsi="Symbol"/>
    </w:rPr>
  </w:style>
  <w:style w:type="character" w:customStyle="1" w:styleId="MenuOptions">
    <w:name w:val="Menu Options"/>
    <w:basedOn w:val="DefaultParagraphFont"/>
    <w:rsid w:val="002C7C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C6F"/>
    <w:rPr>
      <w:b/>
    </w:rPr>
  </w:style>
  <w:style w:type="character" w:customStyle="1" w:styleId="Underlined">
    <w:name w:val="Underlined"/>
    <w:basedOn w:val="DefaultParagraphFont"/>
    <w:rsid w:val="002C7C6F"/>
    <w:rPr>
      <w:u w:val="single"/>
    </w:rPr>
  </w:style>
  <w:style w:type="paragraph" w:customStyle="1" w:styleId="TableBodyTextRight">
    <w:name w:val="Table Body Text Right"/>
    <w:basedOn w:val="TableBodyText"/>
    <w:rsid w:val="002C7C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C6F"/>
    <w:rPr>
      <w:sz w:val="18"/>
    </w:rPr>
  </w:style>
  <w:style w:type="paragraph" w:customStyle="1" w:styleId="BodySmallRight">
    <w:name w:val="Body Small Right"/>
    <w:basedOn w:val="BodyTextRight"/>
    <w:rsid w:val="002C7C6F"/>
    <w:rPr>
      <w:sz w:val="18"/>
      <w:szCs w:val="18"/>
    </w:rPr>
  </w:style>
  <w:style w:type="paragraph" w:customStyle="1" w:styleId="MarginEdition">
    <w:name w:val="Margin Edition"/>
    <w:basedOn w:val="MarginNote"/>
    <w:rsid w:val="002C7C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C6F"/>
    <w:rPr>
      <w:sz w:val="2"/>
      <w:szCs w:val="2"/>
    </w:rPr>
  </w:style>
  <w:style w:type="character" w:customStyle="1" w:styleId="Small">
    <w:name w:val="Small"/>
    <w:basedOn w:val="DefaultParagraphFont"/>
    <w:rsid w:val="002C7C6F"/>
    <w:rPr>
      <w:sz w:val="16"/>
    </w:rPr>
  </w:style>
  <w:style w:type="paragraph" w:customStyle="1" w:styleId="WideTable">
    <w:name w:val="Wide Table"/>
    <w:basedOn w:val="Normal"/>
    <w:rsid w:val="002C7C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C6F"/>
  </w:style>
  <w:style w:type="paragraph" w:styleId="Quote">
    <w:name w:val="Quote"/>
    <w:basedOn w:val="Heading1"/>
    <w:link w:val="QuoteChar"/>
    <w:qFormat/>
    <w:rsid w:val="002C7C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C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C6F"/>
    <w:pPr>
      <w:pageBreakBefore/>
    </w:pPr>
  </w:style>
  <w:style w:type="paragraph" w:customStyle="1" w:styleId="Border">
    <w:name w:val="Border"/>
    <w:basedOn w:val="Normal"/>
    <w:qFormat/>
    <w:rsid w:val="002C7C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C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C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C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C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C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C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C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C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C6F"/>
    <w:rPr>
      <w:u w:val="single"/>
    </w:rPr>
  </w:style>
  <w:style w:type="character" w:customStyle="1" w:styleId="BoldandItalics">
    <w:name w:val="Bold and Italics"/>
    <w:qFormat/>
    <w:rsid w:val="002C7C6F"/>
    <w:rPr>
      <w:b/>
      <w:i/>
      <w:u w:val="none"/>
    </w:rPr>
  </w:style>
  <w:style w:type="paragraph" w:styleId="BalloonText">
    <w:name w:val="Balloon Text"/>
    <w:basedOn w:val="Normal"/>
    <w:link w:val="BalloonTextChar"/>
    <w:rsid w:val="002C7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C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C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C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C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C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C6F"/>
    <w:pPr>
      <w:spacing w:before="0" w:after="0"/>
    </w:pPr>
  </w:style>
  <w:style w:type="paragraph" w:customStyle="1" w:styleId="BodyTextBold">
    <w:name w:val="Body Text Bold"/>
    <w:basedOn w:val="BodyText"/>
    <w:qFormat/>
    <w:rsid w:val="002C7C6F"/>
    <w:rPr>
      <w:b/>
    </w:rPr>
  </w:style>
  <w:style w:type="character" w:styleId="Hyperlink">
    <w:name w:val="Hyperlink"/>
    <w:basedOn w:val="DefaultParagraphFont"/>
    <w:uiPriority w:val="99"/>
    <w:unhideWhenUsed/>
    <w:rsid w:val="005C08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5754</Characters>
  <Application>Microsoft Office Word</Application>
  <DocSecurity>0</DocSecurity>
  <Lines>198</Lines>
  <Paragraphs>102</Paragraphs>
  <ScaleCrop>false</ScaleCrop>
  <Company>Author-it Software Corporation Ltd.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CUAATS503 Work effectively with Aboriginal and Torres Strait Islander visual artists and their communities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2019-02-21T13:43:00Z</dcterms:created>
  <dcterms:modified xsi:type="dcterms:W3CDTF">2019-02-21T13:43:00Z</dcterms:modified>
</cp:coreProperties>
</file>