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91D" w:rsidP="004F391D">
      <w:pPr>
        <w:pStyle w:val="Title"/>
      </w:pPr>
      <w:r>
        <w:fldChar w:fldCharType="begin"/>
      </w:r>
      <w:r>
        <w:instrText xml:space="preserve"> TITLE   \* MERGEFORMAT </w:instrText>
      </w:r>
      <w:r>
        <w:fldChar w:fldCharType="separate"/>
      </w:r>
      <w:r>
        <w:t>CUA30815 Certificate III</w:t>
      </w:r>
      <w:r>
        <w:t xml:space="preserve"> in Broadcast Technology</w:t>
      </w:r>
      <w:r>
        <w:fldChar w:fldCharType="end"/>
      </w:r>
    </w:p>
    <w:p w:rsidR="004F391D" w:rsidP="004F391D">
      <w:pPr>
        <w:pStyle w:val="Version"/>
        <w:sectPr w:rsidSect="00672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C5C" w:rsidP="00672C5C">
      <w:pPr>
        <w:pStyle w:val="SuperHeading"/>
      </w:pPr>
      <w:r w:rsidRPr="00672C5C">
        <w:t>CUA30815 Certificate III in Broadcast Technology</w:t>
      </w:r>
    </w:p>
    <w:p w:rsidR="00000000" w:rsidRPr="00672C5C" w:rsidP="00672C5C">
      <w:pPr>
        <w:pStyle w:val="Heading1"/>
      </w:pPr>
      <w:bookmarkStart w:id="1" w:name="O_829224"/>
      <w:bookmarkEnd w:id="1"/>
      <w:r w:rsidRPr="00672C5C">
        <w:t>Modification History</w:t>
      </w:r>
    </w:p>
    <w:tbl>
      <w:tblPr>
        <w:tblW w:w="0" w:type="auto"/>
        <w:tblLayout w:type="fixed"/>
        <w:tblCellMar>
          <w:left w:w="62" w:type="dxa"/>
          <w:right w:w="62" w:type="dxa"/>
        </w:tblCellMar>
        <w:tblLook w:val="0000"/>
      </w:tblPr>
      <w:tblGrid>
        <w:gridCol w:w="2627"/>
        <w:gridCol w:w="6337"/>
      </w:tblGrid>
      <w:tr w:rsidTr="00672C5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rPr>
                <w:rStyle w:val="SpecialBold"/>
              </w:rPr>
              <w:t>Comments</w:t>
            </w:r>
          </w:p>
        </w:tc>
      </w:tr>
      <w:tr w:rsidTr="00672C5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t>This qualification first released with CUA Creative Arts and Culture Training Package version 2.0.</w:t>
            </w:r>
          </w:p>
        </w:tc>
      </w:tr>
    </w:tbl>
    <w:p w:rsidR="00000000" w:rsidRPr="00672C5C" w:rsidP="00672C5C">
      <w:pPr>
        <w:pStyle w:val="BodyText"/>
      </w:pPr>
    </w:p>
    <w:p w:rsidR="00000000" w:rsidRPr="00672C5C" w:rsidP="00672C5C">
      <w:pPr>
        <w:pStyle w:val="AllowPageBreak"/>
      </w:pPr>
    </w:p>
    <w:p w:rsidR="00000000" w:rsidRPr="00672C5C" w:rsidP="00672C5C">
      <w:pPr>
        <w:pStyle w:val="Heading1"/>
      </w:pPr>
      <w:bookmarkStart w:id="2" w:name="O_829225"/>
      <w:bookmarkEnd w:id="2"/>
      <w:r w:rsidRPr="00672C5C">
        <w:t>Qualification Description</w:t>
      </w:r>
    </w:p>
    <w:p w:rsidR="00000000" w:rsidRPr="00672C5C" w:rsidP="00672C5C">
      <w:pPr>
        <w:pStyle w:val="BodyText"/>
      </w:pPr>
      <w:r w:rsidRPr="00672C5C">
        <w:t>This qualification reflects the role of a skilled opera</w:t>
      </w:r>
      <w:r w:rsidRPr="00672C5C">
        <w:t>tor in the television and radio broadcasting and allied industries, who applies a broad range of competencies associated with the selection, procurement, installation and maintenance of equipment and software in a varied work context using some and discret</w:t>
      </w:r>
      <w:r w:rsidRPr="00672C5C">
        <w:t xml:space="preserve">ion and judgement and relevant theoretical knowledge. They may provide technical advice and support to a team. </w:t>
      </w:r>
    </w:p>
    <w:p w:rsidR="00000000" w:rsidRPr="00672C5C" w:rsidP="00672C5C">
      <w:pPr>
        <w:pStyle w:val="BodyText"/>
      </w:pPr>
    </w:p>
    <w:p w:rsidR="00000000" w:rsidRPr="00672C5C" w:rsidP="00672C5C">
      <w:pPr>
        <w:pStyle w:val="BodyText"/>
      </w:pPr>
      <w:r w:rsidRPr="00672C5C">
        <w:rPr>
          <w:rStyle w:val="SpecialBold"/>
        </w:rPr>
        <w:t xml:space="preserve">Licensing/Regulatory Information </w:t>
      </w:r>
    </w:p>
    <w:p w:rsidR="00000000" w:rsidRPr="00672C5C" w:rsidP="00672C5C">
      <w:pPr>
        <w:pStyle w:val="BodyText"/>
      </w:pPr>
      <w:r w:rsidRPr="00672C5C">
        <w:rPr>
          <w:rStyle w:val="SpecialBold"/>
        </w:rPr>
        <w:t>Electrical work</w:t>
      </w:r>
    </w:p>
    <w:p w:rsidR="00000000" w:rsidRPr="00672C5C" w:rsidP="00672C5C">
      <w:pPr>
        <w:pStyle w:val="BodyText"/>
      </w:pPr>
      <w:r w:rsidRPr="00672C5C">
        <w:t>In some states and territories of Australia, a restricted electrical licence is required. Res</w:t>
      </w:r>
      <w:r w:rsidRPr="00672C5C">
        <w:t>tricted electrical licences allow a person to carry out electrical work incidental to a trade. Incidental work may include fault finding on equipment or changing like for like equipment by disconnecting and reconnecting the fixed wiring. It does not includ</w:t>
      </w:r>
      <w:r w:rsidRPr="00672C5C">
        <w:t>e any other changes to the fixed wiring.</w:t>
      </w:r>
    </w:p>
    <w:p w:rsidR="00000000" w:rsidRPr="00672C5C" w:rsidP="00672C5C">
      <w:pPr>
        <w:pStyle w:val="BodyText"/>
      </w:pPr>
    </w:p>
    <w:p w:rsidR="00000000" w:rsidRPr="00672C5C" w:rsidP="00672C5C">
      <w:pPr>
        <w:pStyle w:val="BodyText"/>
      </w:pPr>
      <w:r w:rsidRPr="00672C5C">
        <w:rPr>
          <w:rStyle w:val="SpecialBold"/>
        </w:rPr>
        <w:t>Restricted Cabling Registration</w:t>
      </w:r>
    </w:p>
    <w:p w:rsidR="00000000" w:rsidRPr="00672C5C" w:rsidP="00672C5C">
      <w:pPr>
        <w:pStyle w:val="BodyText"/>
      </w:pPr>
      <w:r w:rsidRPr="00672C5C">
        <w:t>The unit of competency ICTCBL236 Install, maintain and modify customer premises communications cabling: ACMA Restricted Rule is necessary to meet the current ACMA (Australian Communi</w:t>
      </w:r>
      <w:r w:rsidRPr="00672C5C">
        <w:t xml:space="preserve">cation Media Authority) restricted cabling registration requirements. </w:t>
      </w:r>
    </w:p>
    <w:p w:rsidR="00000000" w:rsidRPr="00672C5C" w:rsidP="00672C5C">
      <w:pPr>
        <w:pStyle w:val="BodyText"/>
      </w:pPr>
    </w:p>
    <w:p w:rsidR="00000000" w:rsidRPr="00672C5C" w:rsidP="00672C5C">
      <w:pPr>
        <w:pStyle w:val="BodyText"/>
      </w:pPr>
      <w:r w:rsidRPr="00672C5C">
        <w:rPr>
          <w:rStyle w:val="SpecialBold"/>
        </w:rPr>
        <w:t>National Standard for Licensing Persons Performing High Risk Work</w:t>
      </w:r>
    </w:p>
    <w:p w:rsidR="00000000" w:rsidRPr="00672C5C" w:rsidP="00672C5C">
      <w:pPr>
        <w:pStyle w:val="BodyText"/>
      </w:pPr>
      <w:r w:rsidRPr="00672C5C">
        <w:t>The National Standard for Licensing Persons Performing High Risk Work applies to persons performing dogging and rigging work. Completion of the following units is required for certification at either basic, intermediate or advanced levels:</w:t>
      </w:r>
    </w:p>
    <w:p w:rsidR="00000000" w:rsidRPr="00672C5C" w:rsidP="00672C5C">
      <w:pPr>
        <w:pStyle w:val="ListBullet"/>
      </w:pPr>
      <w:r w:rsidRPr="00672C5C">
        <w:t>CPCCLDG3001A Li</w:t>
      </w:r>
      <w:r w:rsidRPr="00672C5C">
        <w:t>cence to perform dogging</w:t>
      </w:r>
    </w:p>
    <w:p w:rsidR="00000000" w:rsidRPr="00672C5C" w:rsidP="00672C5C">
      <w:pPr>
        <w:pStyle w:val="ListBullet"/>
      </w:pPr>
      <w:r w:rsidRPr="00672C5C">
        <w:t>CPCCLRG3001A Licence to perform rigging basic level</w:t>
      </w:r>
    </w:p>
    <w:p w:rsidR="00000000" w:rsidRPr="00672C5C" w:rsidP="00672C5C">
      <w:pPr>
        <w:pStyle w:val="ListBullet"/>
      </w:pPr>
      <w:r w:rsidRPr="00672C5C">
        <w:t>CPCCLRG3002A Licence to perform rigging intermediate level</w:t>
      </w:r>
    </w:p>
    <w:p w:rsidR="00000000" w:rsidRPr="00672C5C" w:rsidP="00672C5C">
      <w:pPr>
        <w:pStyle w:val="ListBullet"/>
      </w:pPr>
      <w:r w:rsidRPr="00672C5C">
        <w:t>CPCCLRG4001A Licence to perform rigging advanced level.</w:t>
      </w:r>
    </w:p>
    <w:p w:rsidR="00000000" w:rsidRPr="00672C5C" w:rsidP="00672C5C">
      <w:pPr>
        <w:pStyle w:val="BodyText"/>
      </w:pPr>
    </w:p>
    <w:p w:rsidR="00000000" w:rsidRPr="00672C5C" w:rsidP="00672C5C">
      <w:pPr>
        <w:pStyle w:val="BodyText"/>
      </w:pPr>
      <w:r w:rsidRPr="00672C5C">
        <w:rPr>
          <w:rStyle w:val="SpecialBold"/>
        </w:rPr>
        <w:t>National Code of Practice for Induction for Construction Work</w:t>
      </w:r>
    </w:p>
    <w:p w:rsidR="00000000" w:rsidRPr="00672C5C" w:rsidP="00672C5C">
      <w:pPr>
        <w:pStyle w:val="BodyText"/>
      </w:pPr>
      <w:r w:rsidRPr="00672C5C">
        <w:t>S</w:t>
      </w:r>
      <w:r w:rsidRPr="00672C5C">
        <w:t>ets and staging for some performances or events may fall within the definition of construction work. If so, people entering the construction site are required to complete the general induction training program specified by the National Code of Practice for</w:t>
      </w:r>
      <w:r w:rsidRPr="00672C5C">
        <w:t xml:space="preserve"> Induction Training for Construction Work (Australian Safety Compensation Council, May 2007). Achievement of the unit ‘CPCCOHS1001A Work safely in the construction industry’ from the CPC08 Construction and Plumbing and Services Training Package fulfils thi</w:t>
      </w:r>
      <w:r w:rsidRPr="00672C5C">
        <w:t>s requirement.</w:t>
      </w:r>
    </w:p>
    <w:p w:rsidR="00000000" w:rsidRPr="00672C5C" w:rsidP="00672C5C">
      <w:pPr>
        <w:pStyle w:val="BodyText"/>
      </w:pPr>
    </w:p>
    <w:p w:rsidR="00000000" w:rsidRPr="00672C5C" w:rsidP="00672C5C">
      <w:pPr>
        <w:pStyle w:val="BodyText"/>
      </w:pPr>
      <w:r w:rsidRPr="00672C5C">
        <w:rPr>
          <w:rStyle w:val="SpecialBold"/>
        </w:rPr>
        <w:t>Electromagnetic emissions hazards</w:t>
      </w:r>
    </w:p>
    <w:p w:rsidR="00000000" w:rsidRPr="00672C5C" w:rsidP="00672C5C">
      <w:pPr>
        <w:pStyle w:val="BodyText"/>
      </w:pPr>
      <w:r w:rsidRPr="00672C5C">
        <w:t xml:space="preserve">Radio frequency workers must complete an electromagnetic emissions (EME) awareness course. Individuals who are required to attend sites with substantial EME hazards (such as a broadcast transmission sites) </w:t>
      </w:r>
      <w:r w:rsidRPr="00672C5C">
        <w:t>must understand the risks of EME and the necessary precautions to mitigate the risks.</w:t>
      </w:r>
    </w:p>
    <w:p w:rsidR="00000000" w:rsidRPr="00672C5C" w:rsidP="00672C5C">
      <w:pPr>
        <w:pStyle w:val="AllowPageBreak"/>
      </w:pPr>
    </w:p>
    <w:p w:rsidR="00000000" w:rsidRPr="00672C5C" w:rsidP="00672C5C">
      <w:pPr>
        <w:pStyle w:val="Heading1"/>
      </w:pPr>
      <w:bookmarkStart w:id="3" w:name="O_829226"/>
      <w:bookmarkEnd w:id="3"/>
      <w:r w:rsidRPr="00672C5C">
        <w:t>Entry Requirements</w:t>
      </w:r>
    </w:p>
    <w:p w:rsidR="00000000" w:rsidRPr="00672C5C" w:rsidP="00672C5C">
      <w:pPr>
        <w:pStyle w:val="BodyText"/>
      </w:pPr>
      <w:r w:rsidRPr="00672C5C">
        <w:t>Nil</w:t>
      </w:r>
    </w:p>
    <w:p w:rsidR="00000000" w:rsidRPr="00672C5C" w:rsidP="00672C5C">
      <w:pPr>
        <w:pStyle w:val="AllowPageBreak"/>
      </w:pPr>
    </w:p>
    <w:p w:rsidR="00000000" w:rsidRPr="00672C5C" w:rsidP="00672C5C">
      <w:pPr>
        <w:pStyle w:val="Heading1"/>
      </w:pPr>
      <w:bookmarkStart w:id="4" w:name="O_829227"/>
      <w:bookmarkEnd w:id="4"/>
      <w:r w:rsidRPr="00672C5C">
        <w:t>Packaging Rules</w:t>
      </w:r>
    </w:p>
    <w:p w:rsidR="00000000" w:rsidRPr="00672C5C" w:rsidP="00672C5C">
      <w:pPr>
        <w:pStyle w:val="BodyText"/>
      </w:pPr>
      <w:r w:rsidRPr="00672C5C">
        <w:rPr>
          <w:rStyle w:val="SpecialBold"/>
        </w:rPr>
        <w:t>Total number of units = 15</w:t>
      </w:r>
    </w:p>
    <w:p w:rsidR="00000000" w:rsidRPr="00672C5C" w:rsidP="00672C5C">
      <w:pPr>
        <w:pStyle w:val="BodyText"/>
      </w:pPr>
      <w:r w:rsidRPr="00672C5C">
        <w:rPr>
          <w:rStyle w:val="SpecialBold"/>
        </w:rPr>
        <w:t>4 core units</w:t>
      </w:r>
      <w:r w:rsidRPr="00672C5C">
        <w:t xml:space="preserve"> plus</w:t>
      </w:r>
    </w:p>
    <w:p w:rsidR="00000000" w:rsidRPr="00672C5C" w:rsidP="00672C5C">
      <w:pPr>
        <w:pStyle w:val="BodyText"/>
      </w:pPr>
      <w:r w:rsidRPr="00672C5C">
        <w:rPr>
          <w:rStyle w:val="SpecialBold"/>
        </w:rPr>
        <w:t>11 elective units</w:t>
      </w:r>
      <w:r w:rsidRPr="00672C5C">
        <w:t xml:space="preserve"> of which:</w:t>
      </w:r>
    </w:p>
    <w:p w:rsidR="00000000" w:rsidRPr="00672C5C" w:rsidP="00672C5C">
      <w:pPr>
        <w:pStyle w:val="ListBullet"/>
      </w:pPr>
      <w:r w:rsidRPr="00672C5C">
        <w:t>8 units must be selecte</w:t>
      </w:r>
      <w:r w:rsidRPr="00672C5C">
        <w:t xml:space="preserve">d from the electives listed below </w:t>
      </w:r>
    </w:p>
    <w:p w:rsidR="00000000" w:rsidRPr="00672C5C" w:rsidP="00672C5C">
      <w:pPr>
        <w:pStyle w:val="ListBullet"/>
      </w:pPr>
      <w:r w:rsidRPr="00672C5C">
        <w:t>3 units may be selected from the remaining listed electives or any currently endorsed training package qualification or accredited course at Certificate II, III or IV level.</w:t>
      </w:r>
    </w:p>
    <w:p w:rsidR="00000000" w:rsidRPr="00672C5C" w:rsidP="00672C5C">
      <w:pPr>
        <w:pStyle w:val="BodyText"/>
      </w:pPr>
    </w:p>
    <w:p w:rsidR="00000000" w:rsidRPr="00672C5C" w:rsidP="00672C5C">
      <w:pPr>
        <w:pStyle w:val="BodyText"/>
      </w:pPr>
      <w:r w:rsidRPr="00672C5C">
        <w:t>E</w:t>
      </w:r>
      <w:r w:rsidRPr="00672C5C">
        <w:t xml:space="preserve">lective units must be relevant to the work environment and the qualification, maintain the integrity of the AQF alignment and contribute to a valid vocational outcome. </w:t>
      </w:r>
    </w:p>
    <w:p w:rsidR="00000000" w:rsidRPr="00672C5C" w:rsidP="00672C5C">
      <w:pPr>
        <w:pStyle w:val="BodyText"/>
      </w:pPr>
    </w:p>
    <w:p w:rsidR="00000000" w:rsidRPr="00672C5C" w:rsidP="00672C5C">
      <w:pPr>
        <w:pStyle w:val="BodyText"/>
      </w:pPr>
      <w:r w:rsidRPr="00672C5C">
        <w:rPr>
          <w:rStyle w:val="SpecialBold"/>
        </w:rPr>
        <w:t>Core units</w:t>
      </w:r>
    </w:p>
    <w:p w:rsidR="00000000" w:rsidRPr="00672C5C" w:rsidP="00672C5C">
      <w:pPr>
        <w:pStyle w:val="BodyText"/>
      </w:pPr>
      <w:r w:rsidRPr="00672C5C">
        <w:t>CUAIND301 Work effectively in the creative arts industry</w:t>
      </w:r>
    </w:p>
    <w:p w:rsidR="00000000" w:rsidRPr="00672C5C" w:rsidP="00672C5C">
      <w:pPr>
        <w:pStyle w:val="BodyText"/>
      </w:pPr>
      <w:r w:rsidRPr="00672C5C">
        <w:t>BSBWHS201 Contribu</w:t>
      </w:r>
      <w:r w:rsidRPr="00672C5C">
        <w:t>te to health and safety of self and others</w:t>
      </w:r>
    </w:p>
    <w:p w:rsidR="00000000" w:rsidRPr="00672C5C" w:rsidP="00672C5C">
      <w:pPr>
        <w:pStyle w:val="BodyText"/>
      </w:pPr>
      <w:r w:rsidRPr="00672C5C">
        <w:t>ICTSAS301 Run standard diagnostic tests</w:t>
      </w:r>
    </w:p>
    <w:p w:rsidR="00000000" w:rsidRPr="00672C5C" w:rsidP="00672C5C">
      <w:pPr>
        <w:pStyle w:val="BodyText"/>
      </w:pPr>
      <w:r w:rsidRPr="00672C5C">
        <w:t>ICTICT306 Migrate to new technology</w:t>
      </w:r>
    </w:p>
    <w:p w:rsidR="00000000" w:rsidRPr="00672C5C" w:rsidP="00672C5C">
      <w:pPr>
        <w:pStyle w:val="BodyText"/>
      </w:pPr>
    </w:p>
    <w:p w:rsidR="00000000" w:rsidRPr="00672C5C" w:rsidP="00672C5C">
      <w:pPr>
        <w:pStyle w:val="BodyText"/>
      </w:pPr>
      <w:r w:rsidRPr="00672C5C">
        <w:rPr>
          <w:rStyle w:val="SpecialBold"/>
        </w:rPr>
        <w:t>Elective units</w:t>
      </w:r>
    </w:p>
    <w:p w:rsidR="00000000" w:rsidRPr="00672C5C" w:rsidP="00672C5C">
      <w:pPr>
        <w:pStyle w:val="BodyText"/>
      </w:pPr>
      <w:r w:rsidRPr="00672C5C">
        <w:t>BSBSUS201 Participate in environmentally sustainable work practices</w:t>
      </w:r>
    </w:p>
    <w:p w:rsidR="00000000" w:rsidRPr="00672C5C" w:rsidP="00672C5C">
      <w:pPr>
        <w:pStyle w:val="BodyText"/>
      </w:pPr>
      <w:r w:rsidRPr="00672C5C">
        <w:t>BSBWOR301 Organise personal work priorities and devel</w:t>
      </w:r>
      <w:r w:rsidRPr="00672C5C">
        <w:t>opment</w:t>
      </w:r>
    </w:p>
    <w:p w:rsidR="00000000" w:rsidRPr="00672C5C" w:rsidP="00672C5C">
      <w:pPr>
        <w:pStyle w:val="BodyText"/>
      </w:pPr>
      <w:r w:rsidRPr="00672C5C">
        <w:t>BSBWOR302 Work effectively as an off</w:t>
      </w:r>
      <w:r w:rsidRPr="00672C5C">
        <w:noBreakHyphen/>
        <w:t>site worker</w:t>
      </w:r>
    </w:p>
    <w:p w:rsidR="00000000" w:rsidRPr="00672C5C" w:rsidP="00672C5C">
      <w:pPr>
        <w:pStyle w:val="BodyText"/>
      </w:pPr>
      <w:r w:rsidRPr="00672C5C">
        <w:t>CPCCLDG3001A Licence to perform dogging</w:t>
      </w:r>
    </w:p>
    <w:p w:rsidR="00000000" w:rsidRPr="00672C5C" w:rsidP="00672C5C">
      <w:pPr>
        <w:pStyle w:val="BodyText"/>
      </w:pPr>
      <w:r w:rsidRPr="00672C5C">
        <w:t>CPCCLRG3001A* Licence to perform rigging basic level</w:t>
      </w:r>
    </w:p>
    <w:p w:rsidR="00000000" w:rsidRPr="00672C5C" w:rsidP="00672C5C">
      <w:pPr>
        <w:pStyle w:val="BodyText"/>
      </w:pPr>
      <w:r w:rsidRPr="00672C5C">
        <w:t>CPCCLRG3002A* Licence to perform rigging intermediate level</w:t>
      </w:r>
    </w:p>
    <w:p w:rsidR="00000000" w:rsidRPr="00672C5C" w:rsidP="00672C5C">
      <w:pPr>
        <w:pStyle w:val="BodyText"/>
      </w:pPr>
      <w:r w:rsidRPr="00672C5C">
        <w:t>CPCCLRG4001A* Licence to perform rigging advanc</w:t>
      </w:r>
      <w:r w:rsidRPr="00672C5C">
        <w:t>ed level</w:t>
      </w:r>
    </w:p>
    <w:p w:rsidR="00000000" w:rsidRPr="00672C5C" w:rsidP="00672C5C">
      <w:pPr>
        <w:pStyle w:val="BodyText"/>
      </w:pPr>
      <w:r w:rsidRPr="00672C5C">
        <w:t>CPCCOHS1001A Work safely in the construction industry</w:t>
      </w:r>
    </w:p>
    <w:p w:rsidR="00000000" w:rsidRPr="00672C5C" w:rsidP="00672C5C">
      <w:pPr>
        <w:pStyle w:val="BodyText"/>
      </w:pPr>
      <w:r w:rsidRPr="00672C5C">
        <w:t>CUABRD301 Perform basic transmission operations</w:t>
      </w:r>
    </w:p>
    <w:p w:rsidR="00000000" w:rsidRPr="00672C5C" w:rsidP="00672C5C">
      <w:pPr>
        <w:pStyle w:val="BodyText"/>
      </w:pPr>
      <w:r w:rsidRPr="00672C5C">
        <w:t>CUABRD303 Prepare video material for television transmission</w:t>
      </w:r>
    </w:p>
    <w:p w:rsidR="00000000" w:rsidRPr="00672C5C" w:rsidP="00672C5C">
      <w:pPr>
        <w:pStyle w:val="BodyText"/>
      </w:pPr>
      <w:r w:rsidRPr="00672C5C">
        <w:t xml:space="preserve">CUALGT303 Install and test lighting equipment </w:t>
      </w:r>
    </w:p>
    <w:p w:rsidR="00000000" w:rsidRPr="00672C5C" w:rsidP="00672C5C">
      <w:pPr>
        <w:pStyle w:val="BodyText"/>
      </w:pPr>
      <w:r w:rsidRPr="00672C5C">
        <w:t>HLTAID003 Provide first aid</w:t>
      </w:r>
    </w:p>
    <w:p w:rsidR="00000000" w:rsidRPr="00672C5C" w:rsidP="00672C5C">
      <w:pPr>
        <w:pStyle w:val="BodyText"/>
      </w:pPr>
      <w:r w:rsidRPr="00672C5C">
        <w:t>ICTCBL203 Terminate metallic conductor customer cable</w:t>
      </w:r>
    </w:p>
    <w:p w:rsidR="00000000" w:rsidRPr="00672C5C" w:rsidP="00672C5C">
      <w:pPr>
        <w:pStyle w:val="BodyText"/>
      </w:pPr>
      <w:r w:rsidRPr="00672C5C">
        <w:t>ICTCBL209 Joint and terminate coaxial cable</w:t>
      </w:r>
    </w:p>
    <w:p w:rsidR="00000000" w:rsidRPr="00672C5C" w:rsidP="00672C5C">
      <w:pPr>
        <w:pStyle w:val="BodyText"/>
      </w:pPr>
      <w:r w:rsidRPr="00672C5C">
        <w:t>ICTCBL236* Install, maintain and modify customer premises communications cabling: ACMA Restricted Rule</w:t>
      </w:r>
    </w:p>
    <w:p w:rsidR="00000000" w:rsidRPr="00672C5C" w:rsidP="00672C5C">
      <w:pPr>
        <w:pStyle w:val="BodyText"/>
      </w:pPr>
      <w:r w:rsidRPr="00672C5C">
        <w:t>ICTCBL301 Install, terminate and certify structured cab</w:t>
      </w:r>
      <w:r w:rsidRPr="00672C5C">
        <w:t>ling installation</w:t>
      </w:r>
    </w:p>
    <w:p w:rsidR="00000000" w:rsidRPr="00672C5C" w:rsidP="00672C5C">
      <w:pPr>
        <w:pStyle w:val="BodyText"/>
      </w:pPr>
      <w:r w:rsidRPr="00672C5C">
        <w:t xml:space="preserve">ICTCBL302 Install and terminate optical fibre cable on customer premises </w:t>
      </w:r>
    </w:p>
    <w:p w:rsidR="00000000" w:rsidRPr="00672C5C" w:rsidP="00672C5C">
      <w:pPr>
        <w:pStyle w:val="BodyText"/>
      </w:pPr>
      <w:r w:rsidRPr="00672C5C">
        <w:t>ICTCBL303 Install and terminate coaxial cable</w:t>
      </w:r>
    </w:p>
    <w:p w:rsidR="00000000" w:rsidRPr="00672C5C" w:rsidP="00672C5C">
      <w:pPr>
        <w:pStyle w:val="BodyText"/>
      </w:pPr>
      <w:r w:rsidRPr="00672C5C">
        <w:t>ICTCBL304 Perform cable and system test on customer premises</w:t>
      </w:r>
    </w:p>
    <w:p w:rsidR="00000000" w:rsidRPr="00672C5C" w:rsidP="00672C5C">
      <w:pPr>
        <w:pStyle w:val="BodyText"/>
      </w:pPr>
      <w:r w:rsidRPr="00672C5C">
        <w:t>ICTICT302 Install and optimise operating system software</w:t>
      </w:r>
    </w:p>
    <w:p w:rsidR="00000000" w:rsidRPr="00672C5C" w:rsidP="00672C5C">
      <w:pPr>
        <w:pStyle w:val="BodyText"/>
      </w:pPr>
      <w:r w:rsidRPr="00672C5C">
        <w:t>ICTICT303 Connect internal hardware components</w:t>
      </w:r>
    </w:p>
    <w:p w:rsidR="00000000" w:rsidRPr="00672C5C" w:rsidP="00672C5C">
      <w:pPr>
        <w:pStyle w:val="BodyText"/>
      </w:pPr>
      <w:r w:rsidRPr="00672C5C">
        <w:t>ICTNWK302 Determine and action network problems</w:t>
      </w:r>
    </w:p>
    <w:p w:rsidR="00000000" w:rsidRPr="00672C5C" w:rsidP="00672C5C">
      <w:pPr>
        <w:pStyle w:val="BodyText"/>
      </w:pPr>
      <w:r w:rsidRPr="00672C5C">
        <w:t>ICTNWK305 Install and manage network protocols</w:t>
      </w:r>
    </w:p>
    <w:p w:rsidR="00000000" w:rsidRPr="00672C5C" w:rsidP="00672C5C">
      <w:pPr>
        <w:pStyle w:val="BodyText"/>
      </w:pPr>
      <w:r w:rsidRPr="00672C5C">
        <w:t>ICTSAS306 Maintain equipment and software</w:t>
      </w:r>
    </w:p>
    <w:p w:rsidR="00000000" w:rsidRPr="00672C5C" w:rsidP="00672C5C">
      <w:pPr>
        <w:pStyle w:val="BodyText"/>
      </w:pPr>
      <w:r w:rsidRPr="00672C5C">
        <w:t>ICTTEN201 Use electrical skills in telecommunications work</w:t>
      </w:r>
    </w:p>
    <w:p w:rsidR="00000000" w:rsidRPr="00672C5C" w:rsidP="00672C5C">
      <w:pPr>
        <w:pStyle w:val="BodyText"/>
      </w:pPr>
      <w:r w:rsidRPr="00672C5C">
        <w:t>ICTWHS204 Fol</w:t>
      </w:r>
      <w:r w:rsidRPr="00672C5C">
        <w:t>low work health and safety and environmental policy and procedures</w:t>
      </w:r>
    </w:p>
    <w:p w:rsidR="00000000" w:rsidRPr="00672C5C" w:rsidP="00672C5C">
      <w:pPr>
        <w:pStyle w:val="BodyText"/>
      </w:pPr>
      <w:r w:rsidRPr="00672C5C">
        <w:t>MEM18002B Use power tools/hand held operations</w:t>
      </w:r>
    </w:p>
    <w:p w:rsidR="00000000" w:rsidRPr="00672C5C" w:rsidP="00672C5C">
      <w:pPr>
        <w:pStyle w:val="BodyText"/>
      </w:pPr>
      <w:r w:rsidRPr="00672C5C">
        <w:t>MEM05001B Perform manual soldering/desoldering – electrical/electronic components</w:t>
      </w:r>
    </w:p>
    <w:p w:rsidR="00000000" w:rsidRPr="00672C5C" w:rsidP="00672C5C">
      <w:pPr>
        <w:pStyle w:val="BodyText"/>
      </w:pPr>
      <w:r w:rsidRPr="00672C5C">
        <w:t>UEENEEE101A Apply Occupational Health and Safety regulations</w:t>
      </w:r>
      <w:r w:rsidRPr="00672C5C">
        <w:t>, codes and practices in the workplace</w:t>
      </w:r>
    </w:p>
    <w:p w:rsidR="00000000" w:rsidRPr="00672C5C" w:rsidP="00672C5C">
      <w:pPr>
        <w:pStyle w:val="BodyText"/>
      </w:pPr>
    </w:p>
    <w:p w:rsidR="00000000" w:rsidRPr="00672C5C" w:rsidP="00672C5C">
      <w:pPr>
        <w:pStyle w:val="BodyText"/>
      </w:pPr>
      <w:r w:rsidRPr="00672C5C">
        <w:t>*Note the following prerequisite unit requirements:</w:t>
      </w:r>
    </w:p>
    <w:p w:rsidR="00000000" w:rsidRPr="00672C5C" w:rsidP="00672C5C">
      <w:pPr>
        <w:pStyle w:val="BodyText"/>
      </w:pPr>
    </w:p>
    <w:tbl>
      <w:tblPr>
        <w:tblW w:w="9267" w:type="dxa"/>
        <w:tblLayout w:type="fixed"/>
        <w:tblCellMar>
          <w:left w:w="62" w:type="dxa"/>
          <w:right w:w="62" w:type="dxa"/>
        </w:tblCellMar>
        <w:tblLook w:val="0000"/>
      </w:tblPr>
      <w:tblGrid>
        <w:gridCol w:w="3148"/>
        <w:gridCol w:w="6119"/>
      </w:tblGrid>
      <w:tr w:rsidTr="00672C5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Prerequisite unit</w:t>
            </w:r>
          </w:p>
        </w:tc>
      </w:tr>
      <w:tr w:rsidTr="00672C5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CPCCLDG3001A Licence to perform dogging</w:t>
            </w:r>
          </w:p>
        </w:tc>
      </w:tr>
      <w:tr w:rsidTr="00672C5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CPCCLRG3002A Licence to perform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CPCCLRG3001A Licence to perform rigging basic level</w:t>
            </w:r>
          </w:p>
        </w:tc>
      </w:tr>
      <w:tr w:rsidTr="00672C5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CPCCLRG4001A Licence to perform rigging advanced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CPCCLRG3002A Licence to perform rigging intermediate level</w:t>
            </w:r>
          </w:p>
        </w:tc>
      </w:tr>
      <w:tr w:rsidTr="00672C5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ICTCBL236 Install, maintain a</w:t>
            </w:r>
            <w:r w:rsidRPr="00672C5C">
              <w:t>nd modify customer premises communications cabling: ACMA Restricted Rule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t>ICTTEN201 Use electrical skills in telecommunications work</w:t>
            </w:r>
          </w:p>
          <w:p w:rsidR="00000000" w:rsidRPr="00672C5C" w:rsidP="00672C5C">
            <w:pPr>
              <w:pStyle w:val="BodyText"/>
            </w:pPr>
            <w:r w:rsidRPr="00672C5C">
              <w:t>ICTWHS204 Follow work health and safety and environmental policy and procedures</w:t>
            </w:r>
          </w:p>
          <w:p w:rsidR="00000000" w:rsidRPr="00672C5C" w:rsidP="00672C5C">
            <w:pPr>
              <w:pStyle w:val="BodyText"/>
            </w:pPr>
          </w:p>
        </w:tc>
      </w:tr>
    </w:tbl>
    <w:p w:rsidR="00000000" w:rsidRPr="00672C5C" w:rsidP="00672C5C">
      <w:pPr>
        <w:pStyle w:val="BodyText"/>
      </w:pPr>
    </w:p>
    <w:p w:rsidR="00000000" w:rsidRPr="00672C5C" w:rsidP="00672C5C">
      <w:pPr>
        <w:pStyle w:val="AllowPageBreak"/>
      </w:pPr>
    </w:p>
    <w:p w:rsidR="00000000" w:rsidRPr="00672C5C" w:rsidP="00672C5C">
      <w:pPr>
        <w:pStyle w:val="Heading1"/>
      </w:pPr>
      <w:bookmarkStart w:id="5" w:name="O_829228"/>
      <w:bookmarkEnd w:id="5"/>
      <w:r w:rsidRPr="00672C5C">
        <w:t>Qualification Mapping In</w:t>
      </w:r>
      <w:r w:rsidRPr="00672C5C">
        <w:t>formation</w:t>
      </w:r>
    </w:p>
    <w:tbl>
      <w:tblPr>
        <w:tblW w:w="0" w:type="auto"/>
        <w:tblLayout w:type="fixed"/>
        <w:tblCellMar>
          <w:left w:w="62" w:type="dxa"/>
          <w:right w:w="62" w:type="dxa"/>
        </w:tblCellMar>
        <w:tblLook w:val="0000"/>
      </w:tblPr>
      <w:tblGrid>
        <w:gridCol w:w="1992"/>
        <w:gridCol w:w="1561"/>
        <w:gridCol w:w="1864"/>
        <w:gridCol w:w="2555"/>
      </w:tblGrid>
      <w:tr w:rsidTr="00672C5C">
        <w:tblPrEx>
          <w:tblW w:w="0" w:type="auto"/>
          <w:tblLayout w:type="fixed"/>
          <w:tblCellMar>
            <w:left w:w="62" w:type="dxa"/>
            <w:right w:w="62" w:type="dxa"/>
          </w:tblCellMar>
          <w:tblLook w:val="0000"/>
        </w:tblPrEx>
        <w:trPr>
          <w:trHeight w:val="475"/>
          <w:tblHeader/>
        </w:trPr>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rPr>
                <w:rStyle w:val="SpecialBold"/>
              </w:rPr>
              <w:t xml:space="preserve">Code and title </w:t>
            </w:r>
          </w:p>
          <w:p w:rsidR="00000000" w:rsidRPr="00672C5C" w:rsidP="00672C5C">
            <w:pPr>
              <w:pStyle w:val="BodyText"/>
            </w:pPr>
            <w:r w:rsidRPr="00672C5C">
              <w:rPr>
                <w:rStyle w:val="SpecialBold"/>
              </w:rPr>
              <w:t>current version</w:t>
            </w:r>
          </w:p>
        </w:tc>
        <w:tc>
          <w:tcPr>
            <w:tcW w:w="1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rPr>
                <w:rStyle w:val="SpecialBold"/>
              </w:rPr>
              <w:t>Code and title</w:t>
            </w:r>
          </w:p>
          <w:p w:rsidR="00000000" w:rsidRPr="00672C5C" w:rsidP="00672C5C">
            <w:pPr>
              <w:pStyle w:val="BodyText"/>
            </w:pPr>
            <w:r w:rsidRPr="00672C5C">
              <w:rPr>
                <w:rStyle w:val="SpecialBold"/>
              </w:rPr>
              <w:t>previous version</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rPr>
                <w:rStyle w:val="SpecialBold"/>
              </w:rPr>
              <w:t>Comments</w:t>
            </w:r>
          </w:p>
        </w:tc>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rPr>
                <w:rStyle w:val="SpecialBold"/>
              </w:rPr>
              <w:t xml:space="preserve">Equivalence status </w:t>
            </w:r>
          </w:p>
          <w:p w:rsidR="00000000" w:rsidP="00672C5C">
            <w:pPr>
              <w:pStyle w:val="BodyText"/>
              <w:rPr>
                <w:lang w:val="en-NZ"/>
              </w:rPr>
            </w:pPr>
          </w:p>
        </w:tc>
      </w:tr>
      <w:tr w:rsidTr="00672C5C">
        <w:tblPrEx>
          <w:tblW w:w="0" w:type="auto"/>
          <w:tblLayout w:type="fixed"/>
          <w:tblCellMar>
            <w:left w:w="62" w:type="dxa"/>
            <w:right w:w="62" w:type="dxa"/>
          </w:tblCellMar>
          <w:tblLook w:val="0000"/>
        </w:tblPrEx>
        <w:trPr>
          <w:trHeight w:val="4621"/>
        </w:trPr>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 xml:space="preserve">CUA30815 Certificate III in Broadcast Technology </w:t>
            </w:r>
          </w:p>
        </w:tc>
        <w:tc>
          <w:tcPr>
            <w:tcW w:w="1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C5C">
            <w:pPr>
              <w:pStyle w:val="BodyText"/>
              <w:rPr>
                <w:lang w:val="en-NZ"/>
              </w:rPr>
            </w:pPr>
            <w:r w:rsidRPr="00672C5C">
              <w:t xml:space="preserve">CUF30207 Certificate III in Broadcast Technology </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t>Updated to meet Standards for Training Packages.</w:t>
            </w:r>
          </w:p>
          <w:p w:rsidR="00000000" w:rsidRPr="00672C5C" w:rsidP="00672C5C">
            <w:pPr>
              <w:pStyle w:val="BodyText"/>
            </w:pPr>
          </w:p>
          <w:p w:rsidR="00000000" w:rsidRPr="00672C5C" w:rsidP="00672C5C">
            <w:pPr>
              <w:pStyle w:val="BodyText"/>
            </w:pPr>
            <w:r w:rsidRPr="00672C5C">
              <w:t>Core changed and number of units required to achieve qualification reduced.</w:t>
            </w:r>
          </w:p>
          <w:p w:rsidR="00000000" w:rsidRPr="00672C5C" w:rsidP="00672C5C">
            <w:pPr>
              <w:pStyle w:val="BodyText"/>
            </w:pPr>
          </w:p>
          <w:p w:rsidR="00000000" w:rsidP="00672C5C">
            <w:pPr>
              <w:pStyle w:val="BodyText"/>
              <w:rPr>
                <w:lang w:val="en-NZ"/>
              </w:rPr>
            </w:pPr>
            <w:r w:rsidRPr="00672C5C">
              <w:t>Number of imported electives reduced and unit codes and titles updated.</w:t>
            </w:r>
          </w:p>
        </w:tc>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C5C" w:rsidP="00672C5C">
            <w:pPr>
              <w:pStyle w:val="BodyText"/>
            </w:pPr>
            <w:r w:rsidRPr="00672C5C">
              <w:t>Equivalent qualification</w:t>
            </w:r>
          </w:p>
        </w:tc>
      </w:tr>
    </w:tbl>
    <w:p w:rsidR="00000000" w:rsidRPr="00672C5C" w:rsidP="00672C5C">
      <w:pPr>
        <w:pStyle w:val="BodyText"/>
      </w:pPr>
    </w:p>
    <w:p w:rsidR="00000000" w:rsidRPr="00672C5C" w:rsidP="00672C5C">
      <w:pPr>
        <w:pStyle w:val="AllowPageBreak"/>
      </w:pPr>
    </w:p>
    <w:p w:rsidR="00000000" w:rsidRPr="00672C5C" w:rsidP="00672C5C">
      <w:pPr>
        <w:pStyle w:val="Heading1"/>
      </w:pPr>
      <w:bookmarkStart w:id="6" w:name="O_829230"/>
      <w:bookmarkEnd w:id="6"/>
      <w:r w:rsidRPr="00672C5C">
        <w:t>Links</w:t>
      </w:r>
    </w:p>
    <w:p w:rsidR="00000000" w:rsidRPr="00672C5C" w:rsidP="00672C5C">
      <w:pPr>
        <w:pStyle w:val="BodyText"/>
      </w:pPr>
      <w:r w:rsidRPr="00672C5C">
        <w:t>Companion volumes are ava</w:t>
      </w:r>
      <w:r w:rsidRPr="00672C5C">
        <w:t>ilable from the IBSA website - http://www.ibsa.org.au/companion_volumes</w:t>
      </w:r>
    </w:p>
    <w:p w:rsidR="00000000" w:rsidRPr="00672C5C" w:rsidP="00672C5C"/>
    <w:sectPr w:rsidSect="00672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rsidRPr="004F391D" w:rsidP="004F3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D" w:rsidP="00672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391D" w:rsidP="00672C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391D" w:rsidP="00672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rsidRPr="004F391D" w:rsidP="004F39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91D" w:rsidRPr="002D2AF8" w:rsidP="00672C5C">
    <w:pPr>
      <w:pStyle w:val="Header"/>
      <w:framePr w:wrap="around"/>
    </w:pPr>
    <w:r>
      <w:fldChar w:fldCharType="begin"/>
    </w:r>
    <w:r>
      <w:instrText xml:space="preserve"> TITLE   \* MERGEFORMAT </w:instrText>
    </w:r>
    <w:r>
      <w:fldChar w:fldCharType="separate"/>
    </w:r>
    <w:r>
      <w:t>CUA30815 Certificate III in Broadcast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4F391D" w:rsidP="00672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7C13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0CE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C5C"/>
    <w:pPr>
      <w:spacing w:before="360" w:after="60"/>
      <w:outlineLvl w:val="0"/>
    </w:pPr>
    <w:rPr>
      <w:sz w:val="32"/>
    </w:rPr>
  </w:style>
  <w:style w:type="paragraph" w:styleId="Heading2">
    <w:name w:val="heading 2"/>
    <w:basedOn w:val="HeadingBase"/>
    <w:next w:val="BodyText"/>
    <w:link w:val="Heading2Char"/>
    <w:qFormat/>
    <w:rsid w:val="00672C5C"/>
    <w:pPr>
      <w:keepLines/>
      <w:spacing w:before="240" w:after="120"/>
      <w:outlineLvl w:val="1"/>
    </w:pPr>
    <w:rPr>
      <w:sz w:val="28"/>
      <w:szCs w:val="40"/>
    </w:rPr>
  </w:style>
  <w:style w:type="paragraph" w:styleId="Heading3">
    <w:name w:val="heading 3"/>
    <w:basedOn w:val="HeadingBase"/>
    <w:next w:val="BodyText"/>
    <w:link w:val="Heading3Char"/>
    <w:qFormat/>
    <w:rsid w:val="00672C5C"/>
    <w:pPr>
      <w:spacing w:before="180" w:after="120"/>
      <w:outlineLvl w:val="2"/>
    </w:pPr>
    <w:rPr>
      <w:spacing w:val="-10"/>
      <w:kern w:val="32"/>
    </w:rPr>
  </w:style>
  <w:style w:type="paragraph" w:styleId="Heading4">
    <w:name w:val="heading 4"/>
    <w:basedOn w:val="HeadingBase"/>
    <w:next w:val="BodyText"/>
    <w:link w:val="Heading4Char"/>
    <w:qFormat/>
    <w:rsid w:val="00672C5C"/>
    <w:pPr>
      <w:spacing w:before="160" w:after="120"/>
      <w:outlineLvl w:val="3"/>
    </w:pPr>
    <w:rPr>
      <w:sz w:val="22"/>
    </w:rPr>
  </w:style>
  <w:style w:type="paragraph" w:styleId="Heading5">
    <w:name w:val="heading 5"/>
    <w:basedOn w:val="HeadingBase"/>
    <w:next w:val="Normal"/>
    <w:link w:val="Heading5Char"/>
    <w:qFormat/>
    <w:rsid w:val="00672C5C"/>
    <w:pPr>
      <w:spacing w:before="80"/>
      <w:outlineLvl w:val="4"/>
    </w:pPr>
    <w:rPr>
      <w:color w:val="918585"/>
      <w:sz w:val="20"/>
    </w:rPr>
  </w:style>
  <w:style w:type="paragraph" w:styleId="Heading6">
    <w:name w:val="heading 6"/>
    <w:basedOn w:val="HeadingBase"/>
    <w:next w:val="Normal"/>
    <w:link w:val="Heading6Char"/>
    <w:qFormat/>
    <w:rsid w:val="00672C5C"/>
    <w:pPr>
      <w:spacing w:before="60"/>
      <w:outlineLvl w:val="5"/>
    </w:pPr>
    <w:rPr>
      <w:color w:val="918585"/>
      <w:sz w:val="20"/>
    </w:rPr>
  </w:style>
  <w:style w:type="paragraph" w:styleId="Heading7">
    <w:name w:val="heading 7"/>
    <w:basedOn w:val="Normal"/>
    <w:next w:val="Normal"/>
    <w:link w:val="Heading7Char"/>
    <w:qFormat/>
    <w:rsid w:val="00672C5C"/>
    <w:pPr>
      <w:ind w:left="720"/>
      <w:outlineLvl w:val="6"/>
    </w:pPr>
    <w:rPr>
      <w:i/>
    </w:rPr>
  </w:style>
  <w:style w:type="paragraph" w:styleId="Heading8">
    <w:name w:val="heading 8"/>
    <w:basedOn w:val="Normal"/>
    <w:next w:val="Normal"/>
    <w:link w:val="Heading8Char"/>
    <w:qFormat/>
    <w:rsid w:val="00672C5C"/>
    <w:pPr>
      <w:ind w:left="720"/>
      <w:outlineLvl w:val="7"/>
    </w:pPr>
    <w:rPr>
      <w:i/>
    </w:rPr>
  </w:style>
  <w:style w:type="paragraph" w:styleId="Heading9">
    <w:name w:val="heading 9"/>
    <w:basedOn w:val="Normal"/>
    <w:next w:val="Normal"/>
    <w:link w:val="Heading9Char"/>
    <w:qFormat/>
    <w:rsid w:val="00672C5C"/>
    <w:pPr>
      <w:ind w:left="720"/>
      <w:outlineLvl w:val="8"/>
    </w:pPr>
    <w:rPr>
      <w:i/>
    </w:rPr>
  </w:style>
  <w:style w:type="character" w:default="1" w:styleId="DefaultParagraphFont">
    <w:name w:val="Default Paragraph Font"/>
    <w:uiPriority w:val="1"/>
    <w:unhideWhenUsed/>
    <w:rsid w:val="00672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C5C"/>
  </w:style>
  <w:style w:type="character" w:customStyle="1" w:styleId="Heading1Char">
    <w:name w:val="Heading 1 Char"/>
    <w:basedOn w:val="DefaultParagraphFont"/>
    <w:link w:val="Heading1"/>
    <w:rsid w:val="00672C5C"/>
    <w:rPr>
      <w:rFonts w:ascii="Times New Roman" w:eastAsia="Times New Roman" w:hAnsi="Times New Roman" w:cs="Times New Roman"/>
      <w:b/>
      <w:sz w:val="32"/>
      <w:szCs w:val="20"/>
      <w:lang w:eastAsia="en-US"/>
    </w:rPr>
  </w:style>
  <w:style w:type="paragraph" w:styleId="BodyText">
    <w:name w:val="Body Text"/>
    <w:basedOn w:val="Normal"/>
    <w:link w:val="BodyTextChar"/>
    <w:rsid w:val="00672C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C5C"/>
    <w:rPr>
      <w:rFonts w:ascii="Times New Roman" w:eastAsia="Times New Roman" w:hAnsi="Times New Roman" w:cs="Times New Roman"/>
      <w:sz w:val="24"/>
      <w:lang w:eastAsia="en-US"/>
    </w:rPr>
  </w:style>
  <w:style w:type="paragraph" w:styleId="ListBullet">
    <w:name w:val="List Bullet"/>
    <w:basedOn w:val="List"/>
    <w:rsid w:val="00672C5C"/>
    <w:pPr>
      <w:numPr>
        <w:numId w:val="12"/>
      </w:numPr>
      <w:tabs>
        <w:tab w:val="clear" w:pos="340"/>
      </w:tabs>
      <w:spacing w:before="40" w:after="40"/>
    </w:pPr>
  </w:style>
  <w:style w:type="character" w:customStyle="1" w:styleId="SpecialBold">
    <w:name w:val="Special Bold"/>
    <w:basedOn w:val="DefaultParagraphFont"/>
    <w:rsid w:val="00672C5C"/>
    <w:rPr>
      <w:b/>
      <w:spacing w:val="0"/>
    </w:rPr>
  </w:style>
  <w:style w:type="paragraph" w:customStyle="1" w:styleId="SuperHeading">
    <w:name w:val="SuperHeading"/>
    <w:basedOn w:val="Normal"/>
    <w:rsid w:val="00672C5C"/>
    <w:pPr>
      <w:spacing w:before="240" w:after="120"/>
      <w:outlineLvl w:val="0"/>
    </w:pPr>
    <w:rPr>
      <w:rFonts w:ascii="Times New Roman" w:hAnsi="Times New Roman"/>
      <w:b/>
      <w:sz w:val="32"/>
    </w:rPr>
  </w:style>
  <w:style w:type="paragraph" w:customStyle="1" w:styleId="AllowPageBreak">
    <w:name w:val="AllowPageBreak"/>
    <w:rsid w:val="00672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C5C"/>
    <w:rPr>
      <w:rFonts w:ascii="Courier New" w:eastAsia="Times New Roman" w:hAnsi="Courier New" w:cs="Times New Roman"/>
      <w:i/>
      <w:szCs w:val="20"/>
      <w:lang w:eastAsia="en-US"/>
    </w:rPr>
  </w:style>
  <w:style w:type="paragraph" w:customStyle="1" w:styleId="HeadingBase">
    <w:name w:val="Heading Base"/>
    <w:rsid w:val="00672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C5C"/>
    <w:pPr>
      <w:tabs>
        <w:tab w:val="right" w:leader="dot" w:pos="9072"/>
      </w:tabs>
      <w:ind w:left="567"/>
    </w:pPr>
    <w:rPr>
      <w:szCs w:val="22"/>
    </w:rPr>
  </w:style>
  <w:style w:type="paragraph" w:customStyle="1" w:styleId="TOCBase">
    <w:name w:val="TOC Base"/>
    <w:rsid w:val="00672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C5C"/>
    <w:pPr>
      <w:tabs>
        <w:tab w:val="right" w:leader="dot" w:pos="9072"/>
      </w:tabs>
      <w:spacing w:before="40" w:after="40"/>
      <w:ind w:left="284"/>
    </w:pPr>
    <w:rPr>
      <w:rFonts w:ascii="Times New Roman" w:hAnsi="Times New Roman"/>
    </w:rPr>
  </w:style>
  <w:style w:type="paragraph" w:styleId="TOC1">
    <w:name w:val="toc 1"/>
    <w:basedOn w:val="TOCBase"/>
    <w:next w:val="Normal"/>
    <w:rsid w:val="00672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C5C"/>
    <w:rPr>
      <w:rFonts w:ascii="Times New Roman" w:eastAsia="Times New Roman" w:hAnsi="Times New Roman" w:cs="Times New Roman"/>
      <w:sz w:val="16"/>
      <w:lang w:eastAsia="en-US"/>
    </w:rPr>
  </w:style>
  <w:style w:type="paragraph" w:styleId="Title">
    <w:name w:val="Title"/>
    <w:basedOn w:val="HeadingBase"/>
    <w:link w:val="TitleChar"/>
    <w:qFormat/>
    <w:rsid w:val="00672C5C"/>
    <w:pPr>
      <w:spacing w:before="5040"/>
      <w:jc w:val="center"/>
    </w:pPr>
    <w:rPr>
      <w:sz w:val="48"/>
      <w:szCs w:val="72"/>
      <w:lang w:val="en-US"/>
    </w:rPr>
  </w:style>
  <w:style w:type="character" w:customStyle="1" w:styleId="TitleChar">
    <w:name w:val="Title Char"/>
    <w:basedOn w:val="DefaultParagraphFont"/>
    <w:link w:val="Title"/>
    <w:rsid w:val="00672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C5C"/>
    <w:pPr>
      <w:tabs>
        <w:tab w:val="left" w:pos="3600"/>
        <w:tab w:val="left" w:pos="3958"/>
      </w:tabs>
    </w:pPr>
  </w:style>
  <w:style w:type="paragraph" w:styleId="List">
    <w:name w:val="List"/>
    <w:basedOn w:val="BodyText"/>
    <w:next w:val="BodyText"/>
    <w:rsid w:val="00672C5C"/>
    <w:pPr>
      <w:tabs>
        <w:tab w:val="left" w:pos="340"/>
      </w:tabs>
      <w:spacing w:before="60" w:after="60"/>
      <w:ind w:left="340" w:hanging="340"/>
    </w:pPr>
  </w:style>
  <w:style w:type="paragraph" w:customStyle="1" w:styleId="Note">
    <w:name w:val="Note"/>
    <w:basedOn w:val="BodyText"/>
    <w:rsid w:val="00672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C5C"/>
    <w:pPr>
      <w:framePr w:wrap="auto" w:hAnchor="text" w:y="6049"/>
    </w:pPr>
    <w:rPr>
      <w:color w:val="000000"/>
      <w:sz w:val="40"/>
    </w:rPr>
  </w:style>
  <w:style w:type="paragraph" w:customStyle="1" w:styleId="TOCTitle">
    <w:name w:val="TOCTitle"/>
    <w:basedOn w:val="Heading1"/>
    <w:rsid w:val="00672C5C"/>
    <w:pPr>
      <w:spacing w:after="240"/>
      <w:jc w:val="center"/>
      <w:outlineLvl w:val="9"/>
    </w:pPr>
    <w:rPr>
      <w:caps/>
    </w:rPr>
  </w:style>
  <w:style w:type="paragraph" w:customStyle="1" w:styleId="Version">
    <w:name w:val="Version"/>
    <w:rsid w:val="00672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C5C"/>
    <w:pPr>
      <w:numPr>
        <w:numId w:val="13"/>
      </w:numPr>
      <w:tabs>
        <w:tab w:val="clear" w:pos="680"/>
      </w:tabs>
    </w:pPr>
  </w:style>
  <w:style w:type="paragraph" w:styleId="Index1">
    <w:name w:val="index 1"/>
    <w:basedOn w:val="Normal"/>
    <w:next w:val="Normal"/>
    <w:semiHidden/>
    <w:rsid w:val="00672C5C"/>
    <w:pPr>
      <w:keepNext w:val="0"/>
      <w:tabs>
        <w:tab w:val="right" w:pos="4176"/>
      </w:tabs>
      <w:ind w:left="198" w:hanging="198"/>
    </w:pPr>
    <w:rPr>
      <w:rFonts w:ascii="Garamond" w:hAnsi="Garamond"/>
    </w:rPr>
  </w:style>
  <w:style w:type="paragraph" w:styleId="IndexHeading">
    <w:name w:val="index heading"/>
    <w:basedOn w:val="Normal"/>
    <w:next w:val="Index1"/>
    <w:semiHidden/>
    <w:rsid w:val="00672C5C"/>
    <w:pPr>
      <w:spacing w:before="120" w:after="120"/>
    </w:pPr>
    <w:rPr>
      <w:rFonts w:ascii="Arial" w:hAnsi="Arial"/>
      <w:b/>
      <w:color w:val="918585"/>
      <w:sz w:val="24"/>
    </w:rPr>
  </w:style>
  <w:style w:type="paragraph" w:styleId="Header">
    <w:name w:val="header"/>
    <w:basedOn w:val="Normal"/>
    <w:link w:val="HeaderChar"/>
    <w:rsid w:val="00672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C5C"/>
    <w:rPr>
      <w:rFonts w:ascii="Times New Roman" w:eastAsia="Times New Roman" w:hAnsi="Times New Roman" w:cs="Times New Roman"/>
      <w:sz w:val="16"/>
      <w:szCs w:val="20"/>
      <w:lang w:val="en-GB" w:eastAsia="en-US"/>
    </w:rPr>
  </w:style>
  <w:style w:type="paragraph" w:customStyle="1" w:styleId="Chapter">
    <w:name w:val="Chapter"/>
    <w:basedOn w:val="Normal"/>
    <w:rsid w:val="00672C5C"/>
    <w:pPr>
      <w:spacing w:before="240"/>
    </w:pPr>
    <w:rPr>
      <w:rFonts w:ascii="Times New Roman" w:hAnsi="Times New Roman"/>
      <w:smallCaps/>
      <w:spacing w:val="80"/>
      <w:sz w:val="28"/>
    </w:rPr>
  </w:style>
  <w:style w:type="paragraph" w:customStyle="1" w:styleId="InChapter">
    <w:name w:val="InChapter"/>
    <w:basedOn w:val="Heading3"/>
    <w:rsid w:val="00672C5C"/>
    <w:pPr>
      <w:spacing w:after="240"/>
      <w:outlineLvl w:val="9"/>
    </w:pPr>
    <w:rPr>
      <w:noProof/>
    </w:rPr>
  </w:style>
  <w:style w:type="paragraph" w:styleId="Index2">
    <w:name w:val="index 2"/>
    <w:basedOn w:val="Normal"/>
    <w:next w:val="Normal"/>
    <w:semiHidden/>
    <w:rsid w:val="00672C5C"/>
    <w:pPr>
      <w:tabs>
        <w:tab w:val="right" w:pos="4176"/>
      </w:tabs>
      <w:ind w:left="568" w:hanging="284"/>
    </w:pPr>
    <w:rPr>
      <w:rFonts w:ascii="Garamond" w:hAnsi="Garamond"/>
    </w:rPr>
  </w:style>
  <w:style w:type="paragraph" w:customStyle="1" w:styleId="Byline">
    <w:name w:val="Byline"/>
    <w:rsid w:val="00672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C5C"/>
    <w:pPr>
      <w:tabs>
        <w:tab w:val="clear" w:pos="3600"/>
        <w:tab w:val="clear" w:pos="3958"/>
      </w:tabs>
      <w:jc w:val="right"/>
    </w:pPr>
  </w:style>
  <w:style w:type="character" w:styleId="Emphasis">
    <w:name w:val="Emphasis"/>
    <w:basedOn w:val="DefaultParagraphFont"/>
    <w:qFormat/>
    <w:rsid w:val="00672C5C"/>
    <w:rPr>
      <w:i/>
    </w:rPr>
  </w:style>
  <w:style w:type="paragraph" w:styleId="Caption">
    <w:name w:val="caption"/>
    <w:basedOn w:val="BodyText"/>
    <w:next w:val="Normal"/>
    <w:qFormat/>
    <w:rsid w:val="00672C5C"/>
    <w:pPr>
      <w:framePr w:w="2268" w:hSpace="181" w:vSpace="181" w:wrap="around" w:vAnchor="text" w:hAnchor="page" w:x="1135" w:y="285" w:anchorLock="1"/>
    </w:pPr>
    <w:rPr>
      <w:i/>
    </w:rPr>
  </w:style>
  <w:style w:type="paragraph" w:customStyle="1" w:styleId="MiniTOCTitle">
    <w:name w:val="MiniTOCTitle"/>
    <w:basedOn w:val="Heading4"/>
    <w:rsid w:val="00672C5C"/>
    <w:pPr>
      <w:spacing w:before="240"/>
      <w:outlineLvl w:val="9"/>
    </w:pPr>
    <w:rPr>
      <w:noProof/>
      <w:sz w:val="24"/>
    </w:rPr>
  </w:style>
  <w:style w:type="paragraph" w:customStyle="1" w:styleId="MiniTOCItem">
    <w:name w:val="MiniTOCItem"/>
    <w:basedOn w:val="ListBullet"/>
    <w:rsid w:val="00672C5C"/>
    <w:pPr>
      <w:numPr>
        <w:numId w:val="0"/>
      </w:numPr>
      <w:tabs>
        <w:tab w:val="right" w:leader="dot" w:pos="6521"/>
      </w:tabs>
      <w:spacing w:before="0" w:after="0"/>
    </w:pPr>
  </w:style>
  <w:style w:type="paragraph" w:customStyle="1" w:styleId="TOFTitle">
    <w:name w:val="TOFTitle"/>
    <w:basedOn w:val="TOCTitle"/>
    <w:rsid w:val="00672C5C"/>
  </w:style>
  <w:style w:type="paragraph" w:styleId="TableofFigures">
    <w:name w:val="table of figures"/>
    <w:basedOn w:val="Normal"/>
    <w:next w:val="Normal"/>
    <w:semiHidden/>
    <w:rsid w:val="00672C5C"/>
    <w:pPr>
      <w:tabs>
        <w:tab w:val="right" w:leader="dot" w:pos="9072"/>
      </w:tabs>
      <w:ind w:left="970" w:hanging="403"/>
    </w:pPr>
    <w:rPr>
      <w:rFonts w:ascii="Times New Roman" w:hAnsi="Times New Roman"/>
      <w:b/>
    </w:rPr>
  </w:style>
  <w:style w:type="paragraph" w:styleId="ListNumber">
    <w:name w:val="List Number"/>
    <w:basedOn w:val="List"/>
    <w:rsid w:val="00672C5C"/>
    <w:pPr>
      <w:numPr>
        <w:numId w:val="10"/>
      </w:numPr>
    </w:pPr>
  </w:style>
  <w:style w:type="character" w:customStyle="1" w:styleId="WingdingSymbols">
    <w:name w:val="Wingding Symbols"/>
    <w:rsid w:val="00672C5C"/>
    <w:rPr>
      <w:rFonts w:ascii="Wingdings" w:hAnsi="Wingdings"/>
    </w:rPr>
  </w:style>
  <w:style w:type="paragraph" w:customStyle="1" w:styleId="TableHeading">
    <w:name w:val="Table Heading"/>
    <w:basedOn w:val="HeadingBase"/>
    <w:rsid w:val="00672C5C"/>
    <w:pPr>
      <w:keepLines/>
      <w:pBdr>
        <w:bottom w:val="single" w:sz="6" w:space="1" w:color="918585"/>
      </w:pBdr>
      <w:spacing w:before="240"/>
    </w:pPr>
  </w:style>
  <w:style w:type="character" w:customStyle="1" w:styleId="HotSpot">
    <w:name w:val="HotSpot"/>
    <w:rsid w:val="00672C5C"/>
    <w:rPr>
      <w:color w:val="0033CC"/>
      <w:u w:val="none"/>
    </w:rPr>
  </w:style>
  <w:style w:type="paragraph" w:customStyle="1" w:styleId="BodyTextRight">
    <w:name w:val="Body Text Right"/>
    <w:basedOn w:val="BodyText"/>
    <w:rsid w:val="00672C5C"/>
    <w:pPr>
      <w:spacing w:before="0" w:after="0"/>
      <w:jc w:val="right"/>
    </w:pPr>
  </w:style>
  <w:style w:type="paragraph" w:styleId="Index3">
    <w:name w:val="index 3"/>
    <w:basedOn w:val="ListNumber2"/>
    <w:next w:val="Normal"/>
    <w:semiHidden/>
    <w:rsid w:val="00672C5C"/>
    <w:pPr>
      <w:numPr>
        <w:numId w:val="0"/>
      </w:numPr>
      <w:tabs>
        <w:tab w:val="right" w:leader="dot" w:pos="4176"/>
      </w:tabs>
    </w:pPr>
  </w:style>
  <w:style w:type="paragraph" w:styleId="ListNumber2">
    <w:name w:val="List Number 2"/>
    <w:basedOn w:val="List2"/>
    <w:rsid w:val="00672C5C"/>
    <w:pPr>
      <w:numPr>
        <w:numId w:val="9"/>
      </w:numPr>
      <w:tabs>
        <w:tab w:val="clear" w:pos="1060"/>
      </w:tabs>
    </w:pPr>
  </w:style>
  <w:style w:type="paragraph" w:customStyle="1" w:styleId="MarginNote">
    <w:name w:val="Margin Note"/>
    <w:basedOn w:val="BodyText"/>
    <w:rsid w:val="00672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C5C"/>
    <w:rPr>
      <w:sz w:val="32"/>
    </w:rPr>
  </w:style>
  <w:style w:type="paragraph" w:customStyle="1" w:styleId="HeadingProcedure">
    <w:name w:val="Heading Procedure"/>
    <w:basedOn w:val="HeadingBase"/>
    <w:next w:val="Normal"/>
    <w:rsid w:val="00672C5C"/>
    <w:pPr>
      <w:tabs>
        <w:tab w:val="left" w:pos="0"/>
      </w:tabs>
      <w:spacing w:before="120" w:after="60"/>
    </w:pPr>
    <w:rPr>
      <w:i/>
      <w:color w:val="918585"/>
      <w:sz w:val="22"/>
    </w:rPr>
  </w:style>
  <w:style w:type="paragraph" w:customStyle="1" w:styleId="TableBodyText">
    <w:name w:val="Table Body Text"/>
    <w:basedOn w:val="BodyText"/>
    <w:rsid w:val="00672C5C"/>
    <w:pPr>
      <w:spacing w:before="60" w:after="60"/>
    </w:pPr>
  </w:style>
  <w:style w:type="paragraph" w:styleId="ListContinue">
    <w:name w:val="List Continue"/>
    <w:basedOn w:val="List"/>
    <w:rsid w:val="00672C5C"/>
    <w:pPr>
      <w:ind w:firstLine="0"/>
    </w:pPr>
  </w:style>
  <w:style w:type="paragraph" w:customStyle="1" w:styleId="ListNote">
    <w:name w:val="List Note"/>
    <w:basedOn w:val="List"/>
    <w:rsid w:val="00672C5C"/>
    <w:pPr>
      <w:pBdr>
        <w:top w:val="single" w:sz="6" w:space="2" w:color="918585"/>
        <w:bottom w:val="single" w:sz="6" w:space="2" w:color="918585"/>
      </w:pBdr>
      <w:tabs>
        <w:tab w:val="left" w:pos="1021"/>
      </w:tabs>
      <w:ind w:firstLine="0"/>
    </w:pPr>
  </w:style>
  <w:style w:type="paragraph" w:customStyle="1" w:styleId="Warning">
    <w:name w:val="Warning"/>
    <w:basedOn w:val="BodyText"/>
    <w:rsid w:val="00672C5C"/>
    <w:pPr>
      <w:shd w:val="clear" w:color="auto" w:fill="D9D9D9"/>
      <w:tabs>
        <w:tab w:val="left" w:pos="992"/>
      </w:tabs>
      <w:ind w:left="119" w:right="119"/>
    </w:pPr>
    <w:rPr>
      <w:sz w:val="20"/>
    </w:rPr>
  </w:style>
  <w:style w:type="paragraph" w:customStyle="1" w:styleId="MarginIcons">
    <w:name w:val="Margin Icons"/>
    <w:basedOn w:val="BodyText"/>
    <w:rsid w:val="00672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C5C"/>
    <w:rPr>
      <w:rFonts w:ascii="Courier New" w:hAnsi="Courier New"/>
    </w:rPr>
  </w:style>
  <w:style w:type="paragraph" w:customStyle="1" w:styleId="NoteBullet">
    <w:name w:val="Note Bullet"/>
    <w:basedOn w:val="Note"/>
    <w:rsid w:val="00672C5C"/>
    <w:pPr>
      <w:tabs>
        <w:tab w:val="clear" w:pos="680"/>
      </w:tabs>
      <w:spacing w:before="60" w:after="60"/>
    </w:pPr>
  </w:style>
  <w:style w:type="paragraph" w:customStyle="1" w:styleId="SubHeading2">
    <w:name w:val="SubHeading2"/>
    <w:basedOn w:val="HeadingBase"/>
    <w:rsid w:val="00672C5C"/>
    <w:pPr>
      <w:spacing w:before="240" w:after="60"/>
    </w:pPr>
    <w:rPr>
      <w:sz w:val="20"/>
    </w:rPr>
  </w:style>
  <w:style w:type="paragraph" w:customStyle="1" w:styleId="SubHeading1">
    <w:name w:val="SubHeading1"/>
    <w:basedOn w:val="HeadingBase"/>
    <w:rsid w:val="00672C5C"/>
    <w:pPr>
      <w:spacing w:before="240" w:after="60"/>
    </w:pPr>
    <w:rPr>
      <w:color w:val="918585"/>
      <w:sz w:val="22"/>
    </w:rPr>
  </w:style>
  <w:style w:type="paragraph" w:customStyle="1" w:styleId="SideHeading">
    <w:name w:val="Side Heading"/>
    <w:basedOn w:val="HeadingBase"/>
    <w:rsid w:val="00672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C5C"/>
    <w:pPr>
      <w:tabs>
        <w:tab w:val="num" w:pos="360"/>
      </w:tabs>
    </w:pPr>
  </w:style>
  <w:style w:type="paragraph" w:styleId="PlainText">
    <w:name w:val="Plain Text"/>
    <w:basedOn w:val="Normal"/>
    <w:link w:val="PlainTextChar"/>
    <w:rsid w:val="00672C5C"/>
    <w:rPr>
      <w:sz w:val="20"/>
    </w:rPr>
  </w:style>
  <w:style w:type="character" w:customStyle="1" w:styleId="PlainTextChar">
    <w:name w:val="Plain Text Char"/>
    <w:basedOn w:val="DefaultParagraphFont"/>
    <w:link w:val="PlainText"/>
    <w:rsid w:val="00672C5C"/>
    <w:rPr>
      <w:rFonts w:ascii="Courier New" w:eastAsia="Times New Roman" w:hAnsi="Courier New" w:cs="Times New Roman"/>
      <w:sz w:val="20"/>
      <w:szCs w:val="20"/>
      <w:lang w:eastAsia="en-US"/>
    </w:rPr>
  </w:style>
  <w:style w:type="character" w:customStyle="1" w:styleId="MenuOption">
    <w:name w:val="Menu Option"/>
    <w:basedOn w:val="DefaultParagraphFont"/>
    <w:rsid w:val="00672C5C"/>
    <w:rPr>
      <w:b/>
      <w:smallCaps/>
    </w:rPr>
  </w:style>
  <w:style w:type="paragraph" w:customStyle="1" w:styleId="TableListNumber">
    <w:name w:val="Table List Number"/>
    <w:basedOn w:val="ListNumber"/>
    <w:rsid w:val="00672C5C"/>
    <w:pPr>
      <w:numPr>
        <w:numId w:val="0"/>
      </w:numPr>
    </w:pPr>
  </w:style>
  <w:style w:type="paragraph" w:styleId="TOC4">
    <w:name w:val="toc 4"/>
    <w:basedOn w:val="TOCBase"/>
    <w:next w:val="Normal"/>
    <w:semiHidden/>
    <w:rsid w:val="00672C5C"/>
    <w:pPr>
      <w:tabs>
        <w:tab w:val="right" w:leader="dot" w:pos="9071"/>
      </w:tabs>
      <w:ind w:left="1701"/>
    </w:pPr>
  </w:style>
  <w:style w:type="paragraph" w:customStyle="1" w:styleId="ListAlpha">
    <w:name w:val="List Alpha"/>
    <w:basedOn w:val="List"/>
    <w:rsid w:val="00672C5C"/>
    <w:pPr>
      <w:numPr>
        <w:numId w:val="8"/>
      </w:numPr>
    </w:pPr>
  </w:style>
  <w:style w:type="paragraph" w:customStyle="1" w:styleId="ListAlpha2">
    <w:name w:val="List Alpha 2"/>
    <w:basedOn w:val="List2"/>
    <w:rsid w:val="00672C5C"/>
    <w:pPr>
      <w:numPr>
        <w:numId w:val="7"/>
      </w:numPr>
    </w:pPr>
  </w:style>
  <w:style w:type="paragraph" w:styleId="List2">
    <w:name w:val="List 2"/>
    <w:basedOn w:val="BodyText"/>
    <w:rsid w:val="00672C5C"/>
    <w:pPr>
      <w:tabs>
        <w:tab w:val="left" w:pos="680"/>
      </w:tabs>
      <w:spacing w:before="60" w:after="60"/>
      <w:ind w:left="680" w:hanging="340"/>
    </w:pPr>
  </w:style>
  <w:style w:type="paragraph" w:styleId="List3">
    <w:name w:val="List 3"/>
    <w:basedOn w:val="BodyText"/>
    <w:rsid w:val="00672C5C"/>
    <w:pPr>
      <w:tabs>
        <w:tab w:val="left" w:pos="1021"/>
      </w:tabs>
      <w:spacing w:before="60" w:after="60"/>
      <w:ind w:left="1020" w:hanging="340"/>
    </w:pPr>
  </w:style>
  <w:style w:type="paragraph" w:styleId="List4">
    <w:name w:val="List 4"/>
    <w:basedOn w:val="BodyText"/>
    <w:rsid w:val="00672C5C"/>
    <w:pPr>
      <w:tabs>
        <w:tab w:val="left" w:pos="1361"/>
      </w:tabs>
      <w:spacing w:before="60" w:after="60"/>
      <w:ind w:left="1361" w:hanging="340"/>
    </w:pPr>
  </w:style>
  <w:style w:type="paragraph" w:styleId="List5">
    <w:name w:val="List 5"/>
    <w:basedOn w:val="BodyText"/>
    <w:rsid w:val="00672C5C"/>
    <w:pPr>
      <w:tabs>
        <w:tab w:val="left" w:pos="1701"/>
      </w:tabs>
      <w:spacing w:before="60" w:after="60"/>
      <w:ind w:left="1701" w:hanging="340"/>
    </w:pPr>
  </w:style>
  <w:style w:type="paragraph" w:styleId="ListBullet3">
    <w:name w:val="List Bullet 3"/>
    <w:basedOn w:val="List3"/>
    <w:rsid w:val="00672C5C"/>
    <w:pPr>
      <w:numPr>
        <w:numId w:val="14"/>
      </w:numPr>
      <w:tabs>
        <w:tab w:val="clear" w:pos="1021"/>
      </w:tabs>
      <w:ind w:left="1037" w:hanging="357"/>
    </w:pPr>
  </w:style>
  <w:style w:type="paragraph" w:styleId="ListBullet4">
    <w:name w:val="List Bullet 4"/>
    <w:basedOn w:val="List4"/>
    <w:rsid w:val="00672C5C"/>
    <w:pPr>
      <w:numPr>
        <w:numId w:val="2"/>
      </w:numPr>
      <w:tabs>
        <w:tab w:val="clear" w:pos="1361"/>
      </w:tabs>
    </w:pPr>
  </w:style>
  <w:style w:type="paragraph" w:styleId="ListBullet5">
    <w:name w:val="List Bullet 5"/>
    <w:basedOn w:val="List5"/>
    <w:rsid w:val="00672C5C"/>
    <w:pPr>
      <w:numPr>
        <w:numId w:val="3"/>
      </w:numPr>
    </w:pPr>
  </w:style>
  <w:style w:type="paragraph" w:styleId="ListContinue2">
    <w:name w:val="List Continue 2"/>
    <w:basedOn w:val="List2"/>
    <w:rsid w:val="00672C5C"/>
    <w:pPr>
      <w:ind w:firstLine="0"/>
    </w:pPr>
  </w:style>
  <w:style w:type="paragraph" w:styleId="ListContinue3">
    <w:name w:val="List Continue 3"/>
    <w:basedOn w:val="List3"/>
    <w:rsid w:val="00672C5C"/>
    <w:pPr>
      <w:ind w:left="1021" w:firstLine="0"/>
    </w:pPr>
  </w:style>
  <w:style w:type="paragraph" w:styleId="ListContinue4">
    <w:name w:val="List Continue 4"/>
    <w:basedOn w:val="List4"/>
    <w:rsid w:val="00672C5C"/>
    <w:pPr>
      <w:ind w:firstLine="0"/>
    </w:pPr>
  </w:style>
  <w:style w:type="paragraph" w:styleId="ListContinue5">
    <w:name w:val="List Continue 5"/>
    <w:basedOn w:val="List5"/>
    <w:rsid w:val="00672C5C"/>
    <w:pPr>
      <w:ind w:firstLine="0"/>
    </w:pPr>
  </w:style>
  <w:style w:type="paragraph" w:styleId="ListNumber3">
    <w:name w:val="List Number 3"/>
    <w:basedOn w:val="List3"/>
    <w:rsid w:val="00672C5C"/>
    <w:pPr>
      <w:numPr>
        <w:numId w:val="4"/>
      </w:numPr>
    </w:pPr>
  </w:style>
  <w:style w:type="paragraph" w:styleId="ListNumber4">
    <w:name w:val="List Number 4"/>
    <w:basedOn w:val="List4"/>
    <w:rsid w:val="00672C5C"/>
    <w:pPr>
      <w:numPr>
        <w:numId w:val="5"/>
      </w:numPr>
    </w:pPr>
  </w:style>
  <w:style w:type="paragraph" w:styleId="ListNumber5">
    <w:name w:val="List Number 5"/>
    <w:basedOn w:val="List5"/>
    <w:rsid w:val="00672C5C"/>
    <w:pPr>
      <w:numPr>
        <w:numId w:val="6"/>
      </w:numPr>
    </w:pPr>
  </w:style>
  <w:style w:type="paragraph" w:styleId="BlockText">
    <w:name w:val="Block Text"/>
    <w:basedOn w:val="Normal"/>
    <w:rsid w:val="00672C5C"/>
    <w:pPr>
      <w:spacing w:after="120"/>
      <w:ind w:left="1440" w:right="1440"/>
    </w:pPr>
  </w:style>
  <w:style w:type="character" w:customStyle="1" w:styleId="Subscript">
    <w:name w:val="Subscript"/>
    <w:basedOn w:val="DefaultParagraphFont"/>
    <w:rsid w:val="00672C5C"/>
    <w:rPr>
      <w:sz w:val="16"/>
      <w:vertAlign w:val="subscript"/>
    </w:rPr>
  </w:style>
  <w:style w:type="character" w:customStyle="1" w:styleId="Superscript">
    <w:name w:val="Superscript"/>
    <w:basedOn w:val="DefaultParagraphFont"/>
    <w:rsid w:val="00672C5C"/>
    <w:rPr>
      <w:sz w:val="16"/>
      <w:vertAlign w:val="superscript"/>
    </w:rPr>
  </w:style>
  <w:style w:type="character" w:customStyle="1" w:styleId="Symbols">
    <w:name w:val="Symbols"/>
    <w:basedOn w:val="DefaultParagraphFont"/>
    <w:rsid w:val="00672C5C"/>
    <w:rPr>
      <w:rFonts w:ascii="Symbol" w:hAnsi="Symbol"/>
    </w:rPr>
  </w:style>
  <w:style w:type="character" w:customStyle="1" w:styleId="MenuOptions">
    <w:name w:val="Menu Options"/>
    <w:basedOn w:val="DefaultParagraphFont"/>
    <w:rsid w:val="00672C5C"/>
    <w:rPr>
      <w:rFonts w:ascii="Arial Narrow" w:hAnsi="Arial Narrow"/>
      <w:smallCaps/>
    </w:rPr>
  </w:style>
  <w:style w:type="character" w:customStyle="1" w:styleId="Buttons">
    <w:name w:val="Buttons"/>
    <w:basedOn w:val="DefaultParagraphFont"/>
    <w:rsid w:val="00672C5C"/>
    <w:rPr>
      <w:b/>
    </w:rPr>
  </w:style>
  <w:style w:type="character" w:customStyle="1" w:styleId="Underlined">
    <w:name w:val="Underlined"/>
    <w:basedOn w:val="DefaultParagraphFont"/>
    <w:rsid w:val="00672C5C"/>
    <w:rPr>
      <w:u w:val="single"/>
    </w:rPr>
  </w:style>
  <w:style w:type="paragraph" w:customStyle="1" w:styleId="TableBodyTextRight">
    <w:name w:val="Table Body Text Right"/>
    <w:basedOn w:val="TableBodyText"/>
    <w:rsid w:val="00672C5C"/>
    <w:pPr>
      <w:widowControl w:val="0"/>
      <w:autoSpaceDE w:val="0"/>
      <w:autoSpaceDN w:val="0"/>
      <w:adjustRightInd w:val="0"/>
      <w:jc w:val="right"/>
    </w:pPr>
    <w:rPr>
      <w:rFonts w:cs="Arial"/>
      <w:szCs w:val="18"/>
    </w:rPr>
  </w:style>
  <w:style w:type="paragraph" w:customStyle="1" w:styleId="CopyrightText">
    <w:name w:val="Copyright Text"/>
    <w:basedOn w:val="BodyText"/>
    <w:rsid w:val="00672C5C"/>
    <w:rPr>
      <w:sz w:val="18"/>
    </w:rPr>
  </w:style>
  <w:style w:type="paragraph" w:customStyle="1" w:styleId="BodySmallRight">
    <w:name w:val="Body Small Right"/>
    <w:basedOn w:val="BodyTextRight"/>
    <w:rsid w:val="00672C5C"/>
    <w:rPr>
      <w:sz w:val="18"/>
      <w:szCs w:val="18"/>
    </w:rPr>
  </w:style>
  <w:style w:type="paragraph" w:customStyle="1" w:styleId="MarginEdition">
    <w:name w:val="Margin Edition"/>
    <w:basedOn w:val="MarginNote"/>
    <w:rsid w:val="00672C5C"/>
    <w:pPr>
      <w:spacing w:before="0" w:after="0"/>
    </w:pPr>
    <w:rPr>
      <w:rFonts w:ascii="Times New Roman" w:hAnsi="Times New Roman"/>
      <w:color w:val="999999"/>
    </w:rPr>
  </w:style>
  <w:style w:type="paragraph" w:customStyle="1" w:styleId="Spacer">
    <w:name w:val="Spacer"/>
    <w:basedOn w:val="Normal"/>
    <w:rsid w:val="00672C5C"/>
    <w:rPr>
      <w:sz w:val="2"/>
      <w:szCs w:val="2"/>
    </w:rPr>
  </w:style>
  <w:style w:type="character" w:customStyle="1" w:styleId="Small">
    <w:name w:val="Small"/>
    <w:basedOn w:val="DefaultParagraphFont"/>
    <w:rsid w:val="00672C5C"/>
    <w:rPr>
      <w:sz w:val="16"/>
    </w:rPr>
  </w:style>
  <w:style w:type="paragraph" w:customStyle="1" w:styleId="WideTable">
    <w:name w:val="Wide Table"/>
    <w:basedOn w:val="Normal"/>
    <w:rsid w:val="00672C5C"/>
    <w:pPr>
      <w:ind w:left="-1418"/>
    </w:pPr>
    <w:rPr>
      <w:sz w:val="2"/>
      <w:szCs w:val="2"/>
    </w:rPr>
  </w:style>
  <w:style w:type="character" w:styleId="PageNumber">
    <w:name w:val="page number"/>
    <w:basedOn w:val="DefaultParagraphFont"/>
    <w:rsid w:val="00672C5C"/>
  </w:style>
  <w:style w:type="paragraph" w:styleId="Quote">
    <w:name w:val="Quote"/>
    <w:basedOn w:val="Heading1"/>
    <w:link w:val="QuoteChar"/>
    <w:qFormat/>
    <w:rsid w:val="00672C5C"/>
    <w:rPr>
      <w:b w:val="0"/>
      <w:sz w:val="72"/>
      <w:szCs w:val="72"/>
      <w:lang w:val="en-NZ"/>
    </w:rPr>
  </w:style>
  <w:style w:type="character" w:customStyle="1" w:styleId="QuoteChar">
    <w:name w:val="Quote Char"/>
    <w:basedOn w:val="DefaultParagraphFont"/>
    <w:link w:val="Quote"/>
    <w:rsid w:val="00672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C5C"/>
    <w:pPr>
      <w:pageBreakBefore/>
    </w:pPr>
  </w:style>
  <w:style w:type="paragraph" w:customStyle="1" w:styleId="Border">
    <w:name w:val="Border"/>
    <w:basedOn w:val="Normal"/>
    <w:qFormat/>
    <w:rsid w:val="00672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C5C"/>
    <w:rPr>
      <w:b/>
      <w:bCs/>
      <w:i/>
      <w:iCs/>
      <w:color w:val="auto"/>
    </w:rPr>
  </w:style>
  <w:style w:type="paragraph" w:styleId="IntenseQuote">
    <w:name w:val="Intense Quote"/>
    <w:basedOn w:val="Normal"/>
    <w:next w:val="Normal"/>
    <w:link w:val="IntenseQuoteChar"/>
    <w:uiPriority w:val="30"/>
    <w:qFormat/>
    <w:rsid w:val="00672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C5C"/>
    <w:rPr>
      <w:smallCaps/>
      <w:color w:val="auto"/>
      <w:u w:val="single"/>
    </w:rPr>
  </w:style>
  <w:style w:type="character" w:styleId="IntenseReference">
    <w:name w:val="Intense Reference"/>
    <w:basedOn w:val="DefaultParagraphFont"/>
    <w:uiPriority w:val="32"/>
    <w:qFormat/>
    <w:rsid w:val="00672C5C"/>
    <w:rPr>
      <w:b/>
      <w:bCs/>
      <w:smallCaps/>
      <w:color w:val="auto"/>
      <w:spacing w:val="5"/>
      <w:u w:val="single"/>
    </w:rPr>
  </w:style>
  <w:style w:type="paragraph" w:customStyle="1" w:styleId="2ColumnHeading">
    <w:name w:val="2Column Heading"/>
    <w:basedOn w:val="BodyText"/>
    <w:qFormat/>
    <w:rsid w:val="00672C5C"/>
    <w:pPr>
      <w:spacing w:after="60"/>
      <w:ind w:left="-2268"/>
    </w:pPr>
    <w:rPr>
      <w:b/>
    </w:rPr>
  </w:style>
  <w:style w:type="paragraph" w:customStyle="1" w:styleId="Heading1TOC">
    <w:name w:val="Heading1 TOC"/>
    <w:basedOn w:val="Normal"/>
    <w:qFormat/>
    <w:rsid w:val="00672C5C"/>
    <w:pPr>
      <w:spacing w:before="240" w:after="120"/>
    </w:pPr>
    <w:rPr>
      <w:rFonts w:ascii="Times New Roman" w:hAnsi="Times New Roman"/>
      <w:b/>
      <w:sz w:val="32"/>
    </w:rPr>
  </w:style>
  <w:style w:type="paragraph" w:customStyle="1" w:styleId="Heading2TOC">
    <w:name w:val="Heading2 TOC"/>
    <w:basedOn w:val="Normal"/>
    <w:qFormat/>
    <w:rsid w:val="00672C5C"/>
    <w:pPr>
      <w:spacing w:before="240" w:after="60"/>
    </w:pPr>
    <w:rPr>
      <w:rFonts w:ascii="Times New Roman" w:hAnsi="Times New Roman"/>
      <w:b/>
      <w:sz w:val="28"/>
    </w:rPr>
  </w:style>
  <w:style w:type="character" w:customStyle="1" w:styleId="Underline">
    <w:name w:val="Underline"/>
    <w:basedOn w:val="DefaultParagraphFont"/>
    <w:qFormat/>
    <w:rsid w:val="00672C5C"/>
    <w:rPr>
      <w:u w:val="single"/>
    </w:rPr>
  </w:style>
  <w:style w:type="character" w:customStyle="1" w:styleId="BoldandItalics">
    <w:name w:val="Bold and Italics"/>
    <w:qFormat/>
    <w:rsid w:val="00672C5C"/>
    <w:rPr>
      <w:b/>
      <w:i/>
      <w:u w:val="none"/>
    </w:rPr>
  </w:style>
  <w:style w:type="paragraph" w:styleId="BalloonText">
    <w:name w:val="Balloon Text"/>
    <w:basedOn w:val="Normal"/>
    <w:link w:val="BalloonTextChar"/>
    <w:rsid w:val="00672C5C"/>
    <w:rPr>
      <w:rFonts w:ascii="Tahoma" w:hAnsi="Tahoma" w:cs="Tahoma"/>
      <w:sz w:val="16"/>
      <w:szCs w:val="16"/>
    </w:rPr>
  </w:style>
  <w:style w:type="character" w:customStyle="1" w:styleId="BalloonTextChar">
    <w:name w:val="Balloon Text Char"/>
    <w:basedOn w:val="DefaultParagraphFont"/>
    <w:link w:val="BalloonText"/>
    <w:rsid w:val="00672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C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C5C"/>
    <w:rPr>
      <w:b/>
      <w:color w:val="660033"/>
      <w:spacing w:val="0"/>
    </w:rPr>
  </w:style>
  <w:style w:type="paragraph" w:customStyle="1" w:styleId="Nameditemlist">
    <w:name w:val="Named item list"/>
    <w:basedOn w:val="BodyText"/>
    <w:qFormat/>
    <w:rsid w:val="00672C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862</Words>
  <Characters>5598</Characters>
  <Application>Microsoft Office Word</Application>
  <DocSecurity>0</DocSecurity>
  <Lines>176</Lines>
  <Paragraphs>96</Paragraphs>
  <ScaleCrop>false</ScaleCrop>
  <Company>Author-it Software Corporation Ltd.</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CUA30815 Certificate III in Broadcast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2016-01-15T14:03:13Z</dcterms:created>
  <dcterms:modified xsi:type="dcterms:W3CDTF">2016-01-14T09:31:00Z</dcterms:modified>
</cp:coreProperties>
</file>