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A4E" w:rsidP="00A00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CSCSAS030 Manage threatening behaviour</w:t>
      </w:r>
      <w:r>
        <w:fldChar w:fldCharType="end"/>
      </w:r>
    </w:p>
    <w:p w:rsidR="00A00A4E" w:rsidP="00A00A4E">
      <w:pPr>
        <w:pStyle w:val="Version"/>
        <w:sectPr w:rsidSect="00482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A72" w:rsidP="00482A72">
      <w:pPr>
        <w:pStyle w:val="SuperHeading"/>
      </w:pPr>
      <w:r w:rsidRPr="00482A72">
        <w:t>CSCSAS030 Manage threatening behaviour</w:t>
      </w:r>
    </w:p>
    <w:p w:rsidR="00000000" w:rsidRPr="00482A72" w:rsidP="00482A72">
      <w:pPr>
        <w:pStyle w:val="Heading1"/>
      </w:pPr>
      <w:bookmarkStart w:id="1" w:name="O_1245439"/>
      <w:bookmarkEnd w:id="1"/>
      <w:r w:rsidRPr="00482A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Release 1. This is the first release of this unit of competency in the CSC Correctional Services Training Package Release 5.0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2" w:name="O_1245440"/>
      <w:bookmarkEnd w:id="2"/>
      <w:r w:rsidRPr="00482A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This unit describes the skills and knowledge required to use communication t</w:t>
            </w:r>
            <w:r w:rsidRPr="00482A72">
              <w:t>o establish control and apply defensive control strategies.</w:t>
            </w:r>
          </w:p>
          <w:p w:rsidR="00000000" w:rsidRPr="00482A72" w:rsidP="00482A72">
            <w:pPr>
              <w:pStyle w:val="BodyText"/>
            </w:pPr>
            <w:r w:rsidRPr="00482A72">
              <w:t xml:space="preserve">This unit applies to those working in detention centres, correctional centres or prisons, community corrections offices, justice administration offices and on work sites where offenders are under </w:t>
            </w:r>
            <w:r w:rsidRPr="00482A72">
              <w:t>statutory supervision.</w:t>
            </w:r>
          </w:p>
          <w:p w:rsidR="00000000" w:rsidRPr="00482A72" w:rsidP="00482A72">
            <w:pPr>
              <w:pStyle w:val="BodyText"/>
            </w:pPr>
            <w:r w:rsidRPr="00482A72">
              <w:t>An individual undertaking this unit works mostly independently, drawing upon support from a range of established and new resources.</w:t>
            </w:r>
          </w:p>
          <w:p w:rsidR="00000000" w:rsidRPr="00482A72" w:rsidP="00482A72">
            <w:pPr>
              <w:pStyle w:val="BodyText"/>
            </w:pPr>
            <w:r w:rsidRPr="00482A72">
              <w:t>The skills and knowledge described in this unit must be applied within the legislative, regulatory an</w:t>
            </w:r>
            <w:r w:rsidRPr="00482A72">
              <w:t>d policy environment in which they are carried out. Organisational policies and procedures must be consulted and adhered to, particularly those related to use of force.</w:t>
            </w:r>
          </w:p>
          <w:p w:rsidR="00000000" w:rsidRPr="00482A72" w:rsidP="00482A72">
            <w:pPr>
              <w:pStyle w:val="BodyText"/>
            </w:pPr>
            <w:r w:rsidRPr="00482A72">
              <w:t>No licensing, legislative or certification requirements apply to unit at the time of pu</w:t>
            </w:r>
            <w:r w:rsidRPr="00482A72">
              <w:t>blication.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3" w:name="O_1245441"/>
      <w:bookmarkEnd w:id="3"/>
      <w:r w:rsidRPr="00482A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 xml:space="preserve"> Not applicable.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4" w:name="O_1245442"/>
      <w:bookmarkEnd w:id="4"/>
      <w:r w:rsidRPr="00482A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Safety and security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5" w:name="O_1245443"/>
      <w:bookmarkEnd w:id="5"/>
      <w:r w:rsidRPr="00482A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Not applicable.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6" w:name="O_1245444"/>
      <w:bookmarkEnd w:id="6"/>
      <w:r w:rsidRPr="00482A72">
        <w:t>Elements and Performance Criteria</w:t>
      </w:r>
    </w:p>
    <w:tbl>
      <w:tblPr>
        <w:tblW w:w="95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345"/>
        <w:gridCol w:w="643"/>
        <w:gridCol w:w="5122"/>
      </w:tblGrid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ELEMENTS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PERFORMANCE CRITERIA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Elements describe the essential outcomes.</w:t>
            </w:r>
          </w:p>
        </w:tc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Performance criteria describe the performance needed to demonstrate achievement of the element.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Use communication to establish control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Adopt a position and stance designed to increase control and confidence and minimise provocation and aggressive response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communication techniques that focus the attention and concentration of the person in controlled directions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communication strategies that provide clear instructions and options aimed at reducing escalation of reaction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communication methods that engage the person in positive responses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1.5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non-threatening body language to avoid provocation an</w:t>
            </w:r>
            <w:r w:rsidRPr="00482A72">
              <w:t>d aggressive messages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1.6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continuous and calming communication to provide distraction and personalised engagement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1.7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Defuse negative provocation and confrontation with the use of confident and positive proposals and alternatives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Apply defensive control strategies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Monitor offenders using threatening behaviour, assess all relevant indications for degree and nature of risk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Monitor the environment for factors which may contribute to or moderate the risks identified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O</w:t>
            </w:r>
            <w:r w:rsidRPr="00482A72">
              <w:t>bserve offender behaviour and assess for potential escalation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Explain options for cooperation clearly and positively and support them when cooperation is given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2.5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Request assistance as required in accordance with operational requirements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2.6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Select defensive control tactics appropriate for the nature of the threat and the degree of risk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2.7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Perform defensive control with respect to dignity and human rights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3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rPr>
                <w:rStyle w:val="SpecialBold"/>
              </w:rPr>
              <w:t>Re-establish control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3.1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 xml:space="preserve">Monitor subject for signs and symptoms of medical </w:t>
            </w:r>
            <w:r w:rsidRPr="00482A72">
              <w:t xml:space="preserve">issues </w:t>
            </w:r>
            <w:r w:rsidRPr="00482A72">
              <w:t>and respond appropriately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3.2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Use search or isolation to remove any remaining risks and maintain safety and security of those involved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3.3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t>Consult and take advice from specialist support</w:t>
            </w:r>
          </w:p>
        </w:tc>
      </w:tr>
      <w:tr w:rsidTr="00482A72">
        <w:tblPrEx>
          <w:tblW w:w="951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>
            <w:pPr>
              <w:pStyle w:val="BodyText"/>
              <w:keepLines w:val="0"/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72">
            <w:pPr>
              <w:pStyle w:val="BodyText"/>
              <w:rPr>
                <w:lang w:val="en-NZ"/>
              </w:rPr>
            </w:pPr>
            <w:r w:rsidRPr="00482A72">
              <w:rPr>
                <w:rStyle w:val="SpecialBold"/>
              </w:rPr>
              <w:t>3.4</w:t>
            </w: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Complete record</w:t>
            </w:r>
            <w:r w:rsidRPr="00482A72">
              <w:t>s and reports in accordance with organisational procedures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7" w:name="O_1245445"/>
      <w:bookmarkEnd w:id="7"/>
      <w:r w:rsidRPr="00482A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Foundation skills essential to performance are explicit in the performance criteria of this unit of competency.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8" w:name="O_1245446"/>
      <w:bookmarkEnd w:id="8"/>
      <w:r w:rsidRPr="00482A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Range is restricted to essential operating conditions and any other variables essential to the work environment.</w:t>
            </w:r>
          </w:p>
          <w:p w:rsidR="00000000" w:rsidRPr="00482A72" w:rsidP="00482A72">
            <w:pPr>
              <w:pStyle w:val="BodyText"/>
            </w:pPr>
            <w:r w:rsidRPr="00482A72">
              <w:t>Non-essential conditions may be found in the Correctional Services Training Package Companion Volume Implementation Guide.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9" w:name="O_1245447"/>
      <w:bookmarkEnd w:id="9"/>
      <w:r w:rsidRPr="00482A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72" w:rsidP="00482A72">
            <w:pPr>
              <w:pStyle w:val="BodyText"/>
            </w:pPr>
            <w:r w:rsidRPr="00482A72">
              <w:t>This unit replaces and is equivalent to CSCSAS015 Manage threatening behaviour.</w:t>
            </w:r>
          </w:p>
        </w:tc>
      </w:tr>
    </w:tbl>
    <w:p w:rsidR="00000000" w:rsidRPr="00482A72" w:rsidP="00482A72">
      <w:pPr>
        <w:pStyle w:val="NoPaddingFontSize1"/>
      </w:pPr>
    </w:p>
    <w:p w:rsidR="00000000" w:rsidRPr="00482A72" w:rsidP="00482A72">
      <w:pPr>
        <w:pStyle w:val="AllowPageBreak"/>
      </w:pPr>
    </w:p>
    <w:p w:rsidR="00000000" w:rsidRPr="00482A72" w:rsidP="00482A72">
      <w:pPr>
        <w:pStyle w:val="Heading1"/>
      </w:pPr>
      <w:bookmarkStart w:id="10" w:name="O_1245454"/>
      <w:bookmarkEnd w:id="10"/>
      <w:r w:rsidRPr="00482A72">
        <w:t>Links</w:t>
      </w:r>
    </w:p>
    <w:p w:rsidR="00000000" w:rsidRPr="00482A72" w:rsidP="00A00A4E">
      <w:pPr>
        <w:pStyle w:val="BodyText"/>
      </w:pPr>
      <w:r w:rsidRPr="00482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A353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82A72" w:rsidP="00482A72"/>
    <w:sectPr w:rsidSect="00482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72" w:rsidRPr="00A00A4E" w:rsidP="00A00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4E" w:rsidP="00482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A4E" w:rsidP="00482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0A4E" w:rsidP="00482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A72" w:rsidRPr="00A00A4E" w:rsidP="00A00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4E" w:rsidRPr="002D2AF8" w:rsidP="00482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CSCSAS030 Manage threatening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A00A4E" w:rsidP="00482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A72"/>
  </w:style>
  <w:style w:type="character" w:customStyle="1" w:styleId="Heading1Char">
    <w:name w:val="Heading 1 Char"/>
    <w:basedOn w:val="DefaultParagraphFont"/>
    <w:link w:val="Heading1"/>
    <w:rsid w:val="00482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A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2A72"/>
    <w:rPr>
      <w:b/>
      <w:spacing w:val="0"/>
    </w:rPr>
  </w:style>
  <w:style w:type="paragraph" w:customStyle="1" w:styleId="SuperHeading">
    <w:name w:val="SuperHeading"/>
    <w:basedOn w:val="Normal"/>
    <w:rsid w:val="00482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A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A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A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A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A72"/>
    <w:rPr>
      <w:i/>
    </w:rPr>
  </w:style>
  <w:style w:type="paragraph" w:styleId="Caption">
    <w:name w:val="caption"/>
    <w:basedOn w:val="BodyText"/>
    <w:next w:val="Normal"/>
    <w:qFormat/>
    <w:rsid w:val="00482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A72"/>
  </w:style>
  <w:style w:type="paragraph" w:styleId="TableofFigures">
    <w:name w:val="table of figures"/>
    <w:basedOn w:val="Normal"/>
    <w:next w:val="Normal"/>
    <w:semiHidden/>
    <w:rsid w:val="00482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A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2A72"/>
    <w:rPr>
      <w:rFonts w:ascii="Wingdings" w:hAnsi="Wingdings"/>
    </w:rPr>
  </w:style>
  <w:style w:type="paragraph" w:customStyle="1" w:styleId="TableHeading">
    <w:name w:val="Table Heading"/>
    <w:basedOn w:val="HeadingBase"/>
    <w:rsid w:val="00482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A72"/>
    <w:rPr>
      <w:color w:val="0033CC"/>
      <w:u w:val="none"/>
    </w:rPr>
  </w:style>
  <w:style w:type="paragraph" w:customStyle="1" w:styleId="BodyTextRight">
    <w:name w:val="Body Text Right"/>
    <w:basedOn w:val="BodyText"/>
    <w:rsid w:val="00482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A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A72"/>
    <w:rPr>
      <w:sz w:val="32"/>
    </w:rPr>
  </w:style>
  <w:style w:type="paragraph" w:customStyle="1" w:styleId="HeadingProcedure">
    <w:name w:val="Heading Procedure"/>
    <w:basedOn w:val="HeadingBase"/>
    <w:next w:val="Normal"/>
    <w:rsid w:val="00482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A72"/>
    <w:pPr>
      <w:spacing w:before="60" w:after="60"/>
    </w:pPr>
  </w:style>
  <w:style w:type="paragraph" w:styleId="ListContinue">
    <w:name w:val="List Continue"/>
    <w:basedOn w:val="List"/>
    <w:rsid w:val="00482A72"/>
    <w:pPr>
      <w:ind w:firstLine="0"/>
    </w:pPr>
  </w:style>
  <w:style w:type="paragraph" w:customStyle="1" w:styleId="ListNote">
    <w:name w:val="List Note"/>
    <w:basedOn w:val="List"/>
    <w:rsid w:val="00482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A72"/>
    <w:rPr>
      <w:rFonts w:ascii="Courier New" w:hAnsi="Courier New"/>
    </w:rPr>
  </w:style>
  <w:style w:type="paragraph" w:customStyle="1" w:styleId="NoteBullet">
    <w:name w:val="Note Bullet"/>
    <w:basedOn w:val="Note"/>
    <w:rsid w:val="00482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A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2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A72"/>
    <w:rPr>
      <w:b/>
      <w:smallCaps/>
    </w:rPr>
  </w:style>
  <w:style w:type="paragraph" w:customStyle="1" w:styleId="TableListNumber">
    <w:name w:val="Table List Number"/>
    <w:basedOn w:val="ListNumber"/>
    <w:rsid w:val="00482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A72"/>
    <w:pPr>
      <w:numPr>
        <w:numId w:val="7"/>
      </w:numPr>
    </w:pPr>
  </w:style>
  <w:style w:type="paragraph" w:customStyle="1" w:styleId="ListAlpha2">
    <w:name w:val="List Alpha 2"/>
    <w:basedOn w:val="List2"/>
    <w:rsid w:val="00482A72"/>
    <w:pPr>
      <w:numPr>
        <w:numId w:val="6"/>
      </w:numPr>
    </w:pPr>
  </w:style>
  <w:style w:type="paragraph" w:styleId="List2">
    <w:name w:val="List 2"/>
    <w:basedOn w:val="BodyText"/>
    <w:rsid w:val="00482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A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A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A72"/>
    <w:pPr>
      <w:numPr>
        <w:numId w:val="2"/>
      </w:numPr>
    </w:pPr>
  </w:style>
  <w:style w:type="paragraph" w:styleId="ListContinue2">
    <w:name w:val="List Continue 2"/>
    <w:basedOn w:val="List2"/>
    <w:rsid w:val="00482A72"/>
    <w:pPr>
      <w:ind w:firstLine="0"/>
    </w:pPr>
  </w:style>
  <w:style w:type="paragraph" w:styleId="ListContinue3">
    <w:name w:val="List Continue 3"/>
    <w:basedOn w:val="List3"/>
    <w:rsid w:val="00482A72"/>
    <w:pPr>
      <w:ind w:left="1021" w:firstLine="0"/>
    </w:pPr>
  </w:style>
  <w:style w:type="paragraph" w:styleId="ListContinue4">
    <w:name w:val="List Continue 4"/>
    <w:basedOn w:val="List4"/>
    <w:rsid w:val="00482A72"/>
    <w:pPr>
      <w:ind w:firstLine="0"/>
    </w:pPr>
  </w:style>
  <w:style w:type="paragraph" w:styleId="ListContinue5">
    <w:name w:val="List Continue 5"/>
    <w:basedOn w:val="List5"/>
    <w:rsid w:val="00482A72"/>
    <w:pPr>
      <w:ind w:firstLine="0"/>
    </w:pPr>
  </w:style>
  <w:style w:type="paragraph" w:styleId="ListNumber3">
    <w:name w:val="List Number 3"/>
    <w:basedOn w:val="List3"/>
    <w:rsid w:val="00482A72"/>
    <w:pPr>
      <w:numPr>
        <w:numId w:val="3"/>
      </w:numPr>
    </w:pPr>
  </w:style>
  <w:style w:type="paragraph" w:styleId="ListNumber4">
    <w:name w:val="List Number 4"/>
    <w:basedOn w:val="List4"/>
    <w:rsid w:val="00482A72"/>
    <w:pPr>
      <w:numPr>
        <w:numId w:val="4"/>
      </w:numPr>
    </w:pPr>
  </w:style>
  <w:style w:type="paragraph" w:styleId="ListNumber5">
    <w:name w:val="List Number 5"/>
    <w:basedOn w:val="List5"/>
    <w:rsid w:val="00482A72"/>
    <w:pPr>
      <w:numPr>
        <w:numId w:val="5"/>
      </w:numPr>
    </w:pPr>
  </w:style>
  <w:style w:type="paragraph" w:styleId="BlockText">
    <w:name w:val="Block Text"/>
    <w:basedOn w:val="Normal"/>
    <w:rsid w:val="00482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A72"/>
    <w:rPr>
      <w:sz w:val="16"/>
      <w:vertAlign w:val="superscript"/>
    </w:rPr>
  </w:style>
  <w:style w:type="character" w:customStyle="1" w:styleId="Symbols">
    <w:name w:val="Symbols"/>
    <w:basedOn w:val="DefaultParagraphFont"/>
    <w:rsid w:val="00482A72"/>
    <w:rPr>
      <w:rFonts w:ascii="Symbol" w:hAnsi="Symbol"/>
    </w:rPr>
  </w:style>
  <w:style w:type="character" w:customStyle="1" w:styleId="MenuOptions">
    <w:name w:val="Menu Options"/>
    <w:basedOn w:val="DefaultParagraphFont"/>
    <w:rsid w:val="00482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A72"/>
    <w:rPr>
      <w:b/>
    </w:rPr>
  </w:style>
  <w:style w:type="character" w:customStyle="1" w:styleId="Underlined">
    <w:name w:val="Underlined"/>
    <w:basedOn w:val="DefaultParagraphFont"/>
    <w:rsid w:val="00482A72"/>
    <w:rPr>
      <w:u w:val="single"/>
    </w:rPr>
  </w:style>
  <w:style w:type="paragraph" w:customStyle="1" w:styleId="TableBodyTextRight">
    <w:name w:val="Table Body Text Right"/>
    <w:basedOn w:val="TableBodyText"/>
    <w:rsid w:val="00482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A72"/>
    <w:rPr>
      <w:sz w:val="18"/>
    </w:rPr>
  </w:style>
  <w:style w:type="paragraph" w:customStyle="1" w:styleId="BodySmallRight">
    <w:name w:val="Body Small Right"/>
    <w:basedOn w:val="BodyTextRight"/>
    <w:rsid w:val="00482A72"/>
    <w:rPr>
      <w:sz w:val="18"/>
      <w:szCs w:val="18"/>
    </w:rPr>
  </w:style>
  <w:style w:type="paragraph" w:customStyle="1" w:styleId="MarginEdition">
    <w:name w:val="Margin Edition"/>
    <w:basedOn w:val="MarginNote"/>
    <w:rsid w:val="00482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A72"/>
    <w:rPr>
      <w:sz w:val="2"/>
      <w:szCs w:val="2"/>
    </w:rPr>
  </w:style>
  <w:style w:type="character" w:customStyle="1" w:styleId="Small">
    <w:name w:val="Small"/>
    <w:basedOn w:val="DefaultParagraphFont"/>
    <w:rsid w:val="00482A72"/>
    <w:rPr>
      <w:sz w:val="16"/>
    </w:rPr>
  </w:style>
  <w:style w:type="paragraph" w:customStyle="1" w:styleId="WideTable">
    <w:name w:val="Wide Table"/>
    <w:basedOn w:val="Normal"/>
    <w:rsid w:val="00482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A72"/>
  </w:style>
  <w:style w:type="paragraph" w:styleId="Quote">
    <w:name w:val="Quote"/>
    <w:basedOn w:val="Heading1"/>
    <w:link w:val="QuoteChar"/>
    <w:qFormat/>
    <w:rsid w:val="00482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A72"/>
    <w:pPr>
      <w:pageBreakBefore/>
    </w:pPr>
  </w:style>
  <w:style w:type="paragraph" w:customStyle="1" w:styleId="Border">
    <w:name w:val="Border"/>
    <w:basedOn w:val="Normal"/>
    <w:qFormat/>
    <w:rsid w:val="00482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A72"/>
    <w:rPr>
      <w:u w:val="single"/>
    </w:rPr>
  </w:style>
  <w:style w:type="character" w:customStyle="1" w:styleId="BoldandItalics">
    <w:name w:val="Bold and Italics"/>
    <w:qFormat/>
    <w:rsid w:val="00482A72"/>
    <w:rPr>
      <w:b/>
      <w:i/>
      <w:u w:val="none"/>
    </w:rPr>
  </w:style>
  <w:style w:type="paragraph" w:styleId="BalloonText">
    <w:name w:val="Balloon Text"/>
    <w:basedOn w:val="Normal"/>
    <w:link w:val="BalloonTextChar"/>
    <w:rsid w:val="00482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A72"/>
    <w:pPr>
      <w:spacing w:before="0" w:after="0"/>
    </w:pPr>
  </w:style>
  <w:style w:type="paragraph" w:customStyle="1" w:styleId="BodyTextBold">
    <w:name w:val="Body Text Bold"/>
    <w:basedOn w:val="BodyText"/>
    <w:qFormat/>
    <w:rsid w:val="00482A72"/>
    <w:rPr>
      <w:b/>
    </w:rPr>
  </w:style>
  <w:style w:type="character" w:styleId="Hyperlink">
    <w:name w:val="Hyperlink"/>
    <w:basedOn w:val="DefaultParagraphFont"/>
    <w:uiPriority w:val="99"/>
    <w:unhideWhenUsed/>
    <w:rsid w:val="00A00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3521</Characters>
  <Application>Microsoft Office Word</Application>
  <DocSecurity>0</DocSecurity>
  <Lines>176</Lines>
  <Paragraphs>88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CSCSAS030 Manage threatening behaviour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