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CBB" w:rsidP="00E51C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CSCSAS009 Control incidents using defensive tactics</w:t>
      </w:r>
      <w:r>
        <w:fldChar w:fldCharType="end"/>
      </w:r>
    </w:p>
    <w:p w:rsidR="00E51CBB" w:rsidP="00E51CBB">
      <w:pPr>
        <w:pStyle w:val="Version"/>
        <w:sectPr w:rsidSect="00CE71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71EC" w:rsidP="00CE71EC">
      <w:pPr>
        <w:pStyle w:val="SuperHeading"/>
      </w:pPr>
      <w:r w:rsidRPr="00CE71EC">
        <w:t>CSCSAS009 Control incidents using defensive tactics</w:t>
      </w:r>
    </w:p>
    <w:p w:rsidR="00000000" w:rsidRPr="00CE71EC" w:rsidP="00CE71EC">
      <w:pPr>
        <w:pStyle w:val="Heading1"/>
      </w:pPr>
      <w:bookmarkStart w:id="1" w:name="O_1090112"/>
      <w:bookmarkEnd w:id="1"/>
      <w:r w:rsidRPr="00CE71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t>Release 2. Modifications have been made to:</w:t>
            </w:r>
          </w:p>
          <w:p w:rsidR="00000000" w:rsidRPr="00CE71EC" w:rsidP="00CE71EC">
            <w:pPr>
              <w:pStyle w:val="ListBullet"/>
            </w:pPr>
            <w:r w:rsidRPr="00CE71EC">
              <w:t>Assessment Conditions</w:t>
            </w:r>
          </w:p>
          <w:p w:rsidR="00000000" w:rsidRPr="00CE71EC" w:rsidP="00CE71EC">
            <w:pPr>
              <w:pStyle w:val="BodyText"/>
            </w:pPr>
            <w:r w:rsidRPr="00CE71EC">
              <w:t xml:space="preserve">Release 1.  This unit was released in CSC Correctional Services Training Package release 1.0 and meets the Standards for Training Packages. </w:t>
            </w:r>
          </w:p>
          <w:p w:rsidR="00000000" w:rsidRPr="00CE71EC" w:rsidP="00CE71EC">
            <w:pPr>
              <w:pStyle w:val="BodyText"/>
            </w:pPr>
            <w:r w:rsidRPr="00CE71EC">
              <w:t>This unit supersed</w:t>
            </w:r>
            <w:r w:rsidRPr="00CE71EC">
              <w:t>es and is equivalent to CSCSAS302A Control incidents using defensive tactics.</w:t>
            </w:r>
          </w:p>
        </w:tc>
      </w:tr>
    </w:tbl>
    <w:p w:rsidR="00000000" w:rsidRPr="00CE71EC" w:rsidP="00CE71EC">
      <w:pPr>
        <w:pStyle w:val="NoPaddingFontSize1"/>
      </w:pPr>
    </w:p>
    <w:p w:rsidR="00000000" w:rsidRPr="00CE71EC" w:rsidP="00CE71EC">
      <w:pPr>
        <w:pStyle w:val="AllowPageBreak"/>
      </w:pPr>
    </w:p>
    <w:p w:rsidR="00000000" w:rsidRPr="00CE71EC" w:rsidP="00CE71EC">
      <w:pPr>
        <w:pStyle w:val="Heading1"/>
      </w:pPr>
      <w:bookmarkStart w:id="2" w:name="O_1090111"/>
      <w:bookmarkEnd w:id="2"/>
      <w:r w:rsidRPr="00CE71E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t>This unit describes the skills required to assess the need to use and apply defensive techniques, contain incidents and evaluate responses.</w:t>
            </w:r>
          </w:p>
          <w:p w:rsidR="00000000" w:rsidRPr="00CE71EC" w:rsidP="00CE71EC">
            <w:pPr>
              <w:pStyle w:val="BodyText"/>
            </w:pPr>
            <w:r w:rsidRPr="00CE71EC">
              <w:t xml:space="preserve">This </w:t>
            </w:r>
            <w:r w:rsidRPr="00CE71EC">
              <w:t>unit applies to those working in a custodial correctional services context.</w:t>
            </w:r>
          </w:p>
          <w:p w:rsidR="00000000" w:rsidRPr="00CE71EC" w:rsidP="00CE71EC">
            <w:pPr>
              <w:pStyle w:val="BodyText"/>
            </w:pPr>
            <w:r w:rsidRPr="00CE71EC">
              <w:t>The skills and knowledge described in this unit must be applied within the legislative, regulatory and policy environment in which they are carried out. Organisational policies and</w:t>
            </w:r>
            <w:r w:rsidRPr="00CE71EC">
              <w:t xml:space="preserve"> procedures must be consulted and adhered to, particularly those related to incident response.</w:t>
            </w:r>
          </w:p>
          <w:p w:rsidR="00000000" w:rsidRPr="00CE71EC" w:rsidP="00CE71EC">
            <w:pPr>
              <w:pStyle w:val="BodyText"/>
            </w:pPr>
            <w:r w:rsidRPr="00CE71EC">
              <w:t>Those undertaking this unit work with support from a coordinated team with regular support.</w:t>
            </w:r>
          </w:p>
          <w:p w:rsidR="00000000" w:rsidRPr="00CE71EC" w:rsidP="00CE71EC">
            <w:pPr>
              <w:pStyle w:val="BodyText"/>
            </w:pPr>
            <w:r w:rsidRPr="00CE71EC">
              <w:t>No licensing, legislative or certification requirements apply to unit</w:t>
            </w:r>
            <w:r w:rsidRPr="00CE71EC">
              <w:t xml:space="preserve"> at the time of publication.</w:t>
            </w:r>
          </w:p>
        </w:tc>
      </w:tr>
    </w:tbl>
    <w:p w:rsidR="00000000" w:rsidRPr="00CE71EC" w:rsidP="00CE71EC">
      <w:pPr>
        <w:pStyle w:val="NoPaddingFontSize1"/>
      </w:pPr>
    </w:p>
    <w:p w:rsidR="00000000" w:rsidRPr="00CE71EC" w:rsidP="00CE71EC">
      <w:pPr>
        <w:pStyle w:val="AllowPageBreak"/>
      </w:pPr>
    </w:p>
    <w:p w:rsidR="00000000" w:rsidRPr="00CE71EC" w:rsidP="00CE71EC">
      <w:pPr>
        <w:pStyle w:val="Heading1"/>
      </w:pPr>
      <w:bookmarkStart w:id="3" w:name="O_1140187"/>
      <w:bookmarkEnd w:id="3"/>
      <w:r w:rsidRPr="00CE71E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t xml:space="preserve"> Not applicable</w:t>
            </w:r>
          </w:p>
        </w:tc>
      </w:tr>
    </w:tbl>
    <w:p w:rsidR="00000000" w:rsidRPr="00CE71EC" w:rsidP="00CE71EC">
      <w:pPr>
        <w:pStyle w:val="NoPaddingFontSize1"/>
      </w:pPr>
    </w:p>
    <w:p w:rsidR="00000000" w:rsidRPr="00CE71EC" w:rsidP="00CE71EC">
      <w:pPr>
        <w:pStyle w:val="AllowPageBreak"/>
      </w:pPr>
    </w:p>
    <w:p w:rsidR="00000000" w:rsidRPr="00CE71EC" w:rsidP="00CE71EC">
      <w:pPr>
        <w:pStyle w:val="Heading1"/>
      </w:pPr>
      <w:bookmarkStart w:id="4" w:name="O_1090110"/>
      <w:bookmarkEnd w:id="4"/>
      <w:r w:rsidRPr="00CE71E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t>Safety and security</w:t>
            </w:r>
          </w:p>
        </w:tc>
      </w:tr>
    </w:tbl>
    <w:p w:rsidR="00000000" w:rsidRPr="00CE71EC" w:rsidP="00CE71EC">
      <w:pPr>
        <w:pStyle w:val="NoPaddingFontSize1"/>
      </w:pPr>
    </w:p>
    <w:p w:rsidR="00000000" w:rsidRPr="00CE71EC" w:rsidP="00CE71EC">
      <w:pPr>
        <w:pStyle w:val="AllowPageBreak"/>
      </w:pPr>
    </w:p>
    <w:p w:rsidR="00000000" w:rsidRPr="00CE71EC" w:rsidP="00CE71EC">
      <w:pPr>
        <w:pStyle w:val="Heading1"/>
      </w:pPr>
      <w:bookmarkStart w:id="5" w:name="O_1140188"/>
      <w:bookmarkEnd w:id="5"/>
      <w:r w:rsidRPr="00CE71E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t>Not applicable</w:t>
            </w:r>
          </w:p>
        </w:tc>
      </w:tr>
    </w:tbl>
    <w:p w:rsidR="00000000" w:rsidRPr="00CE71EC" w:rsidP="00CE71EC">
      <w:pPr>
        <w:pStyle w:val="NoPaddingFontSize1"/>
      </w:pPr>
    </w:p>
    <w:p w:rsidR="00000000" w:rsidRPr="00CE71EC" w:rsidP="00CE71EC">
      <w:pPr>
        <w:pStyle w:val="AllowPageBreak"/>
      </w:pPr>
    </w:p>
    <w:p w:rsidR="00000000" w:rsidRPr="00CE71EC" w:rsidP="00CE71EC">
      <w:pPr>
        <w:pStyle w:val="Heading1"/>
      </w:pPr>
      <w:bookmarkStart w:id="6" w:name="O_1090109"/>
      <w:bookmarkEnd w:id="6"/>
      <w:r w:rsidRPr="00CE71E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PERFORMANCE CRITERIA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 xml:space="preserve">Elements describe the essential </w:t>
            </w:r>
            <w:r w:rsidRPr="00CE71EC">
              <w:t>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 xml:space="preserve">Performance criteria describe the performance needed to </w:t>
            </w:r>
            <w:r w:rsidRPr="00CE71EC">
              <w:t xml:space="preserve">demonstrate achievement of the element. Where bold italicised text is used, further information </w:t>
            </w:r>
            <w:r w:rsidRPr="00CE71EC">
              <w:t>is detailed in the range of conditions section.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rPr>
                <w:rStyle w:val="SpecialBold"/>
              </w:rPr>
              <w:t>Assess the need to use defensive techniques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Assess the level and nature of risk based on incident risk factors and identified opportunities.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Assess incidents to determine the need for defensive</w:t>
            </w:r>
            <w:r w:rsidRPr="00CE71EC">
              <w:t xml:space="preserve"> techniques against the organisation’s use of force guidelines, legal requirements and emergency response procedures.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Assess the capacity to complete the defensive action and consider viability of using alternative actions.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rPr>
                <w:rStyle w:val="SpecialBold"/>
              </w:rPr>
              <w:t>Apply defensive techniques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Call for assistance and support using authorised alarms and codes.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Apply defensive techniques ensuring protection and safety of people involved.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Monitor the degree of response against identified opportunities an</w:t>
            </w:r>
            <w:r w:rsidRPr="00CE71EC">
              <w:t>d incident factors.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Carry defensive equipment in a secure, protected and accessible position for safe deployment.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Present and deploy defensive equipment using recognised techniques.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Ensure that physical contact minimises any unnecessary provocation and indignity to the subject.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rPr>
                <w:rStyle w:val="SpecialBold"/>
              </w:rPr>
              <w:t>Contain incident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Adjust or discontinue response according to changes in circumstances and degree of risk.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Use the assistance of responding officers and other appropriate resources to contain the incident.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rPr>
                <w:rStyle w:val="SpecialBold"/>
              </w:rPr>
              <w:t>Evaluate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Evaluate and review the effectiveness of responses.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Provide accounts of incidents as part of the review and debriefing proces</w:t>
            </w:r>
            <w:r w:rsidRPr="00CE71EC">
              <w:t>s.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t>Complete records and reports.</w:t>
            </w:r>
          </w:p>
        </w:tc>
      </w:tr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1EC">
            <w:pPr>
              <w:pStyle w:val="BodyText"/>
              <w:rPr>
                <w:lang w:val="en-NZ"/>
              </w:rPr>
            </w:pPr>
            <w:r w:rsidRPr="00CE71EC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t>Recognise and manage the effects of stress on self using recognised stress management techniques.</w:t>
            </w:r>
          </w:p>
        </w:tc>
      </w:tr>
    </w:tbl>
    <w:p w:rsidR="00000000" w:rsidRPr="00CE71EC" w:rsidP="00CE71EC">
      <w:pPr>
        <w:pStyle w:val="NoPaddingFontSize1"/>
      </w:pPr>
    </w:p>
    <w:p w:rsidR="00000000" w:rsidRPr="00CE71EC" w:rsidP="00CE71EC">
      <w:pPr>
        <w:pStyle w:val="AllowPageBreak"/>
      </w:pPr>
    </w:p>
    <w:p w:rsidR="00000000" w:rsidRPr="00CE71EC" w:rsidP="00CE71EC">
      <w:pPr>
        <w:pStyle w:val="Heading1"/>
      </w:pPr>
      <w:bookmarkStart w:id="7" w:name="O_1090108"/>
      <w:bookmarkEnd w:id="7"/>
      <w:r w:rsidRPr="00CE71E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t>Foundation skills essential to performance are explicit in the performance criteria of this unit of competency.</w:t>
            </w:r>
          </w:p>
        </w:tc>
      </w:tr>
    </w:tbl>
    <w:p w:rsidR="00000000" w:rsidRPr="00CE71EC" w:rsidP="00CE71EC">
      <w:pPr>
        <w:pStyle w:val="NoPaddingFontSize1"/>
      </w:pPr>
    </w:p>
    <w:p w:rsidR="00000000" w:rsidRPr="00CE71EC" w:rsidP="00CE71EC">
      <w:pPr>
        <w:pStyle w:val="AllowPageBreak"/>
      </w:pPr>
    </w:p>
    <w:p w:rsidR="00000000" w:rsidRPr="00CE71EC" w:rsidP="00CE71EC">
      <w:pPr>
        <w:pStyle w:val="Heading1"/>
      </w:pPr>
      <w:bookmarkStart w:id="8" w:name="O_1140189"/>
      <w:bookmarkEnd w:id="8"/>
      <w:r w:rsidRPr="00CE71E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t>Range is restricted to essential operating conditions and any other variables essential to the work env</w:t>
            </w:r>
            <w:r w:rsidRPr="00CE71EC">
              <w:t>ironment.</w:t>
            </w:r>
          </w:p>
          <w:p w:rsidR="00000000" w:rsidRPr="00CE71EC" w:rsidP="00CE71EC">
            <w:pPr>
              <w:pStyle w:val="BodyText"/>
            </w:pPr>
            <w:r w:rsidRPr="00CE71EC">
              <w:t>Non-essential conditions may be found in the Companion Volume Implementation Guide.</w:t>
            </w:r>
          </w:p>
        </w:tc>
      </w:tr>
    </w:tbl>
    <w:p w:rsidR="00000000" w:rsidRPr="00CE71EC" w:rsidP="00CE71EC">
      <w:pPr>
        <w:pStyle w:val="NoPaddingFontSize1"/>
      </w:pPr>
    </w:p>
    <w:p w:rsidR="00000000" w:rsidRPr="00CE71EC" w:rsidP="00CE71EC">
      <w:pPr>
        <w:pStyle w:val="AllowPageBreak"/>
      </w:pPr>
    </w:p>
    <w:p w:rsidR="00000000" w:rsidRPr="00CE71EC" w:rsidP="00CE71EC">
      <w:pPr>
        <w:pStyle w:val="Heading1"/>
      </w:pPr>
      <w:bookmarkStart w:id="9" w:name="O_1090107"/>
      <w:bookmarkEnd w:id="9"/>
      <w:r w:rsidRPr="00CE71E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1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1EC" w:rsidP="00CE71EC">
            <w:pPr>
              <w:pStyle w:val="BodyText"/>
            </w:pPr>
            <w:r w:rsidRPr="00CE71EC">
              <w:t>Supersedes and is equivalent to CSCSAS302A Control incidents using defensive tactics.</w:t>
            </w:r>
          </w:p>
        </w:tc>
      </w:tr>
    </w:tbl>
    <w:p w:rsidR="00000000" w:rsidRPr="00CE71EC" w:rsidP="00CE71EC">
      <w:pPr>
        <w:pStyle w:val="NoPaddingFontSize1"/>
      </w:pPr>
    </w:p>
    <w:p w:rsidR="00000000" w:rsidRPr="00CE71EC" w:rsidP="00CE71EC">
      <w:pPr>
        <w:pStyle w:val="AllowPageBreak"/>
      </w:pPr>
    </w:p>
    <w:p w:rsidR="00000000" w:rsidRPr="00CE71EC" w:rsidP="00CE71EC">
      <w:pPr>
        <w:pStyle w:val="Heading1"/>
      </w:pPr>
      <w:bookmarkStart w:id="10" w:name="O_1090113"/>
      <w:bookmarkEnd w:id="10"/>
      <w:r w:rsidRPr="00CE71EC">
        <w:t>Links</w:t>
      </w:r>
    </w:p>
    <w:p w:rsidR="00000000" w:rsidRPr="00CE71EC" w:rsidP="00E51CBB">
      <w:pPr>
        <w:pStyle w:val="BodyText"/>
      </w:pPr>
      <w:r w:rsidRPr="00CE71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F121A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CE71EC" w:rsidP="00CE71EC"/>
    <w:sectPr w:rsidSect="00CE71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1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1EC" w:rsidRPr="00E51CBB" w:rsidP="00E51C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1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BB" w:rsidP="00CE71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CBB" w:rsidP="00CE71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1CBB" w:rsidP="00CE71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1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1EC" w:rsidRPr="00E51CBB" w:rsidP="00E51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1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BB" w:rsidRPr="002D2AF8" w:rsidP="00CE71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CSCSAS009 Control incidents using defensive tactics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E51CBB" w:rsidP="00CE71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481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267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1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1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1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1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1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1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1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1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1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1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1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1EC"/>
  </w:style>
  <w:style w:type="character" w:customStyle="1" w:styleId="Heading1Char">
    <w:name w:val="Heading 1 Char"/>
    <w:basedOn w:val="DefaultParagraphFont"/>
    <w:link w:val="Heading1"/>
    <w:rsid w:val="00CE71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1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1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1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71EC"/>
    <w:rPr>
      <w:b/>
      <w:spacing w:val="0"/>
    </w:rPr>
  </w:style>
  <w:style w:type="paragraph" w:customStyle="1" w:styleId="SuperHeading">
    <w:name w:val="SuperHeading"/>
    <w:basedOn w:val="Normal"/>
    <w:rsid w:val="00CE71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1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71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1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1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1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1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1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1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1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1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1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1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1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1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1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1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1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1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1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1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1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1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1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1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1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1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1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1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1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1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1EC"/>
    <w:rPr>
      <w:i/>
    </w:rPr>
  </w:style>
  <w:style w:type="paragraph" w:styleId="Caption">
    <w:name w:val="caption"/>
    <w:basedOn w:val="BodyText"/>
    <w:next w:val="Normal"/>
    <w:qFormat/>
    <w:rsid w:val="00CE71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1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1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1EC"/>
  </w:style>
  <w:style w:type="paragraph" w:styleId="TableofFigures">
    <w:name w:val="table of figures"/>
    <w:basedOn w:val="Normal"/>
    <w:next w:val="Normal"/>
    <w:semiHidden/>
    <w:rsid w:val="00CE71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1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71EC"/>
    <w:rPr>
      <w:rFonts w:ascii="Wingdings" w:hAnsi="Wingdings"/>
    </w:rPr>
  </w:style>
  <w:style w:type="paragraph" w:customStyle="1" w:styleId="TableHeading">
    <w:name w:val="Table Heading"/>
    <w:basedOn w:val="HeadingBase"/>
    <w:rsid w:val="00CE71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1EC"/>
    <w:rPr>
      <w:color w:val="0033CC"/>
      <w:u w:val="none"/>
    </w:rPr>
  </w:style>
  <w:style w:type="paragraph" w:customStyle="1" w:styleId="BodyTextRight">
    <w:name w:val="Body Text Right"/>
    <w:basedOn w:val="BodyText"/>
    <w:rsid w:val="00CE71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1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1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1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1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1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1EC"/>
    <w:rPr>
      <w:sz w:val="32"/>
    </w:rPr>
  </w:style>
  <w:style w:type="paragraph" w:customStyle="1" w:styleId="HeadingProcedure">
    <w:name w:val="Heading Procedure"/>
    <w:basedOn w:val="HeadingBase"/>
    <w:next w:val="Normal"/>
    <w:rsid w:val="00CE71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1EC"/>
    <w:pPr>
      <w:spacing w:before="60" w:after="60"/>
    </w:pPr>
  </w:style>
  <w:style w:type="paragraph" w:styleId="ListContinue">
    <w:name w:val="List Continue"/>
    <w:basedOn w:val="List"/>
    <w:rsid w:val="00CE71EC"/>
    <w:pPr>
      <w:ind w:firstLine="0"/>
    </w:pPr>
  </w:style>
  <w:style w:type="paragraph" w:customStyle="1" w:styleId="ListNote">
    <w:name w:val="List Note"/>
    <w:basedOn w:val="List"/>
    <w:rsid w:val="00CE71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1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1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1EC"/>
    <w:rPr>
      <w:rFonts w:ascii="Courier New" w:hAnsi="Courier New"/>
    </w:rPr>
  </w:style>
  <w:style w:type="paragraph" w:customStyle="1" w:styleId="NoteBullet">
    <w:name w:val="Note Bullet"/>
    <w:basedOn w:val="Note"/>
    <w:rsid w:val="00CE71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1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1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1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1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71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1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1EC"/>
    <w:rPr>
      <w:b/>
      <w:smallCaps/>
    </w:rPr>
  </w:style>
  <w:style w:type="paragraph" w:customStyle="1" w:styleId="TableListNumber">
    <w:name w:val="Table List Number"/>
    <w:basedOn w:val="ListNumber"/>
    <w:rsid w:val="00CE71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1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1EC"/>
    <w:pPr>
      <w:numPr>
        <w:numId w:val="8"/>
      </w:numPr>
    </w:pPr>
  </w:style>
  <w:style w:type="paragraph" w:customStyle="1" w:styleId="ListAlpha2">
    <w:name w:val="List Alpha 2"/>
    <w:basedOn w:val="List2"/>
    <w:rsid w:val="00CE71EC"/>
    <w:pPr>
      <w:numPr>
        <w:numId w:val="7"/>
      </w:numPr>
    </w:pPr>
  </w:style>
  <w:style w:type="paragraph" w:styleId="List2">
    <w:name w:val="List 2"/>
    <w:basedOn w:val="BodyText"/>
    <w:rsid w:val="00CE71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1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1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1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1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1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71EC"/>
    <w:pPr>
      <w:numPr>
        <w:numId w:val="3"/>
      </w:numPr>
    </w:pPr>
  </w:style>
  <w:style w:type="paragraph" w:styleId="ListContinue2">
    <w:name w:val="List Continue 2"/>
    <w:basedOn w:val="List2"/>
    <w:rsid w:val="00CE71EC"/>
    <w:pPr>
      <w:ind w:firstLine="0"/>
    </w:pPr>
  </w:style>
  <w:style w:type="paragraph" w:styleId="ListContinue3">
    <w:name w:val="List Continue 3"/>
    <w:basedOn w:val="List3"/>
    <w:rsid w:val="00CE71EC"/>
    <w:pPr>
      <w:ind w:left="1021" w:firstLine="0"/>
    </w:pPr>
  </w:style>
  <w:style w:type="paragraph" w:styleId="ListContinue4">
    <w:name w:val="List Continue 4"/>
    <w:basedOn w:val="List4"/>
    <w:rsid w:val="00CE71EC"/>
    <w:pPr>
      <w:ind w:firstLine="0"/>
    </w:pPr>
  </w:style>
  <w:style w:type="paragraph" w:styleId="ListContinue5">
    <w:name w:val="List Continue 5"/>
    <w:basedOn w:val="List5"/>
    <w:rsid w:val="00CE71EC"/>
    <w:pPr>
      <w:ind w:firstLine="0"/>
    </w:pPr>
  </w:style>
  <w:style w:type="paragraph" w:styleId="ListNumber3">
    <w:name w:val="List Number 3"/>
    <w:basedOn w:val="List3"/>
    <w:rsid w:val="00CE71EC"/>
    <w:pPr>
      <w:numPr>
        <w:numId w:val="4"/>
      </w:numPr>
    </w:pPr>
  </w:style>
  <w:style w:type="paragraph" w:styleId="ListNumber4">
    <w:name w:val="List Number 4"/>
    <w:basedOn w:val="List4"/>
    <w:rsid w:val="00CE71EC"/>
    <w:pPr>
      <w:numPr>
        <w:numId w:val="5"/>
      </w:numPr>
    </w:pPr>
  </w:style>
  <w:style w:type="paragraph" w:styleId="ListNumber5">
    <w:name w:val="List Number 5"/>
    <w:basedOn w:val="List5"/>
    <w:rsid w:val="00CE71EC"/>
    <w:pPr>
      <w:numPr>
        <w:numId w:val="6"/>
      </w:numPr>
    </w:pPr>
  </w:style>
  <w:style w:type="paragraph" w:styleId="BlockText">
    <w:name w:val="Block Text"/>
    <w:basedOn w:val="Normal"/>
    <w:rsid w:val="00CE71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1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1EC"/>
    <w:rPr>
      <w:sz w:val="16"/>
      <w:vertAlign w:val="superscript"/>
    </w:rPr>
  </w:style>
  <w:style w:type="character" w:customStyle="1" w:styleId="Symbols">
    <w:name w:val="Symbols"/>
    <w:basedOn w:val="DefaultParagraphFont"/>
    <w:rsid w:val="00CE71EC"/>
    <w:rPr>
      <w:rFonts w:ascii="Symbol" w:hAnsi="Symbol"/>
    </w:rPr>
  </w:style>
  <w:style w:type="character" w:customStyle="1" w:styleId="MenuOptions">
    <w:name w:val="Menu Options"/>
    <w:basedOn w:val="DefaultParagraphFont"/>
    <w:rsid w:val="00CE71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1EC"/>
    <w:rPr>
      <w:b/>
    </w:rPr>
  </w:style>
  <w:style w:type="character" w:customStyle="1" w:styleId="Underlined">
    <w:name w:val="Underlined"/>
    <w:basedOn w:val="DefaultParagraphFont"/>
    <w:rsid w:val="00CE71EC"/>
    <w:rPr>
      <w:u w:val="single"/>
    </w:rPr>
  </w:style>
  <w:style w:type="paragraph" w:customStyle="1" w:styleId="TableBodyTextRight">
    <w:name w:val="Table Body Text Right"/>
    <w:basedOn w:val="TableBodyText"/>
    <w:rsid w:val="00CE71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1EC"/>
    <w:rPr>
      <w:sz w:val="18"/>
    </w:rPr>
  </w:style>
  <w:style w:type="paragraph" w:customStyle="1" w:styleId="BodySmallRight">
    <w:name w:val="Body Small Right"/>
    <w:basedOn w:val="BodyTextRight"/>
    <w:rsid w:val="00CE71EC"/>
    <w:rPr>
      <w:sz w:val="18"/>
      <w:szCs w:val="18"/>
    </w:rPr>
  </w:style>
  <w:style w:type="paragraph" w:customStyle="1" w:styleId="MarginEdition">
    <w:name w:val="Margin Edition"/>
    <w:basedOn w:val="MarginNote"/>
    <w:rsid w:val="00CE71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1EC"/>
    <w:rPr>
      <w:sz w:val="2"/>
      <w:szCs w:val="2"/>
    </w:rPr>
  </w:style>
  <w:style w:type="character" w:customStyle="1" w:styleId="Small">
    <w:name w:val="Small"/>
    <w:basedOn w:val="DefaultParagraphFont"/>
    <w:rsid w:val="00CE71EC"/>
    <w:rPr>
      <w:sz w:val="16"/>
    </w:rPr>
  </w:style>
  <w:style w:type="paragraph" w:customStyle="1" w:styleId="WideTable">
    <w:name w:val="Wide Table"/>
    <w:basedOn w:val="Normal"/>
    <w:rsid w:val="00CE71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1EC"/>
  </w:style>
  <w:style w:type="paragraph" w:styleId="Quote">
    <w:name w:val="Quote"/>
    <w:basedOn w:val="Heading1"/>
    <w:link w:val="QuoteChar"/>
    <w:qFormat/>
    <w:rsid w:val="00CE71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1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1EC"/>
    <w:pPr>
      <w:pageBreakBefore/>
    </w:pPr>
  </w:style>
  <w:style w:type="paragraph" w:customStyle="1" w:styleId="Border">
    <w:name w:val="Border"/>
    <w:basedOn w:val="Normal"/>
    <w:qFormat/>
    <w:rsid w:val="00CE71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1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1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1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1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1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1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1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1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1EC"/>
    <w:rPr>
      <w:u w:val="single"/>
    </w:rPr>
  </w:style>
  <w:style w:type="character" w:customStyle="1" w:styleId="BoldandItalics">
    <w:name w:val="Bold and Italics"/>
    <w:qFormat/>
    <w:rsid w:val="00CE71EC"/>
    <w:rPr>
      <w:b/>
      <w:i/>
      <w:u w:val="none"/>
    </w:rPr>
  </w:style>
  <w:style w:type="paragraph" w:styleId="BalloonText">
    <w:name w:val="Balloon Text"/>
    <w:basedOn w:val="Normal"/>
    <w:link w:val="BalloonTextChar"/>
    <w:rsid w:val="00CE7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1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1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1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1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1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1EC"/>
    <w:pPr>
      <w:spacing w:before="0" w:after="0"/>
    </w:pPr>
  </w:style>
  <w:style w:type="paragraph" w:customStyle="1" w:styleId="BodyTextBold">
    <w:name w:val="Body Text Bold"/>
    <w:basedOn w:val="BodyText"/>
    <w:qFormat/>
    <w:rsid w:val="00CE71EC"/>
    <w:rPr>
      <w:b/>
    </w:rPr>
  </w:style>
  <w:style w:type="character" w:styleId="Hyperlink">
    <w:name w:val="Hyperlink"/>
    <w:basedOn w:val="DefaultParagraphFont"/>
    <w:uiPriority w:val="99"/>
    <w:unhideWhenUsed/>
    <w:rsid w:val="00E51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3334</Characters>
  <Application>Microsoft Office Word</Application>
  <DocSecurity>0</DocSecurity>
  <Lines>158</Lines>
  <Paragraphs>87</Paragraphs>
  <ScaleCrop>false</ScaleCrop>
  <Company>Author-it Software Corporation Ltd.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CSCSAS009 Control incidents using defensive tactics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2022-03-22T23:25:00Z</dcterms:created>
  <dcterms:modified xsi:type="dcterms:W3CDTF">2022-03-22T23:25:00Z</dcterms:modified>
</cp:coreProperties>
</file>