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E6E" w:rsidP="00BB5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CSCORG021 Determine the effective use of financial resources</w:t>
      </w:r>
      <w:r>
        <w:fldChar w:fldCharType="end"/>
      </w:r>
    </w:p>
    <w:p w:rsidR="00BB5E6E" w:rsidP="00BB5E6E">
      <w:pPr>
        <w:pStyle w:val="Version"/>
        <w:sectPr w:rsidSect="00A84B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B00" w:rsidP="00A84B00">
      <w:pPr>
        <w:pStyle w:val="SuperHeading"/>
      </w:pPr>
      <w:r w:rsidRPr="00A84B00">
        <w:t>CSCORG021 Determine the effective use of financial resources</w:t>
      </w:r>
    </w:p>
    <w:p w:rsidR="00000000" w:rsidRPr="00A84B00" w:rsidP="00A84B00">
      <w:pPr>
        <w:pStyle w:val="Heading1"/>
      </w:pPr>
      <w:bookmarkStart w:id="1" w:name="O_643827"/>
      <w:bookmarkEnd w:id="1"/>
      <w:r w:rsidRPr="00A84B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B5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B00">
            <w:pPr>
              <w:pStyle w:val="TableHeading"/>
              <w:rPr>
                <w:lang w:val="en-NZ"/>
              </w:rPr>
            </w:pPr>
            <w:r w:rsidRPr="00A84B0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B00">
            <w:pPr>
              <w:pStyle w:val="TableHeading"/>
              <w:rPr>
                <w:lang w:val="en-NZ"/>
              </w:rPr>
            </w:pPr>
            <w:r w:rsidRPr="00A84B00">
              <w:t>Comments</w:t>
            </w:r>
          </w:p>
        </w:tc>
      </w:tr>
      <w:tr w:rsidTr="00BB5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B00">
            <w:pPr>
              <w:pStyle w:val="BodyText"/>
              <w:rPr>
                <w:lang w:val="en-NZ"/>
              </w:rPr>
            </w:pPr>
            <w:r w:rsidRPr="00A84B0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B00" w:rsidP="00A84B00">
            <w:pPr>
              <w:pStyle w:val="BodyText"/>
            </w:pPr>
            <w:r w:rsidRPr="00A84B00">
              <w:t xml:space="preserve">This unit was released in CSC Correctional Services Training Package release 1.0 and meets the Standards for Training Packages. </w:t>
            </w:r>
          </w:p>
          <w:p w:rsidR="00000000" w:rsidRPr="00A84B00" w:rsidP="00A84B00">
            <w:pPr>
              <w:pStyle w:val="BodyText"/>
            </w:pPr>
            <w:r w:rsidRPr="00A84B00">
              <w:t>This unit supersedes and is equivalent to CSCORG508A Determine the eff</w:t>
            </w:r>
            <w:r w:rsidRPr="00A84B00">
              <w:t>ective use of financial resources.</w:t>
            </w:r>
          </w:p>
        </w:tc>
      </w:tr>
    </w:tbl>
    <w:p w:rsidR="00BB5E6E" w:rsidP="00A84B00">
      <w:pPr>
        <w:pStyle w:val="BodyText"/>
      </w:pPr>
    </w:p>
    <w:p w:rsidR="00BB5E6E" w:rsidP="00A84B00">
      <w:pPr>
        <w:pStyle w:val="BodyText"/>
      </w:pPr>
    </w:p>
    <w:p w:rsidR="00000000" w:rsidRPr="00A84B00" w:rsidP="00A84B00">
      <w:pPr>
        <w:pStyle w:val="Heading1"/>
      </w:pPr>
      <w:bookmarkStart w:id="2" w:name="O_643828"/>
      <w:bookmarkEnd w:id="2"/>
      <w:r w:rsidRPr="00A84B00">
        <w:t>Application</w:t>
      </w:r>
    </w:p>
    <w:p w:rsidR="00000000" w:rsidRPr="00A84B00" w:rsidP="00BB5E6E">
      <w:pPr>
        <w:pStyle w:val="BodyText"/>
      </w:pPr>
      <w:r w:rsidRPr="00A84B00">
        <w:t>This unit describes the skills required to identify financial resource requirements, establish budgets for activities and control expenditure and activities against budgets.</w:t>
      </w:r>
    </w:p>
    <w:p w:rsidR="00000000" w:rsidRPr="00A84B00" w:rsidP="00BB5E6E">
      <w:pPr>
        <w:pStyle w:val="BodyText"/>
      </w:pPr>
      <w:r w:rsidRPr="00A84B00">
        <w:t>This unit appl</w:t>
      </w:r>
      <w:r w:rsidRPr="00A84B00">
        <w:t>ies to those working in a management role assuming responsibility for allocation of finances within a range of occupational areas.</w:t>
      </w:r>
    </w:p>
    <w:p w:rsidR="00000000" w:rsidRPr="00A84B00" w:rsidP="00BB5E6E">
      <w:pPr>
        <w:pStyle w:val="BodyText"/>
      </w:pPr>
      <w:r w:rsidRPr="00A84B00">
        <w:t>The skills and knowledge described in this unit must be applied within the legislative, regulatory and policy environment in</w:t>
      </w:r>
      <w:r w:rsidRPr="00A84B00">
        <w:t xml:space="preserve"> which they are carried out. Organisational policies and procedures must be consulted and adhered to, particularly those related to preparation and implementation of financial budgets and plans.</w:t>
      </w:r>
    </w:p>
    <w:p w:rsidR="00000000" w:rsidRPr="00A84B00" w:rsidP="00BB5E6E">
      <w:pPr>
        <w:pStyle w:val="BodyText"/>
      </w:pPr>
      <w:r w:rsidRPr="00A84B00">
        <w:t xml:space="preserve">Those undertaking this unit work autonomously, occasionally </w:t>
      </w:r>
      <w:r w:rsidRPr="00A84B00">
        <w:t>accessing and evaluating support from a broad range of sources. The role requires analysis, communication and strong numeracy skills.</w:t>
      </w:r>
    </w:p>
    <w:p w:rsidR="00000000" w:rsidRPr="00A84B00" w:rsidP="00BB5E6E">
      <w:pPr>
        <w:pStyle w:val="BodyText"/>
      </w:pPr>
      <w:r w:rsidRPr="00A84B00">
        <w:t>No licensing, legislative or certification requirements apply to unit at the time of publication.</w:t>
      </w:r>
    </w:p>
    <w:p w:rsidR="00000000" w:rsidRPr="00A84B00" w:rsidP="00A84B00">
      <w:pPr>
        <w:pStyle w:val="Heading1"/>
      </w:pPr>
      <w:bookmarkStart w:id="3" w:name="O_643830"/>
      <w:bookmarkEnd w:id="3"/>
      <w:r w:rsidRPr="00A84B00">
        <w:t>Competency Field</w:t>
      </w:r>
    </w:p>
    <w:p w:rsidR="00BB5E6E" w:rsidP="00BB5E6E">
      <w:pPr>
        <w:pStyle w:val="BodyText"/>
      </w:pPr>
      <w:r w:rsidRPr="00A84B00">
        <w:t>Organisational administration and management</w:t>
      </w:r>
    </w:p>
    <w:p w:rsidR="00000000" w:rsidRPr="00A84B00" w:rsidP="00A84B00">
      <w:pPr>
        <w:pStyle w:val="Heading1"/>
      </w:pPr>
      <w:bookmarkStart w:id="4" w:name="O_643832"/>
      <w:bookmarkEnd w:id="4"/>
      <w:r w:rsidRPr="00A84B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84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B00">
            <w:pPr>
              <w:pStyle w:val="TableHeading"/>
              <w:rPr>
                <w:lang w:val="en-NZ"/>
              </w:rPr>
            </w:pPr>
            <w:r w:rsidRPr="00A84B0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B00">
            <w:pPr>
              <w:pStyle w:val="TableHeading"/>
              <w:rPr>
                <w:lang w:val="en-NZ"/>
              </w:rPr>
            </w:pPr>
            <w:r w:rsidRPr="00A84B00">
              <w:t>PERFORMANCE CRITERIA</w:t>
            </w:r>
          </w:p>
        </w:tc>
      </w:tr>
      <w:tr w:rsidTr="00A84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B00">
            <w:pPr>
              <w:pStyle w:val="BodyText"/>
              <w:rPr>
                <w:lang w:val="en-NZ"/>
              </w:rPr>
            </w:pPr>
            <w:r w:rsidRPr="00A84B0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B00">
            <w:pPr>
              <w:pStyle w:val="BodyText"/>
              <w:rPr>
                <w:lang w:val="en-NZ"/>
              </w:rPr>
            </w:pPr>
            <w:r w:rsidRPr="00A84B00">
              <w:t>Performance criteria describe the performance needed to demonstrate ac</w:t>
            </w:r>
            <w:r w:rsidRPr="00A84B00">
              <w:t>hievement of the element. Where bold italicised text is used, further information is detailed in the range of conditions section.</w:t>
            </w:r>
          </w:p>
        </w:tc>
      </w:tr>
      <w:tr w:rsidTr="00A84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B00">
            <w:pPr>
              <w:pStyle w:val="List"/>
              <w:rPr>
                <w:lang w:val="en-NZ"/>
              </w:rPr>
            </w:pPr>
            <w:r w:rsidRPr="00A84B00">
              <w:rPr>
                <w:rStyle w:val="SpecialBold"/>
              </w:rPr>
              <w:t xml:space="preserve">1. </w:t>
            </w:r>
            <w:r w:rsidRPr="00A84B00">
              <w:rPr>
                <w:rStyle w:val="SpecialBold"/>
              </w:rPr>
              <w:tab/>
              <w:t>Identify financial resource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B00" w:rsidP="00A84B00">
            <w:pPr>
              <w:pStyle w:val="List"/>
            </w:pPr>
            <w:r w:rsidRPr="00A84B00">
              <w:t>1.1</w:t>
            </w:r>
            <w:r w:rsidRPr="00A84B00">
              <w:tab/>
              <w:t>Consult with key people to develop and endorse proposals for expenditure.</w:t>
            </w:r>
          </w:p>
          <w:p w:rsidR="00000000" w:rsidRPr="00A84B00" w:rsidP="00A84B00">
            <w:pPr>
              <w:pStyle w:val="List"/>
            </w:pPr>
            <w:r w:rsidRPr="00A84B00">
              <w:t>1.</w:t>
            </w:r>
            <w:r w:rsidRPr="00A84B00">
              <w:t>2</w:t>
            </w:r>
            <w:r w:rsidRPr="00A84B00">
              <w:tab/>
              <w:t>Ensure proposed expenditure takes into account factors likely to affect costs and returns.</w:t>
            </w:r>
          </w:p>
          <w:p w:rsidR="00000000" w:rsidRPr="00A84B00" w:rsidP="00A84B00">
            <w:pPr>
              <w:pStyle w:val="List"/>
            </w:pPr>
            <w:r w:rsidRPr="00A84B00">
              <w:t>1.3</w:t>
            </w:r>
            <w:r w:rsidRPr="00A84B00">
              <w:tab/>
              <w:t>Link proposed financed activities to organisational objectives and strategies.</w:t>
            </w:r>
          </w:p>
          <w:p w:rsidR="00000000" w:rsidP="00A84B00">
            <w:pPr>
              <w:pStyle w:val="List"/>
              <w:rPr>
                <w:lang w:val="en-NZ"/>
              </w:rPr>
            </w:pPr>
            <w:r w:rsidRPr="00A84B00">
              <w:t>1.4</w:t>
            </w:r>
            <w:r w:rsidRPr="00A84B00">
              <w:tab/>
            </w:r>
            <w:r w:rsidRPr="00A84B00">
              <w:t>Ensure proposed financed activities include targets, standards and monitoring methods.</w:t>
            </w:r>
          </w:p>
        </w:tc>
      </w:tr>
      <w:tr w:rsidTr="00A84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B00">
            <w:pPr>
              <w:pStyle w:val="List"/>
              <w:rPr>
                <w:lang w:val="en-NZ"/>
              </w:rPr>
            </w:pPr>
            <w:r w:rsidRPr="00A84B00">
              <w:rPr>
                <w:rStyle w:val="SpecialBold"/>
              </w:rPr>
              <w:t>2.</w:t>
            </w:r>
            <w:r w:rsidRPr="00A84B00">
              <w:rPr>
                <w:rStyle w:val="SpecialBold"/>
              </w:rPr>
              <w:tab/>
              <w:t>Establish budgets for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B00" w:rsidP="00A84B00">
            <w:pPr>
              <w:pStyle w:val="List"/>
            </w:pPr>
            <w:r w:rsidRPr="00A84B00">
              <w:t>2.1</w:t>
            </w:r>
            <w:r w:rsidRPr="00A84B00">
              <w:tab/>
              <w:t>Ensure relevant people participate in determining a budget that is clear, concise and presents a cost-benefit analysis.</w:t>
            </w:r>
          </w:p>
          <w:p w:rsidR="00000000" w:rsidRPr="00A84B00" w:rsidP="00A84B00">
            <w:pPr>
              <w:pStyle w:val="List"/>
            </w:pPr>
            <w:r w:rsidRPr="00A84B00">
              <w:t>2.2</w:t>
            </w:r>
            <w:r w:rsidRPr="00A84B00">
              <w:tab/>
              <w:t>Pres</w:t>
            </w:r>
            <w:r w:rsidRPr="00A84B00">
              <w:t>ent budget proposals in the format required by your organisational management practices.</w:t>
            </w:r>
          </w:p>
          <w:p w:rsidR="00000000" w:rsidRPr="00A84B00" w:rsidP="00A84B00">
            <w:pPr>
              <w:pStyle w:val="List"/>
            </w:pPr>
            <w:r w:rsidRPr="00A84B00">
              <w:t>2.3</w:t>
            </w:r>
            <w:r w:rsidRPr="00A84B00">
              <w:tab/>
              <w:t>Conduct negotiations in a way that maintains good working relationships with the people involved.</w:t>
            </w:r>
          </w:p>
          <w:p w:rsidR="00000000" w:rsidRPr="00A84B00" w:rsidP="00A84B00">
            <w:pPr>
              <w:pStyle w:val="List"/>
            </w:pPr>
            <w:r w:rsidRPr="00A84B00">
              <w:t>2.4</w:t>
            </w:r>
            <w:r w:rsidRPr="00A84B00">
              <w:tab/>
              <w:t>Resolve and report areas of uncertainty or contention and neg</w:t>
            </w:r>
            <w:r w:rsidRPr="00A84B00">
              <w:t>otiate and finalise agreements in the time required.</w:t>
            </w:r>
          </w:p>
          <w:p w:rsidR="00000000" w:rsidP="00A84B00">
            <w:pPr>
              <w:pStyle w:val="List"/>
              <w:rPr>
                <w:lang w:val="en-NZ"/>
              </w:rPr>
            </w:pPr>
            <w:r w:rsidRPr="00A84B00">
              <w:t>2.5</w:t>
            </w:r>
            <w:r w:rsidRPr="00A84B00">
              <w:tab/>
              <w:t>Provide relevant people with information about the budget decisions in a manner and timeframe that contribute to their cooperation and confidence.</w:t>
            </w:r>
          </w:p>
        </w:tc>
      </w:tr>
      <w:tr w:rsidTr="00A84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B00">
            <w:pPr>
              <w:pStyle w:val="List"/>
              <w:rPr>
                <w:lang w:val="en-NZ"/>
              </w:rPr>
            </w:pPr>
            <w:r w:rsidRPr="00A84B00">
              <w:rPr>
                <w:rStyle w:val="SpecialBold"/>
              </w:rPr>
              <w:t>3.</w:t>
            </w:r>
            <w:r w:rsidRPr="00A84B00">
              <w:rPr>
                <w:rStyle w:val="SpecialBold"/>
              </w:rPr>
              <w:tab/>
              <w:t>Control expenditure and activities against budge</w:t>
            </w:r>
            <w:r w:rsidRPr="00A84B00">
              <w:rPr>
                <w:rStyle w:val="SpecialBold"/>
              </w:rPr>
              <w:t>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B00" w:rsidP="00A84B00">
            <w:pPr>
              <w:pStyle w:val="List"/>
            </w:pPr>
            <w:r w:rsidRPr="00A84B00">
              <w:t>3.1</w:t>
            </w:r>
            <w:r w:rsidRPr="00A84B00">
              <w:tab/>
              <w:t>Ensure team members take individual responsibility for monitoring and controlling expenditure and activities against budgets.</w:t>
            </w:r>
          </w:p>
          <w:p w:rsidR="00000000" w:rsidRPr="00A84B00" w:rsidP="00A84B00">
            <w:pPr>
              <w:pStyle w:val="List"/>
            </w:pPr>
            <w:r w:rsidRPr="00A84B00">
              <w:t>3.2</w:t>
            </w:r>
            <w:r w:rsidRPr="00A84B00">
              <w:tab/>
              <w:t>Implement a method of regular monitoring of expenditure and activities against budgets that complies with the organisati</w:t>
            </w:r>
            <w:r w:rsidRPr="00A84B00">
              <w:t>on’s requirements.</w:t>
            </w:r>
          </w:p>
          <w:p w:rsidR="00000000" w:rsidRPr="00A84B00" w:rsidP="00A84B00">
            <w:pPr>
              <w:pStyle w:val="List"/>
            </w:pPr>
            <w:r w:rsidRPr="00A84B00">
              <w:t>3.3</w:t>
            </w:r>
            <w:r w:rsidRPr="00A84B00">
              <w:tab/>
              <w:t>Take corrective action in response to actual or potential significant variation from budgets promptly and effectively and report outcomes.</w:t>
            </w:r>
          </w:p>
          <w:p w:rsidR="00000000" w:rsidRPr="00A84B00" w:rsidP="00A84B00">
            <w:pPr>
              <w:pStyle w:val="List"/>
            </w:pPr>
            <w:r w:rsidRPr="00A84B00">
              <w:t>3.4</w:t>
            </w:r>
            <w:r w:rsidRPr="00A84B00">
              <w:tab/>
              <w:t>Refer requests for expenditure outside the area of the budgets promptly to the relevant pe</w:t>
            </w:r>
            <w:r w:rsidRPr="00A84B00">
              <w:t xml:space="preserve">ople. </w:t>
            </w:r>
          </w:p>
          <w:p w:rsidR="00000000" w:rsidRPr="00A84B00" w:rsidP="00A84B00">
            <w:pPr>
              <w:pStyle w:val="List"/>
            </w:pPr>
            <w:r w:rsidRPr="00A84B00">
              <w:t>3.5</w:t>
            </w:r>
            <w:r w:rsidRPr="00A84B00">
              <w:tab/>
              <w:t>Complete records of activities against budgets accurately and make available to authorised people.</w:t>
            </w:r>
          </w:p>
        </w:tc>
      </w:tr>
    </w:tbl>
    <w:p w:rsidR="00BB5E6E" w:rsidP="00A84B00">
      <w:pPr>
        <w:pStyle w:val="BodyText"/>
      </w:pPr>
    </w:p>
    <w:p w:rsidR="00BB5E6E" w:rsidP="00A84B00">
      <w:pPr>
        <w:pStyle w:val="BodyText"/>
      </w:pPr>
    </w:p>
    <w:p w:rsidR="00000000" w:rsidRPr="00A84B00" w:rsidP="00A84B00">
      <w:pPr>
        <w:pStyle w:val="Heading1"/>
      </w:pPr>
      <w:bookmarkStart w:id="5" w:name="O_643833"/>
      <w:bookmarkEnd w:id="5"/>
      <w:r w:rsidRPr="00A84B00">
        <w:t>Foundation Skills</w:t>
      </w:r>
    </w:p>
    <w:p w:rsidR="00000000" w:rsidRPr="00A84B00" w:rsidP="00BB5E6E">
      <w:pPr>
        <w:pStyle w:val="BodyText"/>
      </w:pPr>
      <w:r w:rsidRPr="00A84B00">
        <w:t>The foundation skills demands of this unit have been mapped for alignment with the Australian Core Skills Fr</w:t>
      </w:r>
      <w:r w:rsidRPr="00A84B00">
        <w:t>amework (ACSF). The following tables outline the performance levels indicated for successful attainment of the unit.</w:t>
      </w:r>
    </w:p>
    <w:p w:rsidR="00000000" w:rsidRPr="00A84B00" w:rsidP="00BB5E6E">
      <w:pPr>
        <w:pStyle w:val="BodyText"/>
      </w:pPr>
      <w:r w:rsidRPr="00A84B00">
        <w:t>ACSF levels indicative of performance:</w:t>
      </w:r>
    </w:p>
    <w:p w:rsidR="00000000" w:rsidRPr="00A84B00" w:rsidP="00A84B00">
      <w:pPr>
        <w:pStyle w:val="BodyText"/>
      </w:pPr>
      <w:bookmarkStart w:id="6" w:name="O_64752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5.75pt;width:463.5pt">
            <v:imagedata r:id="rId10" o:title=""/>
          </v:shape>
        </w:pict>
      </w:r>
      <w:bookmarkEnd w:id="6"/>
    </w:p>
    <w:p w:rsidR="00000000" w:rsidRPr="00A84B00" w:rsidP="00A84B00">
      <w:pPr>
        <w:pStyle w:val="BodyText"/>
      </w:pPr>
    </w:p>
    <w:p w:rsidR="00000000" w:rsidRPr="00A84B00" w:rsidP="00BB5E6E">
      <w:pPr>
        <w:pStyle w:val="BodyText"/>
      </w:pPr>
      <w:r w:rsidRPr="00A84B00">
        <w:t xml:space="preserve">Further information on ACSF and the foundation skills underpinning this unit can be found in the </w:t>
      </w:r>
      <w:r w:rsidRPr="00A84B00">
        <w:rPr>
          <w:rStyle w:val="HotSpot"/>
        </w:rPr>
        <w:t>Foundation Skills Guide</w:t>
      </w:r>
      <w:bookmarkStart w:id="7" w:name="H_626176"/>
      <w:bookmarkEnd w:id="7"/>
      <w:r w:rsidRPr="00A84B00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A84B00">
        <w:rPr>
          <w:rStyle w:val="HotSpot"/>
        </w:rPr>
        <w:t>http://www.govskills.com.au/guides/correctional-services/foundation-skills-guide</w:t>
      </w:r>
      <w:r>
        <w:fldChar w:fldCharType="end"/>
      </w:r>
      <w:r w:rsidRPr="00A84B00">
        <w:t xml:space="preserve"> on the GSA website.</w:t>
      </w:r>
    </w:p>
    <w:p w:rsidR="00000000" w:rsidRPr="00A84B00" w:rsidP="00A84B00">
      <w:pPr>
        <w:pStyle w:val="Heading1"/>
      </w:pPr>
      <w:bookmarkStart w:id="8" w:name="O_643835"/>
      <w:bookmarkEnd w:id="8"/>
      <w:r w:rsidRPr="00A84B00">
        <w:t>Unit Mapping In</w:t>
      </w:r>
      <w:r w:rsidRPr="00A84B00">
        <w:t>formation</w:t>
      </w:r>
    </w:p>
    <w:p w:rsidR="00000000" w:rsidRPr="00A84B00" w:rsidP="00BB5E6E">
      <w:pPr>
        <w:pStyle w:val="BodyText"/>
      </w:pPr>
      <w:r w:rsidRPr="00A84B00">
        <w:t>Supersedes and is equivalent to CSCORG508A Determine the effective use of financial resources.</w:t>
      </w:r>
    </w:p>
    <w:p w:rsidR="00000000" w:rsidRPr="00A84B00" w:rsidP="00A84B00">
      <w:pPr>
        <w:pStyle w:val="Heading1"/>
      </w:pPr>
      <w:bookmarkStart w:id="9" w:name="O_643842"/>
      <w:bookmarkEnd w:id="9"/>
      <w:r w:rsidRPr="00A84B00">
        <w:t>Links</w:t>
      </w:r>
    </w:p>
    <w:p w:rsidR="00000000" w:rsidRPr="00A84B00" w:rsidP="00BB5E6E">
      <w:pPr>
        <w:pStyle w:val="BodyText"/>
      </w:pPr>
      <w:r w:rsidRPr="00A84B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85516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84B00" w:rsidP="00BB5E6E">
      <w:pPr>
        <w:pStyle w:val="BodyText"/>
      </w:pPr>
      <w:r w:rsidRPr="00A84B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85516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84B00" w:rsidP="00BB5E6E">
      <w:pPr>
        <w:pStyle w:val="BodyText"/>
      </w:pPr>
      <w:r w:rsidRPr="00A84B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85516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84B00" w:rsidP="00BB5E6E">
      <w:pPr>
        <w:pStyle w:val="BodyText"/>
      </w:pPr>
      <w:r w:rsidRPr="00A84B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85516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84B00" w:rsidP="00A84B00"/>
    <w:sectPr w:rsidSect="00A84B00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00" w:rsidRPr="00BB5E6E" w:rsidP="00BB5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6E" w:rsidP="00A84B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E6E" w:rsidP="00A84B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5E6E" w:rsidP="00A84B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B00" w:rsidRPr="00BB5E6E" w:rsidP="00BB5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6E" w:rsidRPr="002D2AF8" w:rsidP="00A84B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CSCORG021 Determine the effective use of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B5E6E" w:rsidP="00A84B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B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B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B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B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B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B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B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B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B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B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B00"/>
  </w:style>
  <w:style w:type="character" w:customStyle="1" w:styleId="Heading1Char">
    <w:name w:val="Heading 1 Char"/>
    <w:basedOn w:val="DefaultParagraphFont"/>
    <w:link w:val="Heading1"/>
    <w:rsid w:val="00A84B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B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B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4B0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84B00"/>
    <w:rPr>
      <w:b/>
      <w:spacing w:val="0"/>
    </w:rPr>
  </w:style>
  <w:style w:type="paragraph" w:customStyle="1" w:styleId="SuperHeading">
    <w:name w:val="SuperHeading"/>
    <w:basedOn w:val="Normal"/>
    <w:rsid w:val="00A84B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84B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B00"/>
    <w:rPr>
      <w:color w:val="0033CC"/>
      <w:u w:val="none"/>
    </w:rPr>
  </w:style>
  <w:style w:type="paragraph" w:customStyle="1" w:styleId="AllowPageBreak">
    <w:name w:val="AllowPageBreak"/>
    <w:rsid w:val="00A84B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B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B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B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B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B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B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B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B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B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B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B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B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B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B0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84B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4B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B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B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B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B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B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B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B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B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B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B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B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B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B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B00"/>
    <w:rPr>
      <w:i/>
    </w:rPr>
  </w:style>
  <w:style w:type="paragraph" w:styleId="Caption">
    <w:name w:val="caption"/>
    <w:basedOn w:val="BodyText"/>
    <w:next w:val="Normal"/>
    <w:qFormat/>
    <w:rsid w:val="00A84B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B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B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B00"/>
  </w:style>
  <w:style w:type="paragraph" w:styleId="TableofFigures">
    <w:name w:val="table of figures"/>
    <w:basedOn w:val="Normal"/>
    <w:next w:val="Normal"/>
    <w:semiHidden/>
    <w:rsid w:val="00A84B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B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4B00"/>
    <w:rPr>
      <w:rFonts w:ascii="Wingdings" w:hAnsi="Wingdings"/>
    </w:rPr>
  </w:style>
  <w:style w:type="paragraph" w:customStyle="1" w:styleId="BodyTextRight">
    <w:name w:val="Body Text Right"/>
    <w:basedOn w:val="BodyText"/>
    <w:rsid w:val="00A84B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B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B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B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B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B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B00"/>
    <w:rPr>
      <w:sz w:val="32"/>
    </w:rPr>
  </w:style>
  <w:style w:type="paragraph" w:customStyle="1" w:styleId="HeadingProcedure">
    <w:name w:val="Heading Procedure"/>
    <w:basedOn w:val="HeadingBase"/>
    <w:next w:val="Normal"/>
    <w:rsid w:val="00A84B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B00"/>
    <w:pPr>
      <w:spacing w:before="60" w:after="60"/>
    </w:pPr>
  </w:style>
  <w:style w:type="paragraph" w:styleId="ListContinue">
    <w:name w:val="List Continue"/>
    <w:basedOn w:val="List"/>
    <w:rsid w:val="00A84B00"/>
    <w:pPr>
      <w:ind w:firstLine="0"/>
    </w:pPr>
  </w:style>
  <w:style w:type="paragraph" w:customStyle="1" w:styleId="ListNote">
    <w:name w:val="List Note"/>
    <w:basedOn w:val="List"/>
    <w:rsid w:val="00A84B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B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B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B00"/>
    <w:rPr>
      <w:rFonts w:ascii="Courier New" w:hAnsi="Courier New"/>
    </w:rPr>
  </w:style>
  <w:style w:type="paragraph" w:customStyle="1" w:styleId="NoteBullet">
    <w:name w:val="Note Bullet"/>
    <w:basedOn w:val="Note"/>
    <w:rsid w:val="00A84B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B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B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B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B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4B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B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B00"/>
    <w:rPr>
      <w:b/>
      <w:smallCaps/>
    </w:rPr>
  </w:style>
  <w:style w:type="paragraph" w:customStyle="1" w:styleId="TableListNumber">
    <w:name w:val="Table List Number"/>
    <w:basedOn w:val="ListNumber"/>
    <w:rsid w:val="00A84B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B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B00"/>
    <w:pPr>
      <w:numPr>
        <w:numId w:val="7"/>
      </w:numPr>
    </w:pPr>
  </w:style>
  <w:style w:type="paragraph" w:customStyle="1" w:styleId="ListAlpha2">
    <w:name w:val="List Alpha 2"/>
    <w:basedOn w:val="List2"/>
    <w:rsid w:val="00A84B00"/>
    <w:pPr>
      <w:numPr>
        <w:numId w:val="6"/>
      </w:numPr>
    </w:pPr>
  </w:style>
  <w:style w:type="paragraph" w:styleId="List2">
    <w:name w:val="List 2"/>
    <w:basedOn w:val="BodyText"/>
    <w:rsid w:val="00A84B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B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B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B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B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B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4B00"/>
    <w:pPr>
      <w:numPr>
        <w:numId w:val="2"/>
      </w:numPr>
    </w:pPr>
  </w:style>
  <w:style w:type="paragraph" w:styleId="ListContinue2">
    <w:name w:val="List Continue 2"/>
    <w:basedOn w:val="List2"/>
    <w:rsid w:val="00A84B00"/>
    <w:pPr>
      <w:ind w:firstLine="0"/>
    </w:pPr>
  </w:style>
  <w:style w:type="paragraph" w:styleId="ListContinue3">
    <w:name w:val="List Continue 3"/>
    <w:basedOn w:val="List3"/>
    <w:rsid w:val="00A84B00"/>
    <w:pPr>
      <w:ind w:left="1021" w:firstLine="0"/>
    </w:pPr>
  </w:style>
  <w:style w:type="paragraph" w:styleId="ListContinue4">
    <w:name w:val="List Continue 4"/>
    <w:basedOn w:val="List4"/>
    <w:rsid w:val="00A84B00"/>
    <w:pPr>
      <w:ind w:firstLine="0"/>
    </w:pPr>
  </w:style>
  <w:style w:type="paragraph" w:styleId="ListContinue5">
    <w:name w:val="List Continue 5"/>
    <w:basedOn w:val="List5"/>
    <w:rsid w:val="00A84B00"/>
    <w:pPr>
      <w:ind w:firstLine="0"/>
    </w:pPr>
  </w:style>
  <w:style w:type="paragraph" w:styleId="ListNumber3">
    <w:name w:val="List Number 3"/>
    <w:basedOn w:val="List3"/>
    <w:rsid w:val="00A84B00"/>
    <w:pPr>
      <w:numPr>
        <w:numId w:val="3"/>
      </w:numPr>
    </w:pPr>
  </w:style>
  <w:style w:type="paragraph" w:styleId="ListNumber4">
    <w:name w:val="List Number 4"/>
    <w:basedOn w:val="List4"/>
    <w:rsid w:val="00A84B00"/>
    <w:pPr>
      <w:numPr>
        <w:numId w:val="4"/>
      </w:numPr>
    </w:pPr>
  </w:style>
  <w:style w:type="paragraph" w:styleId="ListNumber5">
    <w:name w:val="List Number 5"/>
    <w:basedOn w:val="List5"/>
    <w:rsid w:val="00A84B00"/>
    <w:pPr>
      <w:numPr>
        <w:numId w:val="5"/>
      </w:numPr>
    </w:pPr>
  </w:style>
  <w:style w:type="paragraph" w:styleId="BlockText">
    <w:name w:val="Block Text"/>
    <w:basedOn w:val="Normal"/>
    <w:rsid w:val="00A84B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B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B00"/>
    <w:rPr>
      <w:sz w:val="16"/>
      <w:vertAlign w:val="superscript"/>
    </w:rPr>
  </w:style>
  <w:style w:type="character" w:customStyle="1" w:styleId="Symbols">
    <w:name w:val="Symbols"/>
    <w:basedOn w:val="DefaultParagraphFont"/>
    <w:rsid w:val="00A84B00"/>
    <w:rPr>
      <w:rFonts w:ascii="Symbol" w:hAnsi="Symbol"/>
    </w:rPr>
  </w:style>
  <w:style w:type="character" w:customStyle="1" w:styleId="MenuOptions">
    <w:name w:val="Menu Options"/>
    <w:basedOn w:val="DefaultParagraphFont"/>
    <w:rsid w:val="00A84B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B00"/>
    <w:rPr>
      <w:b/>
    </w:rPr>
  </w:style>
  <w:style w:type="character" w:customStyle="1" w:styleId="Underlined">
    <w:name w:val="Underlined"/>
    <w:basedOn w:val="DefaultParagraphFont"/>
    <w:rsid w:val="00A84B00"/>
    <w:rPr>
      <w:u w:val="single"/>
    </w:rPr>
  </w:style>
  <w:style w:type="paragraph" w:customStyle="1" w:styleId="TableBodyTextRight">
    <w:name w:val="Table Body Text Right"/>
    <w:basedOn w:val="TableBodyText"/>
    <w:rsid w:val="00A84B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B00"/>
    <w:rPr>
      <w:sz w:val="18"/>
    </w:rPr>
  </w:style>
  <w:style w:type="paragraph" w:customStyle="1" w:styleId="BodySmallRight">
    <w:name w:val="Body Small Right"/>
    <w:basedOn w:val="BodyTextRight"/>
    <w:rsid w:val="00A84B00"/>
    <w:rPr>
      <w:sz w:val="18"/>
      <w:szCs w:val="18"/>
    </w:rPr>
  </w:style>
  <w:style w:type="paragraph" w:customStyle="1" w:styleId="MarginEdition">
    <w:name w:val="Margin Edition"/>
    <w:basedOn w:val="MarginNote"/>
    <w:rsid w:val="00A84B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B00"/>
    <w:rPr>
      <w:sz w:val="2"/>
      <w:szCs w:val="2"/>
    </w:rPr>
  </w:style>
  <w:style w:type="character" w:customStyle="1" w:styleId="Small">
    <w:name w:val="Small"/>
    <w:basedOn w:val="DefaultParagraphFont"/>
    <w:rsid w:val="00A84B00"/>
    <w:rPr>
      <w:sz w:val="16"/>
    </w:rPr>
  </w:style>
  <w:style w:type="paragraph" w:customStyle="1" w:styleId="WideTable">
    <w:name w:val="Wide Table"/>
    <w:basedOn w:val="Normal"/>
    <w:rsid w:val="00A84B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B00"/>
  </w:style>
  <w:style w:type="paragraph" w:styleId="Quote">
    <w:name w:val="Quote"/>
    <w:basedOn w:val="Heading1"/>
    <w:link w:val="QuoteChar"/>
    <w:qFormat/>
    <w:rsid w:val="00A84B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B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B00"/>
    <w:pPr>
      <w:pageBreakBefore/>
    </w:pPr>
  </w:style>
  <w:style w:type="paragraph" w:customStyle="1" w:styleId="Border">
    <w:name w:val="Border"/>
    <w:basedOn w:val="Normal"/>
    <w:qFormat/>
    <w:rsid w:val="00A84B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B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B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B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B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B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B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B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B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B00"/>
    <w:rPr>
      <w:u w:val="single"/>
    </w:rPr>
  </w:style>
  <w:style w:type="character" w:customStyle="1" w:styleId="BoldandItalics">
    <w:name w:val="Bold and Italics"/>
    <w:qFormat/>
    <w:rsid w:val="00A84B00"/>
    <w:rPr>
      <w:b/>
      <w:i/>
      <w:u w:val="none"/>
    </w:rPr>
  </w:style>
  <w:style w:type="paragraph" w:styleId="BalloonText">
    <w:name w:val="Balloon Text"/>
    <w:basedOn w:val="Normal"/>
    <w:link w:val="BalloonTextChar"/>
    <w:rsid w:val="00A84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B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B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B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B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B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B00"/>
    <w:pPr>
      <w:spacing w:before="0" w:after="0"/>
    </w:pPr>
  </w:style>
  <w:style w:type="paragraph" w:customStyle="1" w:styleId="BodyTextBold">
    <w:name w:val="Body Text Bold"/>
    <w:basedOn w:val="BodyText"/>
    <w:qFormat/>
    <w:rsid w:val="00A84B00"/>
    <w:rPr>
      <w:b/>
    </w:rPr>
  </w:style>
  <w:style w:type="character" w:styleId="Hyperlink">
    <w:name w:val="Hyperlink"/>
    <w:basedOn w:val="DefaultParagraphFont"/>
    <w:uiPriority w:val="99"/>
    <w:unhideWhenUsed/>
    <w:rsid w:val="00BB5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4567</Characters>
  <Application>Microsoft Office Word</Application>
  <DocSecurity>0</DocSecurity>
  <Lines>130</Lines>
  <Paragraphs>64</Paragraphs>
  <ScaleCrop>false</ScaleCrop>
  <Company>Author-it Software Corporation Ltd.</Company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CSCORG021 Determine the effective use of financial resources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2021-01-24T23:36:00Z</dcterms:created>
  <dcterms:modified xsi:type="dcterms:W3CDTF">2021-01-24T23:36:00Z</dcterms:modified>
</cp:coreProperties>
</file>