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8BC" w:rsidP="00D938BC">
      <w:pPr>
        <w:pStyle w:val="Title"/>
      </w:pPr>
      <w:r>
        <w:fldChar w:fldCharType="begin"/>
      </w:r>
      <w:r>
        <w:instrText xml:space="preserve"> TITLE   \* MERGEFORMAT </w:instrText>
      </w:r>
      <w:r>
        <w:fldChar w:fldCharType="separate"/>
      </w:r>
      <w:r>
        <w:t>Assessment Requirements for CSCOFM026 Protect the safety and welfare of Aboriginal and Torres Strait Islander offenders</w:t>
      </w:r>
      <w:r>
        <w:fldChar w:fldCharType="end"/>
      </w:r>
    </w:p>
    <w:p w:rsidR="00D938BC" w:rsidP="00D938BC">
      <w:pPr>
        <w:pStyle w:val="Version"/>
        <w:sectPr w:rsidSect="00524C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C7B" w:rsidP="00524C7B">
      <w:pPr>
        <w:pStyle w:val="SuperHeading"/>
      </w:pPr>
      <w:r w:rsidRPr="00524C7B">
        <w:t>Assessment Requirements for CSCOFM026 Protect the safety and welfare of Aboriginal and Torres Strait Islander offenders</w:t>
      </w:r>
    </w:p>
    <w:p w:rsidR="00000000" w:rsidRPr="00524C7B" w:rsidP="00524C7B">
      <w:pPr>
        <w:pStyle w:val="Heading1"/>
      </w:pPr>
      <w:bookmarkStart w:id="1" w:name="O_1050401"/>
      <w:bookmarkEnd w:id="1"/>
      <w:r w:rsidRPr="00524C7B">
        <w:t>Modification History</w:t>
      </w:r>
    </w:p>
    <w:tbl>
      <w:tblPr>
        <w:tblW w:w="9497" w:type="dxa"/>
        <w:tblLayout w:type="fixed"/>
        <w:tblCellMar>
          <w:left w:w="62" w:type="dxa"/>
          <w:right w:w="62" w:type="dxa"/>
        </w:tblCellMar>
        <w:tblLook w:val="0000"/>
      </w:tblPr>
      <w:tblGrid>
        <w:gridCol w:w="9497"/>
      </w:tblGrid>
      <w:tr w:rsidTr="00524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C7B" w:rsidP="00524C7B">
            <w:pPr>
              <w:pStyle w:val="BodyText"/>
            </w:pPr>
            <w:r w:rsidRPr="00524C7B">
              <w:t>Release 1.0</w:t>
            </w:r>
          </w:p>
          <w:p w:rsidR="00000000" w:rsidRPr="00524C7B" w:rsidP="00524C7B">
            <w:pPr>
              <w:pStyle w:val="BodyText"/>
            </w:pPr>
            <w:r w:rsidRPr="00524C7B">
              <w:t>This unit was released in CSC Correctional Services Training Package release 2.0.</w:t>
            </w:r>
          </w:p>
        </w:tc>
      </w:tr>
    </w:tbl>
    <w:p w:rsidR="00000000" w:rsidRPr="00524C7B" w:rsidP="00524C7B">
      <w:pPr>
        <w:pStyle w:val="NoPaddingFontSize1"/>
      </w:pPr>
    </w:p>
    <w:p w:rsidR="00000000" w:rsidRPr="00524C7B" w:rsidP="00524C7B">
      <w:pPr>
        <w:pStyle w:val="AllowPageBreak"/>
      </w:pPr>
    </w:p>
    <w:p w:rsidR="00000000" w:rsidRPr="00524C7B" w:rsidP="00524C7B">
      <w:pPr>
        <w:pStyle w:val="Heading1"/>
      </w:pPr>
      <w:bookmarkStart w:id="2" w:name="O_1050402"/>
      <w:bookmarkEnd w:id="2"/>
      <w:r w:rsidRPr="00524C7B">
        <w:t>Performance Evidence</w:t>
      </w:r>
    </w:p>
    <w:tbl>
      <w:tblPr>
        <w:tblW w:w="9497" w:type="dxa"/>
        <w:tblLayout w:type="fixed"/>
        <w:tblCellMar>
          <w:left w:w="62" w:type="dxa"/>
          <w:right w:w="62" w:type="dxa"/>
        </w:tblCellMar>
        <w:tblLook w:val="0000"/>
      </w:tblPr>
      <w:tblGrid>
        <w:gridCol w:w="9497"/>
      </w:tblGrid>
      <w:tr w:rsidTr="00524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4C7B">
            <w:pPr>
              <w:pStyle w:val="BodyText"/>
              <w:rPr>
                <w:lang w:val="en-NZ"/>
              </w:rPr>
            </w:pPr>
            <w:r w:rsidRPr="00524C7B">
              <w:t>Evidence required to demonstrate competence in this unit must be relevant to and satisfy all of the requirements of the elements and performance criteria on at least two occasions and includes:</w:t>
            </w:r>
          </w:p>
        </w:tc>
      </w:tr>
      <w:tr w:rsidTr="00524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C7B" w:rsidP="00524C7B">
            <w:pPr>
              <w:pStyle w:val="ListBullet"/>
            </w:pPr>
            <w:r w:rsidRPr="00524C7B">
              <w:t>checking information</w:t>
            </w:r>
            <w:r w:rsidRPr="00524C7B">
              <w:t xml:space="preserve"> and questioning offenders to assess risks and special needs of Aboriginal and/or Torres Strait Islander offenders</w:t>
            </w:r>
          </w:p>
          <w:p w:rsidR="00000000" w:rsidRPr="00524C7B" w:rsidP="00524C7B">
            <w:pPr>
              <w:pStyle w:val="ListBullet"/>
            </w:pPr>
            <w:r w:rsidRPr="00524C7B">
              <w:t>liaising with Aboriginal and/or Torres Strait Islander staff and advisers to refer offenders to culturally appropriate services and programs</w:t>
            </w:r>
          </w:p>
          <w:p w:rsidR="00000000" w:rsidRPr="00524C7B" w:rsidP="00524C7B">
            <w:pPr>
              <w:pStyle w:val="ListBullet"/>
            </w:pPr>
            <w:r w:rsidRPr="00524C7B">
              <w:t>adapting communication style to ensure information exchanged is accurately understood</w:t>
            </w:r>
          </w:p>
          <w:p w:rsidR="00000000" w:rsidRPr="00524C7B" w:rsidP="00524C7B">
            <w:pPr>
              <w:pStyle w:val="ListBullet"/>
            </w:pPr>
            <w:r w:rsidRPr="00524C7B">
              <w:t>using translators or interpreters to address cultural communication barriers</w:t>
            </w:r>
          </w:p>
          <w:p w:rsidR="00000000" w:rsidRPr="00524C7B" w:rsidP="00524C7B">
            <w:pPr>
              <w:pStyle w:val="ListBullet"/>
            </w:pPr>
            <w:r w:rsidRPr="00524C7B">
              <w:t>clearly and accurately recording, and communicating observations in accordance with workplace</w:t>
            </w:r>
            <w:r w:rsidRPr="00524C7B">
              <w:t xml:space="preserve"> policies and procedures</w:t>
            </w:r>
          </w:p>
          <w:p w:rsidR="00000000" w:rsidRPr="00524C7B" w:rsidP="00524C7B">
            <w:pPr>
              <w:pStyle w:val="ListBullet"/>
            </w:pPr>
            <w:r w:rsidRPr="00524C7B">
              <w:t>responding to incidents safely in an appropriate timeframe according to the situation and workplace policies and procedures</w:t>
            </w:r>
          </w:p>
        </w:tc>
      </w:tr>
    </w:tbl>
    <w:p w:rsidR="00000000" w:rsidRPr="00524C7B" w:rsidP="00524C7B">
      <w:pPr>
        <w:pStyle w:val="NoPaddingFontSize1"/>
      </w:pPr>
    </w:p>
    <w:p w:rsidR="00000000" w:rsidRPr="00524C7B" w:rsidP="00524C7B">
      <w:pPr>
        <w:pStyle w:val="AllowPageBreak"/>
      </w:pPr>
    </w:p>
    <w:p w:rsidR="00000000" w:rsidRPr="00524C7B" w:rsidP="00524C7B">
      <w:pPr>
        <w:pStyle w:val="Heading1"/>
      </w:pPr>
      <w:bookmarkStart w:id="3" w:name="O_1050403"/>
      <w:bookmarkEnd w:id="3"/>
      <w:r w:rsidRPr="00524C7B">
        <w:t>Knowledge Evidence</w:t>
      </w:r>
    </w:p>
    <w:tbl>
      <w:tblPr>
        <w:tblW w:w="9497" w:type="dxa"/>
        <w:tblLayout w:type="fixed"/>
        <w:tblCellMar>
          <w:left w:w="62" w:type="dxa"/>
          <w:right w:w="62" w:type="dxa"/>
        </w:tblCellMar>
        <w:tblLook w:val="0000"/>
      </w:tblPr>
      <w:tblGrid>
        <w:gridCol w:w="9497"/>
      </w:tblGrid>
      <w:tr w:rsidTr="00524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4C7B">
            <w:pPr>
              <w:pStyle w:val="BodyText"/>
              <w:rPr>
                <w:lang w:val="en-NZ"/>
              </w:rPr>
            </w:pPr>
            <w:r w:rsidRPr="00524C7B">
              <w:t>Evidence required to demonstrate competence in this unit must be relevant to and satisfy all of the requirements of the elements and performance criteria and include knowledge of:</w:t>
            </w:r>
          </w:p>
        </w:tc>
      </w:tr>
      <w:tr w:rsidTr="00524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C7B" w:rsidP="00524C7B">
            <w:pPr>
              <w:pStyle w:val="ListBullet"/>
            </w:pPr>
            <w:r w:rsidRPr="00524C7B">
              <w:t>ethical and humane treatment including:</w:t>
            </w:r>
          </w:p>
          <w:p w:rsidR="00000000" w:rsidRPr="00524C7B" w:rsidP="00524C7B">
            <w:pPr>
              <w:pStyle w:val="ListBullet2"/>
            </w:pPr>
            <w:r w:rsidRPr="00524C7B">
              <w:t>basic human rights principles inc</w:t>
            </w:r>
            <w:r w:rsidRPr="00524C7B">
              <w:t>luding:</w:t>
            </w:r>
          </w:p>
          <w:p w:rsidR="00000000" w:rsidRPr="00524C7B" w:rsidP="00524C7B">
            <w:pPr>
              <w:pStyle w:val="ListBullet3"/>
            </w:pPr>
            <w:r w:rsidRPr="00524C7B">
              <w:t>right to life</w:t>
            </w:r>
          </w:p>
          <w:p w:rsidR="00000000" w:rsidRPr="00524C7B" w:rsidP="00524C7B">
            <w:pPr>
              <w:pStyle w:val="ListBullet3"/>
            </w:pPr>
            <w:r w:rsidRPr="00524C7B">
              <w:t>freedom from torture and inhuman or degrading treatment</w:t>
            </w:r>
          </w:p>
          <w:p w:rsidR="00000000" w:rsidRPr="00524C7B" w:rsidP="00524C7B">
            <w:pPr>
              <w:pStyle w:val="ListBullet3"/>
            </w:pPr>
            <w:r w:rsidRPr="00524C7B">
              <w:t>right to security</w:t>
            </w:r>
          </w:p>
          <w:p w:rsidR="00000000" w:rsidRPr="00524C7B" w:rsidP="00524C7B">
            <w:pPr>
              <w:pStyle w:val="ListBullet3"/>
            </w:pPr>
            <w:r w:rsidRPr="00524C7B">
              <w:t>legal factors that limit and restrict offenders right to liberty</w:t>
            </w:r>
          </w:p>
          <w:p w:rsidR="00000000" w:rsidRPr="00524C7B" w:rsidP="00524C7B">
            <w:pPr>
              <w:pStyle w:val="ListBullet2"/>
            </w:pPr>
            <w:r w:rsidRPr="00524C7B">
              <w:t>right to culture:</w:t>
            </w:r>
          </w:p>
          <w:p w:rsidR="00000000" w:rsidRPr="00524C7B" w:rsidP="00524C7B">
            <w:pPr>
              <w:pStyle w:val="ListBullet3"/>
            </w:pPr>
            <w:r w:rsidRPr="00524C7B">
              <w:t>Australian Government support to the United Nations Declaration on the Rights of Indigenous Peoples</w:t>
            </w:r>
          </w:p>
          <w:p w:rsidR="00000000" w:rsidRPr="00524C7B" w:rsidP="00524C7B">
            <w:pPr>
              <w:pStyle w:val="ListBullet3"/>
            </w:pPr>
            <w:r w:rsidRPr="00524C7B">
              <w:t>workplace policies and procedures related to Aboriginal and/or Torres Strait Islander offenders</w:t>
            </w:r>
          </w:p>
          <w:p w:rsidR="00000000" w:rsidRPr="00524C7B" w:rsidP="00524C7B">
            <w:pPr>
              <w:pStyle w:val="ListBullet"/>
            </w:pPr>
            <w:r w:rsidRPr="00524C7B">
              <w:t>culturally safe practices including:</w:t>
            </w:r>
          </w:p>
          <w:p w:rsidR="00000000" w:rsidRPr="00524C7B" w:rsidP="00524C7B">
            <w:pPr>
              <w:pStyle w:val="ListBullet2"/>
            </w:pPr>
            <w:r w:rsidRPr="00524C7B">
              <w:t xml:space="preserve">definition of cultural safety </w:t>
            </w:r>
          </w:p>
          <w:p w:rsidR="00000000" w:rsidRPr="00524C7B" w:rsidP="00524C7B">
            <w:pPr>
              <w:pStyle w:val="ListBullet2"/>
            </w:pPr>
            <w:r w:rsidRPr="00524C7B">
              <w:t>establishing and maintaining a supportive professional relationship</w:t>
            </w:r>
          </w:p>
          <w:p w:rsidR="00000000" w:rsidRPr="00524C7B" w:rsidP="00524C7B">
            <w:pPr>
              <w:pStyle w:val="ListBullet2"/>
            </w:pPr>
            <w:r w:rsidRPr="00524C7B">
              <w:t>understanding of the effects of:</w:t>
            </w:r>
          </w:p>
          <w:p w:rsidR="00000000" w:rsidRPr="00524C7B" w:rsidP="00524C7B">
            <w:pPr>
              <w:pStyle w:val="ListBullet3"/>
            </w:pPr>
            <w:r w:rsidRPr="00524C7B">
              <w:t>separation from country, family/clan/language groups and social support</w:t>
            </w:r>
          </w:p>
          <w:p w:rsidR="00000000" w:rsidRPr="00524C7B" w:rsidP="00524C7B">
            <w:pPr>
              <w:pStyle w:val="ListBullet3"/>
            </w:pPr>
            <w:r w:rsidRPr="00524C7B">
              <w:t xml:space="preserve">cultural responsibilities </w:t>
            </w:r>
          </w:p>
          <w:p w:rsidR="00000000" w:rsidRPr="00524C7B" w:rsidP="00524C7B">
            <w:pPr>
              <w:pStyle w:val="ListBullet3"/>
            </w:pPr>
            <w:r w:rsidRPr="00524C7B">
              <w:t>historical and cultural context in which contact with the justice system will affect Aboriginal and/or Torres Strait Islander offenders</w:t>
            </w:r>
          </w:p>
          <w:p w:rsidR="00000000" w:rsidRPr="00524C7B" w:rsidP="00524C7B">
            <w:pPr>
              <w:pStyle w:val="ListBullet3"/>
            </w:pPr>
            <w:r w:rsidRPr="00524C7B">
              <w:t>causes of cultural conflict and alienation</w:t>
            </w:r>
          </w:p>
          <w:p w:rsidR="00000000" w:rsidRPr="00524C7B" w:rsidP="00524C7B">
            <w:pPr>
              <w:pStyle w:val="ListBullet3"/>
            </w:pPr>
            <w:r w:rsidRPr="00524C7B">
              <w:t>influence of offenders</w:t>
            </w:r>
            <w:r>
              <w:t>’</w:t>
            </w:r>
            <w:r w:rsidRPr="00524C7B">
              <w:t xml:space="preserve"> culture and experience on their behaviour</w:t>
            </w:r>
          </w:p>
          <w:p w:rsidR="00000000" w:rsidRPr="00524C7B" w:rsidP="00524C7B">
            <w:pPr>
              <w:pStyle w:val="ListBullet2"/>
            </w:pPr>
            <w:r w:rsidRPr="00524C7B">
              <w:t xml:space="preserve">effective </w:t>
            </w:r>
            <w:r w:rsidRPr="00524C7B">
              <w:t>use of specialist services, mediation and traditional healers</w:t>
            </w:r>
          </w:p>
          <w:p w:rsidR="00000000" w:rsidRPr="00524C7B" w:rsidP="00524C7B">
            <w:pPr>
              <w:pStyle w:val="ListBullet2"/>
            </w:pPr>
            <w:r w:rsidRPr="00524C7B">
              <w:t>referring to appropriate support services and programs available to Aboriginal and/or Torres Strait Islander offenders</w:t>
            </w:r>
          </w:p>
          <w:p w:rsidR="00000000" w:rsidRPr="00524C7B" w:rsidP="00524C7B">
            <w:pPr>
              <w:pStyle w:val="ListBullet2"/>
            </w:pPr>
            <w:r w:rsidRPr="00524C7B">
              <w:t>linking support services within the community</w:t>
            </w:r>
          </w:p>
          <w:p w:rsidR="00000000" w:rsidRPr="00524C7B" w:rsidP="00524C7B">
            <w:pPr>
              <w:pStyle w:val="ListBullet2"/>
            </w:pPr>
            <w:r w:rsidRPr="00524C7B">
              <w:t>reflection and self-evaluatio</w:t>
            </w:r>
            <w:r w:rsidRPr="00524C7B">
              <w:t>n to review own practices and identify ways to improve</w:t>
            </w:r>
          </w:p>
          <w:p w:rsidR="00000000" w:rsidRPr="00524C7B" w:rsidP="00524C7B">
            <w:pPr>
              <w:pStyle w:val="ListBullet"/>
            </w:pPr>
            <w:r w:rsidRPr="00524C7B">
              <w:t>protection from discrimination in Australia:</w:t>
            </w:r>
          </w:p>
          <w:p w:rsidR="00000000" w:rsidRPr="00524C7B" w:rsidP="00524C7B">
            <w:pPr>
              <w:pStyle w:val="ListBullet2"/>
            </w:pPr>
            <w:r w:rsidRPr="00524C7B">
              <w:t>existence and role of racial, sex, disability and age anti-discrimination acts</w:t>
            </w:r>
          </w:p>
          <w:p w:rsidR="00000000" w:rsidRPr="00524C7B" w:rsidP="00524C7B">
            <w:pPr>
              <w:pStyle w:val="ListBullet2"/>
            </w:pPr>
            <w:r w:rsidRPr="00524C7B">
              <w:t>discriminative behaviour and attitudes</w:t>
            </w:r>
          </w:p>
          <w:p w:rsidR="00000000" w:rsidRPr="00524C7B" w:rsidP="00524C7B">
            <w:pPr>
              <w:pStyle w:val="ListBullet2"/>
            </w:pPr>
            <w:r w:rsidRPr="00524C7B">
              <w:t>words, phrases and gestures to avoid</w:t>
            </w:r>
          </w:p>
          <w:p w:rsidR="00000000" w:rsidRPr="00524C7B" w:rsidP="00524C7B">
            <w:pPr>
              <w:pStyle w:val="ListBullet"/>
            </w:pPr>
            <w:r w:rsidRPr="00524C7B">
              <w:t>interpersonal strategies:</w:t>
            </w:r>
          </w:p>
          <w:p w:rsidR="00000000" w:rsidRPr="00524C7B" w:rsidP="00524C7B">
            <w:pPr>
              <w:pStyle w:val="ListBullet2"/>
            </w:pPr>
            <w:r w:rsidRPr="00524C7B">
              <w:t>communication styles</w:t>
            </w:r>
          </w:p>
          <w:p w:rsidR="00000000" w:rsidRPr="00524C7B" w:rsidP="00524C7B">
            <w:pPr>
              <w:pStyle w:val="ListBullet2"/>
            </w:pPr>
            <w:r w:rsidRPr="00524C7B">
              <w:t>active listening</w:t>
            </w:r>
          </w:p>
          <w:p w:rsidR="00000000" w:rsidRPr="00524C7B" w:rsidP="00524C7B">
            <w:pPr>
              <w:pStyle w:val="ListBullet2"/>
            </w:pPr>
            <w:r w:rsidRPr="00524C7B">
              <w:t>non-verbal communication cues</w:t>
            </w:r>
          </w:p>
          <w:p w:rsidR="00000000" w:rsidRPr="00524C7B" w:rsidP="00524C7B">
            <w:pPr>
              <w:pStyle w:val="ListBullet2"/>
            </w:pPr>
            <w:r w:rsidRPr="00524C7B">
              <w:t>broad understanding of conflict resolution</w:t>
            </w:r>
          </w:p>
          <w:p w:rsidR="00000000" w:rsidRPr="00524C7B" w:rsidP="00524C7B">
            <w:pPr>
              <w:pStyle w:val="ListBullet"/>
            </w:pPr>
            <w:r w:rsidRPr="00524C7B">
              <w:t>indicators of special needs:</w:t>
            </w:r>
          </w:p>
          <w:p w:rsidR="00000000" w:rsidRPr="00524C7B" w:rsidP="00524C7B">
            <w:pPr>
              <w:pStyle w:val="ListBullet2"/>
            </w:pPr>
            <w:r w:rsidRPr="00524C7B">
              <w:t>age</w:t>
            </w:r>
          </w:p>
          <w:p w:rsidR="00000000" w:rsidRPr="00524C7B" w:rsidP="00524C7B">
            <w:pPr>
              <w:pStyle w:val="ListBullet2"/>
            </w:pPr>
            <w:r w:rsidRPr="00524C7B">
              <w:t>gender identification</w:t>
            </w:r>
          </w:p>
          <w:p w:rsidR="00000000" w:rsidRPr="00524C7B" w:rsidP="00524C7B">
            <w:pPr>
              <w:pStyle w:val="ListBullet2"/>
            </w:pPr>
            <w:r w:rsidRPr="00524C7B">
              <w:t>sexual orientation</w:t>
            </w:r>
          </w:p>
          <w:p w:rsidR="00000000" w:rsidRPr="00524C7B" w:rsidP="00524C7B">
            <w:pPr>
              <w:pStyle w:val="ListBullet2"/>
            </w:pPr>
            <w:r w:rsidRPr="00524C7B">
              <w:t>medical and psychological conditions</w:t>
            </w:r>
          </w:p>
          <w:p w:rsidR="00000000" w:rsidRPr="00524C7B" w:rsidP="00524C7B">
            <w:pPr>
              <w:pStyle w:val="ListBullet2"/>
            </w:pPr>
            <w:r w:rsidRPr="00524C7B">
              <w:t>peo</w:t>
            </w:r>
            <w:r w:rsidRPr="00524C7B">
              <w:t>ple with disabilities including:</w:t>
            </w:r>
          </w:p>
          <w:p w:rsidR="00000000" w:rsidRPr="00524C7B" w:rsidP="00524C7B">
            <w:pPr>
              <w:pStyle w:val="ListBullet3"/>
            </w:pPr>
            <w:r w:rsidRPr="00524C7B">
              <w:t xml:space="preserve">physical </w:t>
            </w:r>
          </w:p>
          <w:p w:rsidR="00000000" w:rsidRPr="00524C7B" w:rsidP="00524C7B">
            <w:pPr>
              <w:pStyle w:val="ListBullet3"/>
            </w:pPr>
            <w:r w:rsidRPr="00524C7B">
              <w:t xml:space="preserve">intellectual </w:t>
            </w:r>
          </w:p>
          <w:p w:rsidR="00000000" w:rsidRPr="00524C7B" w:rsidP="00524C7B">
            <w:pPr>
              <w:pStyle w:val="ListBullet"/>
            </w:pPr>
            <w:r w:rsidRPr="00524C7B">
              <w:t>culturally safe environment:</w:t>
            </w:r>
          </w:p>
          <w:p w:rsidR="00000000" w:rsidRPr="00524C7B" w:rsidP="00524C7B">
            <w:pPr>
              <w:pStyle w:val="ListBullet2"/>
            </w:pPr>
            <w:r w:rsidRPr="00524C7B">
              <w:t>avoidance relationships</w:t>
            </w:r>
          </w:p>
          <w:p w:rsidR="00000000" w:rsidRPr="00524C7B" w:rsidP="00524C7B">
            <w:pPr>
              <w:pStyle w:val="ListBullet2"/>
            </w:pPr>
            <w:r w:rsidRPr="00524C7B">
              <w:t>kinship structures</w:t>
            </w:r>
          </w:p>
          <w:p w:rsidR="00000000" w:rsidRPr="00524C7B" w:rsidP="00524C7B">
            <w:pPr>
              <w:pStyle w:val="ListBullet"/>
            </w:pPr>
            <w:r w:rsidRPr="00524C7B">
              <w:t>indicators of risk, including:</w:t>
            </w:r>
          </w:p>
          <w:p w:rsidR="00000000" w:rsidRPr="00524C7B" w:rsidP="00524C7B">
            <w:pPr>
              <w:pStyle w:val="ListBullet2"/>
            </w:pPr>
            <w:r w:rsidRPr="00524C7B">
              <w:t>trauma of imprisonment or impact of the justice system</w:t>
            </w:r>
          </w:p>
          <w:p w:rsidR="00000000" w:rsidRPr="00524C7B" w:rsidP="00524C7B">
            <w:pPr>
              <w:pStyle w:val="ListBullet2"/>
            </w:pPr>
            <w:r w:rsidRPr="00524C7B">
              <w:t>experience or exposure to justice system</w:t>
            </w:r>
          </w:p>
          <w:p w:rsidR="00000000" w:rsidRPr="00524C7B" w:rsidP="00524C7B">
            <w:pPr>
              <w:pStyle w:val="ListBullet2"/>
            </w:pPr>
            <w:r w:rsidRPr="00524C7B">
              <w:t xml:space="preserve">institutionalisation </w:t>
            </w:r>
          </w:p>
          <w:p w:rsidR="00000000" w:rsidRPr="00524C7B" w:rsidP="00524C7B">
            <w:pPr>
              <w:pStyle w:val="ListBullet2"/>
            </w:pPr>
            <w:r w:rsidRPr="00524C7B">
              <w:t>stress</w:t>
            </w:r>
          </w:p>
          <w:p w:rsidR="00000000" w:rsidRPr="00524C7B" w:rsidP="00524C7B">
            <w:pPr>
              <w:pStyle w:val="ListBullet2"/>
            </w:pPr>
            <w:r w:rsidRPr="00524C7B">
              <w:t>mental illness</w:t>
            </w:r>
          </w:p>
          <w:p w:rsidR="00000000" w:rsidRPr="00524C7B" w:rsidP="00524C7B">
            <w:pPr>
              <w:pStyle w:val="ListBullet2"/>
            </w:pPr>
            <w:r w:rsidRPr="00524C7B">
              <w:t>addiction or drug use</w:t>
            </w:r>
          </w:p>
          <w:p w:rsidR="00000000" w:rsidRPr="00524C7B" w:rsidP="00524C7B">
            <w:pPr>
              <w:pStyle w:val="ListBullet2"/>
            </w:pPr>
            <w:r w:rsidRPr="00524C7B">
              <w:t>withdrawal</w:t>
            </w:r>
          </w:p>
          <w:p w:rsidR="00000000" w:rsidRPr="00524C7B" w:rsidP="00524C7B">
            <w:pPr>
              <w:pStyle w:val="ListBullet2"/>
            </w:pPr>
            <w:r w:rsidRPr="00524C7B">
              <w:t xml:space="preserve">self-harm </w:t>
            </w:r>
          </w:p>
          <w:p w:rsidR="00000000" w:rsidRPr="00524C7B" w:rsidP="00524C7B">
            <w:pPr>
              <w:pStyle w:val="ListBullet2"/>
            </w:pPr>
            <w:r w:rsidRPr="00524C7B">
              <w:t>history of trauma or abuse</w:t>
            </w:r>
          </w:p>
          <w:p w:rsidR="00000000" w:rsidRPr="00524C7B" w:rsidP="00524C7B">
            <w:pPr>
              <w:pStyle w:val="ListBullet2"/>
            </w:pPr>
            <w:r w:rsidRPr="00524C7B">
              <w:t>relocation from country</w:t>
            </w:r>
          </w:p>
          <w:p w:rsidR="00000000" w:rsidRPr="00524C7B" w:rsidP="00524C7B">
            <w:pPr>
              <w:pStyle w:val="ListBullet"/>
            </w:pPr>
            <w:r w:rsidRPr="00524C7B">
              <w:t xml:space="preserve">workplace policies and procedures including: </w:t>
            </w:r>
          </w:p>
          <w:p w:rsidR="00000000" w:rsidRPr="00524C7B" w:rsidP="00524C7B">
            <w:pPr>
              <w:pStyle w:val="ListBullet2"/>
            </w:pPr>
            <w:r w:rsidRPr="00524C7B">
              <w:t>workplace code of conduct</w:t>
            </w:r>
          </w:p>
          <w:p w:rsidR="00000000" w:rsidRPr="00524C7B" w:rsidP="00524C7B">
            <w:pPr>
              <w:pStyle w:val="ListBullet2"/>
            </w:pPr>
            <w:r w:rsidRPr="00524C7B">
              <w:t>of</w:t>
            </w:r>
            <w:r w:rsidRPr="00524C7B">
              <w:t>fender information systems</w:t>
            </w:r>
          </w:p>
          <w:p w:rsidR="00000000" w:rsidRPr="00524C7B" w:rsidP="00524C7B">
            <w:pPr>
              <w:pStyle w:val="ListBullet2"/>
            </w:pPr>
            <w:r w:rsidRPr="00524C7B">
              <w:t>recording and reporting requirements</w:t>
            </w:r>
          </w:p>
          <w:p w:rsidR="00000000" w:rsidRPr="00524C7B" w:rsidP="00524C7B">
            <w:pPr>
              <w:pStyle w:val="ListBullet2"/>
            </w:pPr>
            <w:r w:rsidRPr="00524C7B">
              <w:t xml:space="preserve">operational procedures </w:t>
            </w:r>
          </w:p>
          <w:p w:rsidR="00000000" w:rsidRPr="00524C7B" w:rsidP="00524C7B">
            <w:pPr>
              <w:pStyle w:val="ListBullet2"/>
            </w:pPr>
            <w:r w:rsidRPr="00524C7B">
              <w:t>specialist referral procedures</w:t>
            </w:r>
          </w:p>
          <w:p w:rsidR="00000000" w:rsidRPr="00524C7B" w:rsidP="00524C7B">
            <w:pPr>
              <w:pStyle w:val="ListBullet2"/>
            </w:pPr>
            <w:r w:rsidRPr="00524C7B">
              <w:t>death in custody</w:t>
            </w:r>
          </w:p>
        </w:tc>
      </w:tr>
    </w:tbl>
    <w:p w:rsidR="00000000" w:rsidRPr="00524C7B" w:rsidP="00524C7B">
      <w:pPr>
        <w:pStyle w:val="NoPaddingFontSize1"/>
      </w:pPr>
    </w:p>
    <w:p w:rsidR="00000000" w:rsidRPr="00524C7B" w:rsidP="00524C7B">
      <w:pPr>
        <w:pStyle w:val="AllowPageBreak"/>
      </w:pPr>
    </w:p>
    <w:p w:rsidR="00000000" w:rsidRPr="00524C7B" w:rsidP="00524C7B">
      <w:pPr>
        <w:pStyle w:val="Heading1"/>
      </w:pPr>
      <w:bookmarkStart w:id="4" w:name="O_1050404"/>
      <w:bookmarkEnd w:id="4"/>
      <w:r w:rsidRPr="00524C7B">
        <w:t>Assessment Conditions</w:t>
      </w:r>
    </w:p>
    <w:tbl>
      <w:tblPr>
        <w:tblW w:w="9497" w:type="dxa"/>
        <w:tblLayout w:type="fixed"/>
        <w:tblCellMar>
          <w:left w:w="62" w:type="dxa"/>
          <w:right w:w="62" w:type="dxa"/>
        </w:tblCellMar>
        <w:tblLook w:val="0000"/>
      </w:tblPr>
      <w:tblGrid>
        <w:gridCol w:w="9497"/>
      </w:tblGrid>
      <w:tr w:rsidTr="00524C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C7B" w:rsidP="00524C7B">
            <w:pPr>
              <w:pStyle w:val="BodyText"/>
            </w:pPr>
            <w:r w:rsidRPr="00524C7B">
              <w:t>Assessors must hold credentials specified within the Standards for Registered Training Organisations current at the time of assessment.</w:t>
            </w:r>
          </w:p>
          <w:p w:rsidR="00000000" w:rsidRPr="00524C7B" w:rsidP="00524C7B">
            <w:pPr>
              <w:pStyle w:val="BodyText"/>
            </w:pPr>
            <w:r w:rsidRPr="00524C7B">
              <w:t>Assessment must satisfy the Principles of Assessment and Rules of Evidence and all regulatory requirements included with</w:t>
            </w:r>
            <w:r w:rsidRPr="00524C7B">
              <w:t>in the Standards for Registered Training Organisations current at the time of assessment.</w:t>
            </w:r>
          </w:p>
          <w:p w:rsidR="00000000" w:rsidRPr="00524C7B" w:rsidP="00524C7B">
            <w:pPr>
              <w:pStyle w:val="BodyText"/>
            </w:pPr>
            <w:r w:rsidRPr="00524C7B">
              <w:t>Assessment must occur in suitable workplace operational situations. Where this is not appropriate, assessment must occur in suitable simulated workplace operational s</w:t>
            </w:r>
            <w:r w:rsidRPr="00524C7B">
              <w:t>ituations reflecting actual industry workplace conditions that closely resembles normal work practice and replicates the range of conditions likely to be encountered by an individual working with offenders from an Aboriginal or Torres Strait Islander backg</w:t>
            </w:r>
            <w:r w:rsidRPr="00524C7B">
              <w:t>round effectively as part of a coordinated team, including coping with difficulties, irregularities and changes to routine.</w:t>
            </w:r>
          </w:p>
          <w:p w:rsidR="00000000" w:rsidRPr="00524C7B" w:rsidP="00524C7B">
            <w:pPr>
              <w:pStyle w:val="BodyText"/>
            </w:pPr>
            <w:r w:rsidRPr="00524C7B">
              <w:t>Assessment processes and techniques must be appropriate to the language, literacy and numeracy requirements of the work being perfor</w:t>
            </w:r>
            <w:r w:rsidRPr="00524C7B">
              <w:t>med and the needs of the candidate.</w:t>
            </w:r>
          </w:p>
          <w:p w:rsidR="00000000" w:rsidRPr="00524C7B" w:rsidP="00524C7B">
            <w:pPr>
              <w:pStyle w:val="BodyText"/>
            </w:pPr>
            <w:r w:rsidRPr="00524C7B">
              <w:t>Resources for assessment must include access to:</w:t>
            </w:r>
          </w:p>
          <w:p w:rsidR="00000000" w:rsidRPr="00524C7B" w:rsidP="00524C7B">
            <w:pPr>
              <w:pStyle w:val="ListBullet"/>
            </w:pPr>
            <w:r w:rsidRPr="00524C7B">
              <w:t xml:space="preserve">relevant and appropriate materials, tools, facilities, equipment and personal protective equipment currently used in the industry </w:t>
            </w:r>
          </w:p>
          <w:p w:rsidR="00000000" w:rsidRPr="00524C7B" w:rsidP="00524C7B">
            <w:pPr>
              <w:pStyle w:val="ListBullet"/>
            </w:pPr>
            <w:r w:rsidRPr="00524C7B">
              <w:t>applicable documentation relevant to the industry including workplace policies, procedures, industry standards, equipment specifications, regulations, codes of practice and operation manuals</w:t>
            </w:r>
          </w:p>
          <w:p w:rsidR="00000000" w:rsidRPr="00524C7B" w:rsidP="00524C7B">
            <w:pPr>
              <w:pStyle w:val="ListBullet"/>
            </w:pPr>
            <w:r w:rsidRPr="00524C7B">
              <w:t>case studies and workplace scenarios to capture the range of situ</w:t>
            </w:r>
            <w:r w:rsidRPr="00524C7B">
              <w:t>ations likely to be encountered.</w:t>
            </w:r>
          </w:p>
        </w:tc>
      </w:tr>
    </w:tbl>
    <w:p w:rsidR="00000000" w:rsidRPr="00524C7B" w:rsidP="00524C7B">
      <w:pPr>
        <w:pStyle w:val="NoPaddingFontSize1"/>
      </w:pPr>
    </w:p>
    <w:p w:rsidR="00000000" w:rsidRPr="00524C7B" w:rsidP="00524C7B">
      <w:pPr>
        <w:pStyle w:val="AllowPageBreak"/>
      </w:pPr>
    </w:p>
    <w:p w:rsidR="00000000" w:rsidRPr="00524C7B" w:rsidP="00524C7B">
      <w:pPr>
        <w:pStyle w:val="Heading1"/>
      </w:pPr>
      <w:bookmarkStart w:id="5" w:name="O_1050407"/>
      <w:bookmarkEnd w:id="5"/>
      <w:r w:rsidRPr="00524C7B">
        <w:t>Links</w:t>
      </w:r>
    </w:p>
    <w:p w:rsidR="00000000" w:rsidRPr="00524C7B" w:rsidP="00D938BC">
      <w:pPr>
        <w:pStyle w:val="BodyText"/>
      </w:pPr>
      <w:r w:rsidRPr="00524C7B">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AC0D76">
        <w:rPr>
          <w:rStyle w:val="Hyperlink"/>
        </w:rPr>
        <w:t>https://vetnet.gov.au/Pages/TrainingDocs.aspx?q=114e25cd-3a2c-4490-baae-47d68dcd2fde</w:t>
      </w:r>
      <w:r>
        <w:fldChar w:fldCharType="end"/>
      </w:r>
    </w:p>
    <w:p w:rsidR="00000000" w:rsidRPr="00524C7B" w:rsidP="00524C7B"/>
    <w:sectPr w:rsidSect="00524C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7B" w:rsidRPr="00D938BC" w:rsidP="00D938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BC" w:rsidP="00524C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38BC" w:rsidP="00524C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38BC" w:rsidP="00524C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C7B" w:rsidRPr="00D938BC" w:rsidP="00D938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BC" w:rsidRPr="002D2AF8" w:rsidP="00524C7B">
    <w:pPr>
      <w:pStyle w:val="Header"/>
      <w:framePr w:wrap="around"/>
    </w:pPr>
    <w:r>
      <w:fldChar w:fldCharType="begin"/>
    </w:r>
    <w:r>
      <w:instrText xml:space="preserve"> TITLE   \* MERGEFORMAT </w:instrText>
    </w:r>
    <w:r>
      <w:fldChar w:fldCharType="separate"/>
    </w:r>
    <w:r>
      <w:t>Assessment Requirements for CSCOFM026 Protect the safety and welfare of Aboriginal and Torres Strait Islander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D938BC" w:rsidP="00524C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704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83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9864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C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C7B"/>
    <w:pPr>
      <w:spacing w:before="360" w:after="60"/>
      <w:outlineLvl w:val="0"/>
    </w:pPr>
    <w:rPr>
      <w:sz w:val="32"/>
    </w:rPr>
  </w:style>
  <w:style w:type="paragraph" w:styleId="Heading2">
    <w:name w:val="heading 2"/>
    <w:basedOn w:val="HeadingBase"/>
    <w:next w:val="BodyText"/>
    <w:link w:val="Heading2Char"/>
    <w:qFormat/>
    <w:rsid w:val="00524C7B"/>
    <w:pPr>
      <w:keepLines/>
      <w:spacing w:before="240" w:after="120"/>
      <w:outlineLvl w:val="1"/>
    </w:pPr>
    <w:rPr>
      <w:sz w:val="28"/>
      <w:szCs w:val="40"/>
    </w:rPr>
  </w:style>
  <w:style w:type="paragraph" w:styleId="Heading3">
    <w:name w:val="heading 3"/>
    <w:basedOn w:val="HeadingBase"/>
    <w:next w:val="BodyText"/>
    <w:link w:val="Heading3Char"/>
    <w:qFormat/>
    <w:rsid w:val="00524C7B"/>
    <w:pPr>
      <w:spacing w:before="180" w:after="120"/>
      <w:outlineLvl w:val="2"/>
    </w:pPr>
    <w:rPr>
      <w:spacing w:val="-10"/>
      <w:kern w:val="32"/>
    </w:rPr>
  </w:style>
  <w:style w:type="paragraph" w:styleId="Heading4">
    <w:name w:val="heading 4"/>
    <w:basedOn w:val="HeadingBase"/>
    <w:next w:val="BodyText"/>
    <w:link w:val="Heading4Char"/>
    <w:qFormat/>
    <w:rsid w:val="00524C7B"/>
    <w:pPr>
      <w:spacing w:before="160" w:after="120"/>
      <w:outlineLvl w:val="3"/>
    </w:pPr>
    <w:rPr>
      <w:sz w:val="22"/>
    </w:rPr>
  </w:style>
  <w:style w:type="paragraph" w:styleId="Heading5">
    <w:name w:val="heading 5"/>
    <w:basedOn w:val="HeadingBase"/>
    <w:next w:val="Normal"/>
    <w:link w:val="Heading5Char"/>
    <w:qFormat/>
    <w:rsid w:val="00524C7B"/>
    <w:pPr>
      <w:spacing w:before="80"/>
      <w:outlineLvl w:val="4"/>
    </w:pPr>
    <w:rPr>
      <w:color w:val="918585"/>
      <w:sz w:val="20"/>
    </w:rPr>
  </w:style>
  <w:style w:type="paragraph" w:styleId="Heading6">
    <w:name w:val="heading 6"/>
    <w:basedOn w:val="HeadingBase"/>
    <w:next w:val="Normal"/>
    <w:link w:val="Heading6Char"/>
    <w:qFormat/>
    <w:rsid w:val="00524C7B"/>
    <w:pPr>
      <w:spacing w:before="60"/>
      <w:outlineLvl w:val="5"/>
    </w:pPr>
    <w:rPr>
      <w:color w:val="918585"/>
      <w:sz w:val="20"/>
    </w:rPr>
  </w:style>
  <w:style w:type="paragraph" w:styleId="Heading7">
    <w:name w:val="heading 7"/>
    <w:basedOn w:val="Normal"/>
    <w:next w:val="Normal"/>
    <w:link w:val="Heading7Char"/>
    <w:qFormat/>
    <w:rsid w:val="00524C7B"/>
    <w:pPr>
      <w:ind w:left="720"/>
      <w:outlineLvl w:val="6"/>
    </w:pPr>
    <w:rPr>
      <w:i/>
    </w:rPr>
  </w:style>
  <w:style w:type="paragraph" w:styleId="Heading8">
    <w:name w:val="heading 8"/>
    <w:basedOn w:val="Normal"/>
    <w:next w:val="Normal"/>
    <w:link w:val="Heading8Char"/>
    <w:qFormat/>
    <w:rsid w:val="00524C7B"/>
    <w:pPr>
      <w:ind w:left="720"/>
      <w:outlineLvl w:val="7"/>
    </w:pPr>
    <w:rPr>
      <w:i/>
    </w:rPr>
  </w:style>
  <w:style w:type="paragraph" w:styleId="Heading9">
    <w:name w:val="heading 9"/>
    <w:basedOn w:val="Normal"/>
    <w:next w:val="Normal"/>
    <w:link w:val="Heading9Char"/>
    <w:qFormat/>
    <w:rsid w:val="00524C7B"/>
    <w:pPr>
      <w:ind w:left="720"/>
      <w:outlineLvl w:val="8"/>
    </w:pPr>
    <w:rPr>
      <w:i/>
    </w:rPr>
  </w:style>
  <w:style w:type="character" w:default="1" w:styleId="DefaultParagraphFont">
    <w:name w:val="Default Paragraph Font"/>
    <w:uiPriority w:val="1"/>
    <w:unhideWhenUsed/>
    <w:rsid w:val="00524C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C7B"/>
  </w:style>
  <w:style w:type="character" w:customStyle="1" w:styleId="Heading1Char">
    <w:name w:val="Heading 1 Char"/>
    <w:basedOn w:val="DefaultParagraphFont"/>
    <w:link w:val="Heading1"/>
    <w:rsid w:val="00524C7B"/>
    <w:rPr>
      <w:rFonts w:ascii="Times New Roman" w:eastAsia="Times New Roman" w:hAnsi="Times New Roman" w:cs="Times New Roman"/>
      <w:b/>
      <w:sz w:val="32"/>
      <w:szCs w:val="20"/>
      <w:lang w:eastAsia="en-US"/>
    </w:rPr>
  </w:style>
  <w:style w:type="paragraph" w:styleId="BodyText">
    <w:name w:val="Body Text"/>
    <w:basedOn w:val="Normal"/>
    <w:link w:val="BodyTextChar"/>
    <w:rsid w:val="00524C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C7B"/>
    <w:rPr>
      <w:rFonts w:ascii="Times New Roman" w:eastAsia="Times New Roman" w:hAnsi="Times New Roman" w:cs="Times New Roman"/>
      <w:sz w:val="24"/>
      <w:lang w:eastAsia="en-US"/>
    </w:rPr>
  </w:style>
  <w:style w:type="paragraph" w:styleId="ListBullet">
    <w:name w:val="List Bullet"/>
    <w:basedOn w:val="List"/>
    <w:rsid w:val="00524C7B"/>
    <w:pPr>
      <w:numPr>
        <w:numId w:val="13"/>
      </w:numPr>
      <w:tabs>
        <w:tab w:val="clear" w:pos="340"/>
      </w:tabs>
      <w:spacing w:before="40" w:after="40"/>
    </w:pPr>
  </w:style>
  <w:style w:type="paragraph" w:styleId="ListBullet2">
    <w:name w:val="List Bullet 2"/>
    <w:basedOn w:val="List2"/>
    <w:rsid w:val="00524C7B"/>
    <w:pPr>
      <w:numPr>
        <w:numId w:val="14"/>
      </w:numPr>
      <w:tabs>
        <w:tab w:val="clear" w:pos="680"/>
      </w:tabs>
    </w:pPr>
  </w:style>
  <w:style w:type="paragraph" w:customStyle="1" w:styleId="SuperHeading">
    <w:name w:val="SuperHeading"/>
    <w:basedOn w:val="Normal"/>
    <w:rsid w:val="00524C7B"/>
    <w:pPr>
      <w:spacing w:before="240" w:after="120"/>
      <w:outlineLvl w:val="0"/>
    </w:pPr>
    <w:rPr>
      <w:rFonts w:ascii="Times New Roman" w:hAnsi="Times New Roman"/>
      <w:b/>
      <w:sz w:val="32"/>
    </w:rPr>
  </w:style>
  <w:style w:type="paragraph" w:customStyle="1" w:styleId="AllowPageBreak">
    <w:name w:val="AllowPageBreak"/>
    <w:rsid w:val="00524C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4C7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4C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C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C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C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C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C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C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C7B"/>
    <w:rPr>
      <w:rFonts w:ascii="Courier New" w:eastAsia="Times New Roman" w:hAnsi="Courier New" w:cs="Times New Roman"/>
      <w:i/>
      <w:szCs w:val="20"/>
      <w:lang w:eastAsia="en-US"/>
    </w:rPr>
  </w:style>
  <w:style w:type="paragraph" w:customStyle="1" w:styleId="HeadingBase">
    <w:name w:val="Heading Base"/>
    <w:rsid w:val="00524C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C7B"/>
    <w:pPr>
      <w:tabs>
        <w:tab w:val="right" w:leader="dot" w:pos="9072"/>
      </w:tabs>
      <w:ind w:left="567"/>
    </w:pPr>
    <w:rPr>
      <w:szCs w:val="22"/>
    </w:rPr>
  </w:style>
  <w:style w:type="paragraph" w:customStyle="1" w:styleId="TOCBase">
    <w:name w:val="TOC Base"/>
    <w:rsid w:val="00524C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C7B"/>
    <w:pPr>
      <w:tabs>
        <w:tab w:val="right" w:leader="dot" w:pos="9072"/>
      </w:tabs>
      <w:spacing w:before="40" w:after="40"/>
      <w:ind w:left="284"/>
    </w:pPr>
    <w:rPr>
      <w:rFonts w:ascii="Times New Roman" w:hAnsi="Times New Roman"/>
    </w:rPr>
  </w:style>
  <w:style w:type="paragraph" w:styleId="TOC1">
    <w:name w:val="toc 1"/>
    <w:basedOn w:val="TOCBase"/>
    <w:next w:val="Normal"/>
    <w:rsid w:val="00524C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C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C7B"/>
    <w:rPr>
      <w:rFonts w:ascii="Times New Roman" w:eastAsia="Times New Roman" w:hAnsi="Times New Roman" w:cs="Times New Roman"/>
      <w:sz w:val="16"/>
      <w:lang w:eastAsia="en-US"/>
    </w:rPr>
  </w:style>
  <w:style w:type="paragraph" w:styleId="Title">
    <w:name w:val="Title"/>
    <w:basedOn w:val="HeadingBase"/>
    <w:link w:val="TitleChar"/>
    <w:qFormat/>
    <w:rsid w:val="00524C7B"/>
    <w:pPr>
      <w:spacing w:before="5040"/>
      <w:jc w:val="center"/>
    </w:pPr>
    <w:rPr>
      <w:sz w:val="48"/>
      <w:szCs w:val="72"/>
      <w:lang w:val="en-US"/>
    </w:rPr>
  </w:style>
  <w:style w:type="character" w:customStyle="1" w:styleId="TitleChar">
    <w:name w:val="Title Char"/>
    <w:basedOn w:val="DefaultParagraphFont"/>
    <w:link w:val="Title"/>
    <w:rsid w:val="00524C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C7B"/>
    <w:pPr>
      <w:tabs>
        <w:tab w:val="left" w:pos="3600"/>
        <w:tab w:val="left" w:pos="3958"/>
      </w:tabs>
    </w:pPr>
  </w:style>
  <w:style w:type="paragraph" w:styleId="List">
    <w:name w:val="List"/>
    <w:basedOn w:val="BodyText"/>
    <w:next w:val="BodyText"/>
    <w:rsid w:val="00524C7B"/>
    <w:pPr>
      <w:tabs>
        <w:tab w:val="left" w:pos="340"/>
      </w:tabs>
      <w:spacing w:before="60" w:after="60"/>
      <w:ind w:left="340" w:hanging="340"/>
    </w:pPr>
  </w:style>
  <w:style w:type="paragraph" w:customStyle="1" w:styleId="Note">
    <w:name w:val="Note"/>
    <w:basedOn w:val="BodyText"/>
    <w:rsid w:val="00524C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4C7B"/>
    <w:rPr>
      <w:b/>
      <w:spacing w:val="0"/>
    </w:rPr>
  </w:style>
  <w:style w:type="paragraph" w:customStyle="1" w:styleId="SuperTitle">
    <w:name w:val="SuperTitle"/>
    <w:basedOn w:val="Title"/>
    <w:rsid w:val="00524C7B"/>
    <w:pPr>
      <w:framePr w:wrap="auto" w:hAnchor="text" w:y="6049"/>
    </w:pPr>
    <w:rPr>
      <w:color w:val="000000"/>
      <w:sz w:val="40"/>
    </w:rPr>
  </w:style>
  <w:style w:type="paragraph" w:customStyle="1" w:styleId="TOCTitle">
    <w:name w:val="TOCTitle"/>
    <w:basedOn w:val="Heading1"/>
    <w:rsid w:val="00524C7B"/>
    <w:pPr>
      <w:spacing w:after="240"/>
      <w:jc w:val="center"/>
      <w:outlineLvl w:val="9"/>
    </w:pPr>
    <w:rPr>
      <w:caps/>
    </w:rPr>
  </w:style>
  <w:style w:type="paragraph" w:customStyle="1" w:styleId="Version">
    <w:name w:val="Version"/>
    <w:rsid w:val="00524C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C7B"/>
    <w:pPr>
      <w:keepNext w:val="0"/>
      <w:tabs>
        <w:tab w:val="right" w:pos="4176"/>
      </w:tabs>
      <w:ind w:left="198" w:hanging="198"/>
    </w:pPr>
    <w:rPr>
      <w:rFonts w:ascii="Garamond" w:hAnsi="Garamond"/>
    </w:rPr>
  </w:style>
  <w:style w:type="paragraph" w:styleId="IndexHeading">
    <w:name w:val="index heading"/>
    <w:basedOn w:val="Normal"/>
    <w:next w:val="Index1"/>
    <w:semiHidden/>
    <w:rsid w:val="00524C7B"/>
    <w:pPr>
      <w:spacing w:before="120" w:after="120"/>
    </w:pPr>
    <w:rPr>
      <w:rFonts w:ascii="Arial" w:hAnsi="Arial"/>
      <w:b/>
      <w:color w:val="918585"/>
      <w:sz w:val="24"/>
    </w:rPr>
  </w:style>
  <w:style w:type="paragraph" w:styleId="Header">
    <w:name w:val="header"/>
    <w:basedOn w:val="Normal"/>
    <w:link w:val="HeaderChar"/>
    <w:rsid w:val="00524C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C7B"/>
    <w:rPr>
      <w:rFonts w:ascii="Times New Roman" w:eastAsia="Times New Roman" w:hAnsi="Times New Roman" w:cs="Times New Roman"/>
      <w:sz w:val="16"/>
      <w:szCs w:val="20"/>
      <w:lang w:val="en-GB" w:eastAsia="en-US"/>
    </w:rPr>
  </w:style>
  <w:style w:type="paragraph" w:customStyle="1" w:styleId="Chapter">
    <w:name w:val="Chapter"/>
    <w:basedOn w:val="Normal"/>
    <w:rsid w:val="00524C7B"/>
    <w:pPr>
      <w:spacing w:before="240"/>
    </w:pPr>
    <w:rPr>
      <w:rFonts w:ascii="Times New Roman" w:hAnsi="Times New Roman"/>
      <w:smallCaps/>
      <w:spacing w:val="80"/>
      <w:sz w:val="28"/>
    </w:rPr>
  </w:style>
  <w:style w:type="paragraph" w:customStyle="1" w:styleId="InChapter">
    <w:name w:val="InChapter"/>
    <w:basedOn w:val="Heading3"/>
    <w:rsid w:val="00524C7B"/>
    <w:pPr>
      <w:spacing w:after="240"/>
      <w:outlineLvl w:val="9"/>
    </w:pPr>
    <w:rPr>
      <w:noProof/>
    </w:rPr>
  </w:style>
  <w:style w:type="paragraph" w:styleId="Index2">
    <w:name w:val="index 2"/>
    <w:basedOn w:val="Normal"/>
    <w:next w:val="Normal"/>
    <w:semiHidden/>
    <w:rsid w:val="00524C7B"/>
    <w:pPr>
      <w:tabs>
        <w:tab w:val="right" w:pos="4176"/>
      </w:tabs>
      <w:ind w:left="568" w:hanging="284"/>
    </w:pPr>
    <w:rPr>
      <w:rFonts w:ascii="Garamond" w:hAnsi="Garamond"/>
    </w:rPr>
  </w:style>
  <w:style w:type="paragraph" w:customStyle="1" w:styleId="Byline">
    <w:name w:val="Byline"/>
    <w:rsid w:val="00524C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C7B"/>
    <w:pPr>
      <w:tabs>
        <w:tab w:val="clear" w:pos="3600"/>
        <w:tab w:val="clear" w:pos="3958"/>
      </w:tabs>
      <w:jc w:val="right"/>
    </w:pPr>
  </w:style>
  <w:style w:type="character" w:styleId="Emphasis">
    <w:name w:val="Emphasis"/>
    <w:basedOn w:val="DefaultParagraphFont"/>
    <w:qFormat/>
    <w:rsid w:val="00524C7B"/>
    <w:rPr>
      <w:i/>
    </w:rPr>
  </w:style>
  <w:style w:type="paragraph" w:styleId="Caption">
    <w:name w:val="caption"/>
    <w:basedOn w:val="BodyText"/>
    <w:next w:val="Normal"/>
    <w:qFormat/>
    <w:rsid w:val="00524C7B"/>
    <w:pPr>
      <w:framePr w:w="2268" w:hSpace="181" w:vSpace="181" w:wrap="around" w:vAnchor="text" w:hAnchor="page" w:x="1135" w:y="285" w:anchorLock="1"/>
    </w:pPr>
    <w:rPr>
      <w:i/>
    </w:rPr>
  </w:style>
  <w:style w:type="paragraph" w:customStyle="1" w:styleId="MiniTOCTitle">
    <w:name w:val="MiniTOCTitle"/>
    <w:basedOn w:val="Heading4"/>
    <w:rsid w:val="00524C7B"/>
    <w:pPr>
      <w:spacing w:before="240"/>
      <w:outlineLvl w:val="9"/>
    </w:pPr>
    <w:rPr>
      <w:noProof/>
      <w:sz w:val="24"/>
    </w:rPr>
  </w:style>
  <w:style w:type="paragraph" w:customStyle="1" w:styleId="MiniTOCItem">
    <w:name w:val="MiniTOCItem"/>
    <w:basedOn w:val="ListBullet"/>
    <w:rsid w:val="00524C7B"/>
    <w:pPr>
      <w:numPr>
        <w:numId w:val="0"/>
      </w:numPr>
      <w:tabs>
        <w:tab w:val="right" w:leader="dot" w:pos="6521"/>
      </w:tabs>
      <w:spacing w:before="0" w:after="0"/>
    </w:pPr>
  </w:style>
  <w:style w:type="paragraph" w:customStyle="1" w:styleId="TOFTitle">
    <w:name w:val="TOFTitle"/>
    <w:basedOn w:val="TOCTitle"/>
    <w:rsid w:val="00524C7B"/>
  </w:style>
  <w:style w:type="paragraph" w:styleId="TableofFigures">
    <w:name w:val="table of figures"/>
    <w:basedOn w:val="Normal"/>
    <w:next w:val="Normal"/>
    <w:semiHidden/>
    <w:rsid w:val="00524C7B"/>
    <w:pPr>
      <w:tabs>
        <w:tab w:val="right" w:leader="dot" w:pos="9072"/>
      </w:tabs>
      <w:ind w:left="970" w:hanging="403"/>
    </w:pPr>
    <w:rPr>
      <w:rFonts w:ascii="Times New Roman" w:hAnsi="Times New Roman"/>
      <w:b/>
    </w:rPr>
  </w:style>
  <w:style w:type="paragraph" w:styleId="ListNumber">
    <w:name w:val="List Number"/>
    <w:basedOn w:val="List"/>
    <w:rsid w:val="00524C7B"/>
    <w:pPr>
      <w:numPr>
        <w:numId w:val="16"/>
      </w:numPr>
      <w:tabs>
        <w:tab w:val="clear" w:pos="340"/>
      </w:tabs>
    </w:pPr>
  </w:style>
  <w:style w:type="character" w:customStyle="1" w:styleId="WingdingSymbols">
    <w:name w:val="Wingding Symbols"/>
    <w:rsid w:val="00524C7B"/>
    <w:rPr>
      <w:rFonts w:ascii="Wingdings" w:hAnsi="Wingdings"/>
    </w:rPr>
  </w:style>
  <w:style w:type="paragraph" w:customStyle="1" w:styleId="TableHeading">
    <w:name w:val="Table Heading"/>
    <w:basedOn w:val="HeadingBase"/>
    <w:rsid w:val="00524C7B"/>
    <w:pPr>
      <w:keepLines/>
      <w:pBdr>
        <w:bottom w:val="single" w:sz="6" w:space="1" w:color="918585"/>
      </w:pBdr>
      <w:spacing w:before="240"/>
    </w:pPr>
  </w:style>
  <w:style w:type="character" w:customStyle="1" w:styleId="HotSpot">
    <w:name w:val="HotSpot"/>
    <w:rsid w:val="00524C7B"/>
    <w:rPr>
      <w:color w:val="0033CC"/>
      <w:u w:val="none"/>
    </w:rPr>
  </w:style>
  <w:style w:type="paragraph" w:customStyle="1" w:styleId="BodyTextRight">
    <w:name w:val="Body Text Right"/>
    <w:basedOn w:val="BodyText"/>
    <w:rsid w:val="00524C7B"/>
    <w:pPr>
      <w:spacing w:before="0" w:after="0"/>
      <w:jc w:val="right"/>
    </w:pPr>
  </w:style>
  <w:style w:type="paragraph" w:styleId="Index3">
    <w:name w:val="index 3"/>
    <w:basedOn w:val="ListNumber2"/>
    <w:next w:val="Normal"/>
    <w:semiHidden/>
    <w:rsid w:val="00524C7B"/>
    <w:pPr>
      <w:numPr>
        <w:numId w:val="0"/>
      </w:numPr>
      <w:tabs>
        <w:tab w:val="right" w:leader="dot" w:pos="4176"/>
      </w:tabs>
    </w:pPr>
  </w:style>
  <w:style w:type="paragraph" w:styleId="ListNumber2">
    <w:name w:val="List Number 2"/>
    <w:basedOn w:val="List2"/>
    <w:rsid w:val="00524C7B"/>
    <w:pPr>
      <w:numPr>
        <w:numId w:val="11"/>
      </w:numPr>
      <w:tabs>
        <w:tab w:val="clear" w:pos="1060"/>
      </w:tabs>
    </w:pPr>
  </w:style>
  <w:style w:type="paragraph" w:customStyle="1" w:styleId="MarginNote">
    <w:name w:val="Margin Note"/>
    <w:basedOn w:val="BodyText"/>
    <w:rsid w:val="00524C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C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C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C7B"/>
    <w:rPr>
      <w:sz w:val="32"/>
    </w:rPr>
  </w:style>
  <w:style w:type="paragraph" w:customStyle="1" w:styleId="HeadingProcedure">
    <w:name w:val="Heading Procedure"/>
    <w:basedOn w:val="HeadingBase"/>
    <w:next w:val="Normal"/>
    <w:rsid w:val="00524C7B"/>
    <w:pPr>
      <w:tabs>
        <w:tab w:val="left" w:pos="0"/>
      </w:tabs>
      <w:spacing w:before="120" w:after="60"/>
    </w:pPr>
    <w:rPr>
      <w:i/>
      <w:color w:val="918585"/>
      <w:sz w:val="22"/>
    </w:rPr>
  </w:style>
  <w:style w:type="paragraph" w:customStyle="1" w:styleId="TableBodyText">
    <w:name w:val="Table Body Text"/>
    <w:basedOn w:val="BodyText"/>
    <w:rsid w:val="00524C7B"/>
    <w:pPr>
      <w:spacing w:before="60" w:after="60"/>
    </w:pPr>
  </w:style>
  <w:style w:type="paragraph" w:styleId="ListContinue">
    <w:name w:val="List Continue"/>
    <w:basedOn w:val="List"/>
    <w:rsid w:val="00524C7B"/>
    <w:pPr>
      <w:ind w:firstLine="0"/>
    </w:pPr>
  </w:style>
  <w:style w:type="paragraph" w:customStyle="1" w:styleId="ListNote">
    <w:name w:val="List Note"/>
    <w:basedOn w:val="List"/>
    <w:rsid w:val="00524C7B"/>
    <w:pPr>
      <w:pBdr>
        <w:top w:val="single" w:sz="6" w:space="2" w:color="918585"/>
        <w:bottom w:val="single" w:sz="6" w:space="2" w:color="918585"/>
      </w:pBdr>
      <w:tabs>
        <w:tab w:val="left" w:pos="1021"/>
      </w:tabs>
      <w:ind w:firstLine="0"/>
    </w:pPr>
  </w:style>
  <w:style w:type="paragraph" w:customStyle="1" w:styleId="Warning">
    <w:name w:val="Warning"/>
    <w:basedOn w:val="BodyText"/>
    <w:rsid w:val="00524C7B"/>
    <w:pPr>
      <w:shd w:val="clear" w:color="auto" w:fill="D9D9D9"/>
      <w:tabs>
        <w:tab w:val="left" w:pos="992"/>
      </w:tabs>
      <w:ind w:left="119" w:right="119"/>
    </w:pPr>
    <w:rPr>
      <w:sz w:val="20"/>
    </w:rPr>
  </w:style>
  <w:style w:type="paragraph" w:customStyle="1" w:styleId="MarginIcons">
    <w:name w:val="Margin Icons"/>
    <w:basedOn w:val="BodyText"/>
    <w:rsid w:val="00524C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C7B"/>
    <w:rPr>
      <w:rFonts w:ascii="Courier New" w:hAnsi="Courier New"/>
    </w:rPr>
  </w:style>
  <w:style w:type="paragraph" w:customStyle="1" w:styleId="NoteBullet">
    <w:name w:val="Note Bullet"/>
    <w:basedOn w:val="Note"/>
    <w:rsid w:val="00524C7B"/>
    <w:pPr>
      <w:tabs>
        <w:tab w:val="clear" w:pos="680"/>
      </w:tabs>
      <w:spacing w:before="60" w:after="60"/>
    </w:pPr>
  </w:style>
  <w:style w:type="paragraph" w:customStyle="1" w:styleId="SubHeading2">
    <w:name w:val="SubHeading2"/>
    <w:basedOn w:val="HeadingBase"/>
    <w:rsid w:val="00524C7B"/>
    <w:pPr>
      <w:spacing w:before="240" w:after="60"/>
    </w:pPr>
    <w:rPr>
      <w:sz w:val="20"/>
    </w:rPr>
  </w:style>
  <w:style w:type="paragraph" w:customStyle="1" w:styleId="SubHeading1">
    <w:name w:val="SubHeading1"/>
    <w:basedOn w:val="HeadingBase"/>
    <w:rsid w:val="00524C7B"/>
    <w:pPr>
      <w:spacing w:before="240" w:after="60"/>
    </w:pPr>
    <w:rPr>
      <w:color w:val="918585"/>
      <w:sz w:val="22"/>
    </w:rPr>
  </w:style>
  <w:style w:type="paragraph" w:customStyle="1" w:styleId="SideHeading">
    <w:name w:val="Side Heading"/>
    <w:basedOn w:val="HeadingBase"/>
    <w:rsid w:val="00524C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C7B"/>
    <w:pPr>
      <w:numPr>
        <w:numId w:val="12"/>
      </w:numPr>
    </w:pPr>
  </w:style>
  <w:style w:type="paragraph" w:styleId="PlainText">
    <w:name w:val="Plain Text"/>
    <w:basedOn w:val="Normal"/>
    <w:link w:val="PlainTextChar"/>
    <w:rsid w:val="00524C7B"/>
    <w:rPr>
      <w:sz w:val="20"/>
    </w:rPr>
  </w:style>
  <w:style w:type="character" w:customStyle="1" w:styleId="PlainTextChar">
    <w:name w:val="Plain Text Char"/>
    <w:basedOn w:val="DefaultParagraphFont"/>
    <w:link w:val="PlainText"/>
    <w:rsid w:val="00524C7B"/>
    <w:rPr>
      <w:rFonts w:ascii="Courier New" w:eastAsia="Times New Roman" w:hAnsi="Courier New" w:cs="Times New Roman"/>
      <w:sz w:val="20"/>
      <w:szCs w:val="20"/>
      <w:lang w:eastAsia="en-US"/>
    </w:rPr>
  </w:style>
  <w:style w:type="character" w:customStyle="1" w:styleId="MenuOption">
    <w:name w:val="Menu Option"/>
    <w:basedOn w:val="DefaultParagraphFont"/>
    <w:rsid w:val="00524C7B"/>
    <w:rPr>
      <w:b/>
      <w:smallCaps/>
    </w:rPr>
  </w:style>
  <w:style w:type="paragraph" w:customStyle="1" w:styleId="TableListNumber">
    <w:name w:val="Table List Number"/>
    <w:basedOn w:val="ListNumber"/>
    <w:rsid w:val="00524C7B"/>
    <w:pPr>
      <w:numPr>
        <w:numId w:val="0"/>
      </w:numPr>
    </w:pPr>
  </w:style>
  <w:style w:type="paragraph" w:styleId="TOC4">
    <w:name w:val="toc 4"/>
    <w:basedOn w:val="TOCBase"/>
    <w:next w:val="Normal"/>
    <w:semiHidden/>
    <w:rsid w:val="00524C7B"/>
    <w:pPr>
      <w:tabs>
        <w:tab w:val="right" w:leader="dot" w:pos="9071"/>
      </w:tabs>
      <w:ind w:left="1701"/>
    </w:pPr>
  </w:style>
  <w:style w:type="paragraph" w:customStyle="1" w:styleId="ListAlpha">
    <w:name w:val="List Alpha"/>
    <w:basedOn w:val="List"/>
    <w:rsid w:val="00524C7B"/>
    <w:pPr>
      <w:numPr>
        <w:numId w:val="10"/>
      </w:numPr>
    </w:pPr>
  </w:style>
  <w:style w:type="paragraph" w:customStyle="1" w:styleId="ListAlpha2">
    <w:name w:val="List Alpha 2"/>
    <w:basedOn w:val="List2"/>
    <w:rsid w:val="00524C7B"/>
    <w:pPr>
      <w:numPr>
        <w:numId w:val="9"/>
      </w:numPr>
    </w:pPr>
  </w:style>
  <w:style w:type="paragraph" w:styleId="List2">
    <w:name w:val="List 2"/>
    <w:basedOn w:val="BodyText"/>
    <w:rsid w:val="00524C7B"/>
    <w:pPr>
      <w:tabs>
        <w:tab w:val="left" w:pos="680"/>
      </w:tabs>
      <w:spacing w:before="60" w:after="60"/>
      <w:ind w:left="680" w:hanging="340"/>
    </w:pPr>
  </w:style>
  <w:style w:type="paragraph" w:styleId="List3">
    <w:name w:val="List 3"/>
    <w:basedOn w:val="BodyText"/>
    <w:rsid w:val="00524C7B"/>
    <w:pPr>
      <w:tabs>
        <w:tab w:val="left" w:pos="1021"/>
      </w:tabs>
      <w:spacing w:before="60" w:after="60"/>
      <w:ind w:left="1020" w:hanging="340"/>
    </w:pPr>
  </w:style>
  <w:style w:type="paragraph" w:styleId="List4">
    <w:name w:val="List 4"/>
    <w:basedOn w:val="BodyText"/>
    <w:rsid w:val="00524C7B"/>
    <w:pPr>
      <w:tabs>
        <w:tab w:val="left" w:pos="1361"/>
      </w:tabs>
      <w:spacing w:before="60" w:after="60"/>
      <w:ind w:left="1361" w:hanging="340"/>
    </w:pPr>
  </w:style>
  <w:style w:type="paragraph" w:styleId="List5">
    <w:name w:val="List 5"/>
    <w:basedOn w:val="BodyText"/>
    <w:rsid w:val="00524C7B"/>
    <w:pPr>
      <w:tabs>
        <w:tab w:val="left" w:pos="1701"/>
      </w:tabs>
      <w:spacing w:before="60" w:after="60"/>
      <w:ind w:left="1701" w:hanging="340"/>
    </w:pPr>
  </w:style>
  <w:style w:type="paragraph" w:styleId="ListBullet4">
    <w:name w:val="List Bullet 4"/>
    <w:basedOn w:val="List4"/>
    <w:rsid w:val="00524C7B"/>
    <w:pPr>
      <w:numPr>
        <w:numId w:val="4"/>
      </w:numPr>
      <w:tabs>
        <w:tab w:val="clear" w:pos="1361"/>
      </w:tabs>
    </w:pPr>
  </w:style>
  <w:style w:type="paragraph" w:styleId="ListBullet5">
    <w:name w:val="List Bullet 5"/>
    <w:basedOn w:val="List5"/>
    <w:rsid w:val="00524C7B"/>
    <w:pPr>
      <w:numPr>
        <w:numId w:val="5"/>
      </w:numPr>
    </w:pPr>
  </w:style>
  <w:style w:type="paragraph" w:styleId="ListContinue2">
    <w:name w:val="List Continue 2"/>
    <w:basedOn w:val="List2"/>
    <w:rsid w:val="00524C7B"/>
    <w:pPr>
      <w:ind w:firstLine="0"/>
    </w:pPr>
  </w:style>
  <w:style w:type="paragraph" w:styleId="ListContinue3">
    <w:name w:val="List Continue 3"/>
    <w:basedOn w:val="List3"/>
    <w:rsid w:val="00524C7B"/>
    <w:pPr>
      <w:ind w:left="1021" w:firstLine="0"/>
    </w:pPr>
  </w:style>
  <w:style w:type="paragraph" w:styleId="ListContinue4">
    <w:name w:val="List Continue 4"/>
    <w:basedOn w:val="List4"/>
    <w:rsid w:val="00524C7B"/>
    <w:pPr>
      <w:ind w:firstLine="0"/>
    </w:pPr>
  </w:style>
  <w:style w:type="paragraph" w:styleId="ListContinue5">
    <w:name w:val="List Continue 5"/>
    <w:basedOn w:val="List5"/>
    <w:rsid w:val="00524C7B"/>
    <w:pPr>
      <w:ind w:firstLine="0"/>
    </w:pPr>
  </w:style>
  <w:style w:type="paragraph" w:styleId="ListNumber3">
    <w:name w:val="List Number 3"/>
    <w:basedOn w:val="List3"/>
    <w:rsid w:val="00524C7B"/>
    <w:pPr>
      <w:numPr>
        <w:numId w:val="6"/>
      </w:numPr>
    </w:pPr>
  </w:style>
  <w:style w:type="paragraph" w:styleId="ListNumber4">
    <w:name w:val="List Number 4"/>
    <w:basedOn w:val="List4"/>
    <w:rsid w:val="00524C7B"/>
    <w:pPr>
      <w:numPr>
        <w:numId w:val="7"/>
      </w:numPr>
    </w:pPr>
  </w:style>
  <w:style w:type="paragraph" w:styleId="ListNumber5">
    <w:name w:val="List Number 5"/>
    <w:basedOn w:val="List5"/>
    <w:rsid w:val="00524C7B"/>
    <w:pPr>
      <w:numPr>
        <w:numId w:val="8"/>
      </w:numPr>
    </w:pPr>
  </w:style>
  <w:style w:type="paragraph" w:styleId="BlockText">
    <w:name w:val="Block Text"/>
    <w:basedOn w:val="Normal"/>
    <w:rsid w:val="00524C7B"/>
    <w:pPr>
      <w:spacing w:after="120"/>
      <w:ind w:left="1440" w:right="1440"/>
    </w:pPr>
  </w:style>
  <w:style w:type="character" w:customStyle="1" w:styleId="Subscript">
    <w:name w:val="Subscript"/>
    <w:basedOn w:val="DefaultParagraphFont"/>
    <w:rsid w:val="00524C7B"/>
    <w:rPr>
      <w:sz w:val="16"/>
      <w:vertAlign w:val="subscript"/>
    </w:rPr>
  </w:style>
  <w:style w:type="character" w:customStyle="1" w:styleId="Superscript">
    <w:name w:val="Superscript"/>
    <w:basedOn w:val="DefaultParagraphFont"/>
    <w:rsid w:val="00524C7B"/>
    <w:rPr>
      <w:sz w:val="16"/>
      <w:vertAlign w:val="superscript"/>
    </w:rPr>
  </w:style>
  <w:style w:type="character" w:customStyle="1" w:styleId="Symbols">
    <w:name w:val="Symbols"/>
    <w:basedOn w:val="DefaultParagraphFont"/>
    <w:rsid w:val="00524C7B"/>
    <w:rPr>
      <w:rFonts w:ascii="Symbol" w:hAnsi="Symbol"/>
    </w:rPr>
  </w:style>
  <w:style w:type="character" w:customStyle="1" w:styleId="MenuOptions">
    <w:name w:val="Menu Options"/>
    <w:basedOn w:val="DefaultParagraphFont"/>
    <w:rsid w:val="00524C7B"/>
    <w:rPr>
      <w:rFonts w:ascii="Arial Narrow" w:hAnsi="Arial Narrow"/>
      <w:smallCaps/>
    </w:rPr>
  </w:style>
  <w:style w:type="character" w:customStyle="1" w:styleId="Buttons">
    <w:name w:val="Buttons"/>
    <w:basedOn w:val="DefaultParagraphFont"/>
    <w:rsid w:val="00524C7B"/>
    <w:rPr>
      <w:b/>
    </w:rPr>
  </w:style>
  <w:style w:type="character" w:customStyle="1" w:styleId="Underlined">
    <w:name w:val="Underlined"/>
    <w:basedOn w:val="DefaultParagraphFont"/>
    <w:rsid w:val="00524C7B"/>
    <w:rPr>
      <w:u w:val="single"/>
    </w:rPr>
  </w:style>
  <w:style w:type="paragraph" w:customStyle="1" w:styleId="TableBodyTextRight">
    <w:name w:val="Table Body Text Right"/>
    <w:basedOn w:val="TableBodyText"/>
    <w:rsid w:val="00524C7B"/>
    <w:pPr>
      <w:widowControl w:val="0"/>
      <w:autoSpaceDE w:val="0"/>
      <w:autoSpaceDN w:val="0"/>
      <w:adjustRightInd w:val="0"/>
      <w:jc w:val="right"/>
    </w:pPr>
    <w:rPr>
      <w:rFonts w:cs="Arial"/>
      <w:szCs w:val="18"/>
    </w:rPr>
  </w:style>
  <w:style w:type="paragraph" w:customStyle="1" w:styleId="CopyrightText">
    <w:name w:val="Copyright Text"/>
    <w:basedOn w:val="BodyText"/>
    <w:rsid w:val="00524C7B"/>
    <w:rPr>
      <w:sz w:val="18"/>
    </w:rPr>
  </w:style>
  <w:style w:type="paragraph" w:customStyle="1" w:styleId="BodySmallRight">
    <w:name w:val="Body Small Right"/>
    <w:basedOn w:val="BodyTextRight"/>
    <w:rsid w:val="00524C7B"/>
    <w:rPr>
      <w:sz w:val="18"/>
      <w:szCs w:val="18"/>
    </w:rPr>
  </w:style>
  <w:style w:type="paragraph" w:customStyle="1" w:styleId="MarginEdition">
    <w:name w:val="Margin Edition"/>
    <w:basedOn w:val="MarginNote"/>
    <w:rsid w:val="00524C7B"/>
    <w:pPr>
      <w:spacing w:before="0" w:after="0"/>
    </w:pPr>
    <w:rPr>
      <w:rFonts w:ascii="Times New Roman" w:hAnsi="Times New Roman"/>
      <w:color w:val="999999"/>
    </w:rPr>
  </w:style>
  <w:style w:type="paragraph" w:customStyle="1" w:styleId="Spacer">
    <w:name w:val="Spacer"/>
    <w:basedOn w:val="Normal"/>
    <w:rsid w:val="00524C7B"/>
    <w:rPr>
      <w:sz w:val="2"/>
      <w:szCs w:val="2"/>
    </w:rPr>
  </w:style>
  <w:style w:type="character" w:customStyle="1" w:styleId="Small">
    <w:name w:val="Small"/>
    <w:basedOn w:val="DefaultParagraphFont"/>
    <w:rsid w:val="00524C7B"/>
    <w:rPr>
      <w:sz w:val="16"/>
    </w:rPr>
  </w:style>
  <w:style w:type="paragraph" w:customStyle="1" w:styleId="WideTable">
    <w:name w:val="Wide Table"/>
    <w:basedOn w:val="Normal"/>
    <w:rsid w:val="00524C7B"/>
    <w:pPr>
      <w:ind w:left="-1418"/>
    </w:pPr>
    <w:rPr>
      <w:sz w:val="2"/>
      <w:szCs w:val="2"/>
    </w:rPr>
  </w:style>
  <w:style w:type="character" w:styleId="PageNumber">
    <w:name w:val="page number"/>
    <w:basedOn w:val="DefaultParagraphFont"/>
    <w:rsid w:val="00524C7B"/>
  </w:style>
  <w:style w:type="paragraph" w:styleId="Quote">
    <w:name w:val="Quote"/>
    <w:basedOn w:val="Heading1"/>
    <w:link w:val="QuoteChar"/>
    <w:qFormat/>
    <w:rsid w:val="00524C7B"/>
    <w:rPr>
      <w:b w:val="0"/>
      <w:sz w:val="72"/>
      <w:szCs w:val="72"/>
      <w:lang w:val="en-NZ"/>
    </w:rPr>
  </w:style>
  <w:style w:type="character" w:customStyle="1" w:styleId="QuoteChar">
    <w:name w:val="Quote Char"/>
    <w:basedOn w:val="DefaultParagraphFont"/>
    <w:link w:val="Quote"/>
    <w:rsid w:val="00524C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C7B"/>
    <w:pPr>
      <w:pageBreakBefore/>
    </w:pPr>
  </w:style>
  <w:style w:type="paragraph" w:customStyle="1" w:styleId="Border">
    <w:name w:val="Border"/>
    <w:basedOn w:val="Normal"/>
    <w:qFormat/>
    <w:rsid w:val="00524C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C7B"/>
    <w:rPr>
      <w:b/>
      <w:bCs/>
      <w:i/>
      <w:iCs/>
      <w:color w:val="auto"/>
    </w:rPr>
  </w:style>
  <w:style w:type="paragraph" w:styleId="IntenseQuote">
    <w:name w:val="Intense Quote"/>
    <w:basedOn w:val="Normal"/>
    <w:next w:val="Normal"/>
    <w:link w:val="IntenseQuoteChar"/>
    <w:uiPriority w:val="30"/>
    <w:qFormat/>
    <w:rsid w:val="00524C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C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C7B"/>
    <w:rPr>
      <w:smallCaps/>
      <w:color w:val="auto"/>
      <w:u w:val="single"/>
    </w:rPr>
  </w:style>
  <w:style w:type="character" w:styleId="IntenseReference">
    <w:name w:val="Intense Reference"/>
    <w:basedOn w:val="DefaultParagraphFont"/>
    <w:uiPriority w:val="32"/>
    <w:qFormat/>
    <w:rsid w:val="00524C7B"/>
    <w:rPr>
      <w:b/>
      <w:bCs/>
      <w:smallCaps/>
      <w:color w:val="auto"/>
      <w:spacing w:val="5"/>
      <w:u w:val="single"/>
    </w:rPr>
  </w:style>
  <w:style w:type="paragraph" w:customStyle="1" w:styleId="2ColumnHeading">
    <w:name w:val="2Column Heading"/>
    <w:basedOn w:val="BodyText"/>
    <w:qFormat/>
    <w:rsid w:val="00524C7B"/>
    <w:pPr>
      <w:spacing w:after="60"/>
      <w:ind w:left="-2268"/>
    </w:pPr>
    <w:rPr>
      <w:b/>
    </w:rPr>
  </w:style>
  <w:style w:type="paragraph" w:customStyle="1" w:styleId="Heading1TOC">
    <w:name w:val="Heading1 TOC"/>
    <w:basedOn w:val="Normal"/>
    <w:qFormat/>
    <w:rsid w:val="00524C7B"/>
    <w:pPr>
      <w:spacing w:before="240" w:after="120"/>
    </w:pPr>
    <w:rPr>
      <w:rFonts w:ascii="Times New Roman" w:hAnsi="Times New Roman"/>
      <w:b/>
      <w:sz w:val="32"/>
    </w:rPr>
  </w:style>
  <w:style w:type="paragraph" w:customStyle="1" w:styleId="Heading2TOC">
    <w:name w:val="Heading2 TOC"/>
    <w:basedOn w:val="Normal"/>
    <w:qFormat/>
    <w:rsid w:val="00524C7B"/>
    <w:pPr>
      <w:spacing w:before="240" w:after="60"/>
    </w:pPr>
    <w:rPr>
      <w:rFonts w:ascii="Times New Roman" w:hAnsi="Times New Roman"/>
      <w:b/>
      <w:sz w:val="28"/>
    </w:rPr>
  </w:style>
  <w:style w:type="character" w:customStyle="1" w:styleId="Underline">
    <w:name w:val="Underline"/>
    <w:basedOn w:val="DefaultParagraphFont"/>
    <w:qFormat/>
    <w:rsid w:val="00524C7B"/>
    <w:rPr>
      <w:u w:val="single"/>
    </w:rPr>
  </w:style>
  <w:style w:type="character" w:customStyle="1" w:styleId="BoldandItalics">
    <w:name w:val="Bold and Italics"/>
    <w:qFormat/>
    <w:rsid w:val="00524C7B"/>
    <w:rPr>
      <w:b/>
      <w:i/>
      <w:u w:val="none"/>
    </w:rPr>
  </w:style>
  <w:style w:type="paragraph" w:styleId="BalloonText">
    <w:name w:val="Balloon Text"/>
    <w:basedOn w:val="Normal"/>
    <w:link w:val="BalloonTextChar"/>
    <w:rsid w:val="00524C7B"/>
    <w:rPr>
      <w:rFonts w:ascii="Tahoma" w:hAnsi="Tahoma" w:cs="Tahoma"/>
      <w:sz w:val="16"/>
      <w:szCs w:val="16"/>
    </w:rPr>
  </w:style>
  <w:style w:type="character" w:customStyle="1" w:styleId="BalloonTextChar">
    <w:name w:val="Balloon Text Char"/>
    <w:basedOn w:val="DefaultParagraphFont"/>
    <w:link w:val="BalloonText"/>
    <w:rsid w:val="00524C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C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C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C7B"/>
    <w:rPr>
      <w:b/>
      <w:color w:val="660033"/>
      <w:spacing w:val="0"/>
    </w:rPr>
  </w:style>
  <w:style w:type="paragraph" w:customStyle="1" w:styleId="Nameditemlist">
    <w:name w:val="Named item list"/>
    <w:basedOn w:val="BodyText"/>
    <w:qFormat/>
    <w:rsid w:val="00524C7B"/>
    <w:pPr>
      <w:tabs>
        <w:tab w:val="left" w:pos="2835"/>
      </w:tabs>
      <w:ind w:left="2835" w:hanging="2835"/>
    </w:pPr>
  </w:style>
  <w:style w:type="paragraph" w:customStyle="1" w:styleId="BodyTextnopadding">
    <w:name w:val="Body Text no padding"/>
    <w:basedOn w:val="BodyText"/>
    <w:qFormat/>
    <w:rsid w:val="00524C7B"/>
    <w:pPr>
      <w:spacing w:before="0" w:after="0"/>
    </w:pPr>
  </w:style>
  <w:style w:type="paragraph" w:customStyle="1" w:styleId="BodyTextBold">
    <w:name w:val="Body Text Bold"/>
    <w:basedOn w:val="BodyText"/>
    <w:qFormat/>
    <w:rsid w:val="00524C7B"/>
    <w:rPr>
      <w:b/>
    </w:rPr>
  </w:style>
  <w:style w:type="character" w:styleId="Hyperlink">
    <w:name w:val="Hyperlink"/>
    <w:basedOn w:val="DefaultParagraphFont"/>
    <w:uiPriority w:val="99"/>
    <w:unhideWhenUsed/>
    <w:rsid w:val="00D938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4982</Characters>
  <Application>Microsoft Office Word</Application>
  <DocSecurity>0</DocSecurity>
  <Lines>127</Lines>
  <Paragraphs>100</Paragraphs>
  <ScaleCrop>false</ScaleCrop>
  <Company>Author-it Software Corporation Ltd.</Company>
  <LinksUpToDate>false</LinksUpToDate>
  <CharactersWithSpaces>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CSCOFM026 Protect the safety and welfare of Aboriginal and Torres Strait Islander offenders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