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4F9" w:rsidP="000504F9">
      <w:pPr>
        <w:pStyle w:val="Title"/>
      </w:pPr>
      <w:bookmarkStart w:id="0" w:name="_GoBack"/>
      <w:bookmarkEnd w:id="0"/>
      <w:r>
        <w:fldChar w:fldCharType="begin"/>
      </w:r>
      <w:r>
        <w:instrText xml:space="preserve"> TITLE   \* MERGEFORMAT </w:instrText>
      </w:r>
      <w:r>
        <w:fldChar w:fldCharType="separate"/>
      </w:r>
      <w:r>
        <w:t>CPPWMT3063A Apply safe operational practices when vehicles contact overhead wires</w:t>
      </w:r>
      <w:r>
        <w:fldChar w:fldCharType="end"/>
      </w:r>
    </w:p>
    <w:p w:rsidR="000504F9" w:rsidP="000504F9">
      <w:pPr>
        <w:pStyle w:val="Version"/>
        <w:sectPr w:rsidSect="00A376CD">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6CD" w:rsidP="00A376CD">
      <w:pPr>
        <w:pStyle w:val="SuperHeading"/>
      </w:pPr>
      <w:r w:rsidRPr="00A376CD">
        <w:t>CPPWMT3063A Apply safe operational practices when vehicles contact overhead wires</w:t>
      </w:r>
    </w:p>
    <w:p w:rsidR="00000000" w:rsidRPr="00A376CD" w:rsidP="00A376CD">
      <w:pPr>
        <w:pStyle w:val="Heading1"/>
      </w:pPr>
      <w:bookmarkStart w:id="1" w:name="O_375431"/>
      <w:bookmarkEnd w:id="1"/>
      <w:r w:rsidRPr="00A376CD">
        <w:t>Modification History</w:t>
      </w:r>
    </w:p>
    <w:p w:rsidR="00000000" w:rsidRPr="00A376CD" w:rsidP="00A376CD">
      <w:pPr>
        <w:pStyle w:val="BodyText"/>
      </w:pPr>
      <w:r w:rsidRPr="00A376CD">
        <w:t>Revised unit</w:t>
      </w:r>
    </w:p>
    <w:p w:rsidR="000504F9" w:rsidP="00A376CD">
      <w:pPr>
        <w:pStyle w:val="BodyText"/>
      </w:pPr>
      <w:r w:rsidRPr="00A376CD">
        <w:t>Unit updated and equivalent to PRM</w:t>
      </w:r>
      <w:r w:rsidRPr="00A376CD">
        <w:t>WM63A Apply safe operational practices to vehicle contact with overhead wires</w:t>
      </w:r>
    </w:p>
    <w:p w:rsidR="000504F9" w:rsidP="00A376CD">
      <w:pPr>
        <w:pStyle w:val="BodyText"/>
      </w:pPr>
    </w:p>
    <w:p w:rsidR="00000000" w:rsidRPr="00A376CD" w:rsidP="00A376CD">
      <w:pPr>
        <w:pStyle w:val="Heading1"/>
      </w:pPr>
      <w:bookmarkStart w:id="2" w:name="O_375432"/>
      <w:bookmarkEnd w:id="2"/>
      <w:r w:rsidRPr="00A376CD">
        <w:t>Unit Descriptor</w:t>
      </w:r>
    </w:p>
    <w:p w:rsidR="000504F9" w:rsidP="00A376CD">
      <w:pPr>
        <w:pStyle w:val="BodyText"/>
      </w:pPr>
      <w:r w:rsidRPr="00A376CD">
        <w:t>This unit of competency specifies the outcomes required to ensure the health and safety of operators and members of the public in the event of v</w:t>
      </w:r>
      <w:r w:rsidRPr="00A376CD">
        <w:t>ehicle contact with overhead wires, and to ensure appropriate reporting, investigation and notification of wire contact incidents that may occur. It requires the ability to apply quick, decisive and safe work practices.</w:t>
      </w:r>
    </w:p>
    <w:p w:rsidR="000504F9" w:rsidP="00A376CD">
      <w:pPr>
        <w:pStyle w:val="BodyText"/>
      </w:pPr>
    </w:p>
    <w:p w:rsidR="00000000" w:rsidRPr="00A376CD" w:rsidP="00A376CD">
      <w:pPr>
        <w:pStyle w:val="Heading1"/>
      </w:pPr>
      <w:bookmarkStart w:id="3" w:name="O_375433"/>
      <w:bookmarkEnd w:id="3"/>
      <w:r w:rsidRPr="00A376CD">
        <w:t>Application of the</w:t>
      </w:r>
      <w:r w:rsidRPr="00A376CD">
        <w:t xml:space="preserve"> Unit</w:t>
      </w:r>
    </w:p>
    <w:p w:rsidR="00000000" w:rsidRPr="00A376CD" w:rsidP="00A376CD">
      <w:pPr>
        <w:pStyle w:val="BodyText"/>
      </w:pPr>
      <w:r w:rsidRPr="00A376CD">
        <w:t>This unit of competency supports individuals with responsibilities for driving heavy vehicles. It includes contributing to the implementation of developed emergency response and safety procedures, as well as recognising the need for expert advice.</w:t>
      </w:r>
    </w:p>
    <w:p w:rsidR="00000000" w:rsidRPr="00A376CD" w:rsidP="00A376CD">
      <w:pPr>
        <w:pStyle w:val="AllowPageBreak"/>
      </w:pPr>
    </w:p>
    <w:p w:rsidR="00000000" w:rsidRPr="00A376CD" w:rsidP="00A376CD">
      <w:pPr>
        <w:pStyle w:val="Heading1"/>
      </w:pPr>
      <w:bookmarkStart w:id="4" w:name="O_375434"/>
      <w:bookmarkEnd w:id="4"/>
      <w:r w:rsidRPr="00A376CD">
        <w:t>Licensing/Regulatory Information</w:t>
      </w:r>
    </w:p>
    <w:p w:rsidR="000504F9" w:rsidP="00A376CD">
      <w:pPr>
        <w:pStyle w:val="BodyText"/>
      </w:pPr>
      <w:r w:rsidRPr="00A376CD">
        <w:t>Persons undertaking this unit must hold a current, nationally recognised drivers’ licence.</w:t>
      </w:r>
    </w:p>
    <w:p w:rsidR="000504F9" w:rsidP="00A376CD">
      <w:pPr>
        <w:pStyle w:val="BodyText"/>
      </w:pPr>
    </w:p>
    <w:p w:rsidR="00000000" w:rsidRPr="00A376CD" w:rsidP="00A376CD">
      <w:pPr>
        <w:pStyle w:val="Heading1"/>
      </w:pPr>
      <w:bookmarkStart w:id="5" w:name="O_375435"/>
      <w:bookmarkEnd w:id="5"/>
      <w:r w:rsidRPr="00A376CD">
        <w:t>Pre-Requisites</w:t>
      </w:r>
    </w:p>
    <w:p w:rsidR="00000000" w:rsidRPr="00A376CD" w:rsidP="00A376CD">
      <w:pPr>
        <w:pStyle w:val="BodyText"/>
      </w:pPr>
      <w:r w:rsidRPr="00A376CD">
        <w:t>Not applicable.</w:t>
      </w:r>
    </w:p>
    <w:p w:rsidR="00000000" w:rsidRPr="00A376CD" w:rsidP="00A376CD">
      <w:pPr>
        <w:pStyle w:val="AllowPageBreak"/>
      </w:pPr>
    </w:p>
    <w:p w:rsidR="00000000" w:rsidRPr="00A376CD" w:rsidP="00A376CD">
      <w:pPr>
        <w:pStyle w:val="Heading1"/>
      </w:pPr>
      <w:bookmarkStart w:id="6" w:name="O_375436"/>
      <w:bookmarkEnd w:id="6"/>
      <w:r w:rsidRPr="00A376CD">
        <w:t>Employability Skills Information</w:t>
      </w:r>
    </w:p>
    <w:p w:rsidR="00000000" w:rsidRPr="00A376CD" w:rsidP="00A376CD">
      <w:pPr>
        <w:pStyle w:val="BodyText"/>
      </w:pPr>
      <w:r w:rsidRPr="00A376CD">
        <w:t>This unit contains employability skills.</w:t>
      </w:r>
    </w:p>
    <w:p w:rsidR="00000000" w:rsidRPr="00A376CD" w:rsidP="00A376CD">
      <w:pPr>
        <w:pStyle w:val="AllowPageBreak"/>
      </w:pPr>
    </w:p>
    <w:p w:rsidR="00000000" w:rsidRPr="00A376CD" w:rsidP="00A376CD">
      <w:pPr>
        <w:pStyle w:val="Heading1"/>
      </w:pPr>
      <w:bookmarkStart w:id="7" w:name="O_375437"/>
      <w:bookmarkEnd w:id="7"/>
      <w:r w:rsidRPr="00A376CD">
        <w:t>Elements and Performance Criteria Pre-Content</w:t>
      </w:r>
    </w:p>
    <w:tbl>
      <w:tblPr>
        <w:tblW w:w="0" w:type="auto"/>
        <w:tblLayout w:type="fixed"/>
        <w:tblCellMar>
          <w:left w:w="62" w:type="dxa"/>
          <w:right w:w="62" w:type="dxa"/>
        </w:tblCellMar>
        <w:tblLook w:val="0000"/>
      </w:tblPr>
      <w:tblGrid>
        <w:gridCol w:w="2640"/>
        <w:gridCol w:w="6380"/>
      </w:tblGrid>
      <w:tr w:rsidTr="00A376C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376CD" w:rsidP="00A376CD">
            <w:pPr>
              <w:pStyle w:val="BodyText"/>
            </w:pPr>
            <w:r w:rsidRPr="00A376CD">
              <w:t>Performance criteria describe the performance needed to demonstrate achievement of the</w:t>
            </w:r>
            <w:r w:rsidRPr="00A376C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A376CD" w:rsidP="00A376CD">
      <w:pPr>
        <w:pStyle w:val="BodyText"/>
      </w:pPr>
    </w:p>
    <w:p w:rsidR="00000000" w:rsidRPr="00A376CD" w:rsidP="00A376CD">
      <w:pPr>
        <w:pStyle w:val="AllowPageBreak"/>
      </w:pPr>
    </w:p>
    <w:p w:rsidR="00000000" w:rsidRPr="00A376CD" w:rsidP="00A376CD">
      <w:pPr>
        <w:pStyle w:val="Heading1"/>
      </w:pPr>
      <w:bookmarkStart w:id="8" w:name="O_375438"/>
      <w:bookmarkEnd w:id="8"/>
      <w:r w:rsidRPr="00A376CD">
        <w:t>Elements and Perfo</w:t>
      </w:r>
      <w:r w:rsidRPr="00A376CD">
        <w:t>rmance Criteria</w:t>
      </w:r>
    </w:p>
    <w:tbl>
      <w:tblPr>
        <w:tblW w:w="0" w:type="auto"/>
        <w:tblLayout w:type="fixed"/>
        <w:tblCellMar>
          <w:left w:w="62" w:type="dxa"/>
          <w:right w:w="62" w:type="dxa"/>
        </w:tblCellMar>
        <w:tblLook w:val="0000"/>
      </w:tblPr>
      <w:tblGrid>
        <w:gridCol w:w="678"/>
        <w:gridCol w:w="1962"/>
        <w:gridCol w:w="770"/>
        <w:gridCol w:w="5610"/>
      </w:tblGrid>
      <w:tr w:rsidTr="00A37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1</w:t>
            </w:r>
          </w:p>
        </w:tc>
        <w:tc>
          <w:tcPr>
            <w:tcW w:w="1962" w:type="dxa"/>
            <w:vMerge w:val="restart"/>
            <w:tcBorders>
              <w:top w:val="nil"/>
              <w:left w:val="nil"/>
              <w:bottom w:val="nil"/>
              <w:right w:val="nil"/>
            </w:tcBorders>
            <w:tcMar>
              <w:top w:w="0" w:type="dxa"/>
              <w:left w:w="62" w:type="dxa"/>
              <w:bottom w:w="0" w:type="dxa"/>
              <w:right w:w="62" w:type="dxa"/>
            </w:tcMar>
          </w:tcPr>
          <w:p w:rsidR="00000000" w:rsidRPr="00A376CD" w:rsidP="00A376CD">
            <w:pPr>
              <w:pStyle w:val="BodyText"/>
            </w:pPr>
            <w:r w:rsidRPr="00A376CD">
              <w:t>Stop operation if vehicle contacts overhead wires.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1.1</w:t>
            </w:r>
          </w:p>
        </w:tc>
        <w:tc>
          <w:tcPr>
            <w:tcW w:w="561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 xml:space="preserve">Operation of lifter or vehicle is stopped immediately if contact with </w:t>
            </w:r>
            <w:r w:rsidRPr="00A376CD">
              <w:rPr>
                <w:rStyle w:val="BoldandItalics"/>
              </w:rPr>
              <w:t xml:space="preserve">overhead wires </w:t>
            </w:r>
            <w:r w:rsidRPr="00A376CD">
              <w:t xml:space="preserve">is made, to prevent </w:t>
            </w:r>
            <w:r w:rsidRPr="00A376CD">
              <w:rPr>
                <w:rStyle w:val="BoldandItalics"/>
              </w:rPr>
              <w:t>potential danger</w:t>
            </w:r>
            <w:r w:rsidRPr="00A376CD">
              <w:t>.</w:t>
            </w:r>
          </w:p>
        </w:tc>
      </w:tr>
      <w:tr w:rsidTr="00A37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1.2</w:t>
            </w:r>
          </w:p>
        </w:tc>
        <w:tc>
          <w:tcPr>
            <w:tcW w:w="5610" w:type="dxa"/>
            <w:tcBorders>
              <w:top w:val="nil"/>
              <w:left w:val="nil"/>
              <w:bottom w:val="nil"/>
              <w:right w:val="nil"/>
            </w:tcBorders>
            <w:tcMar>
              <w:top w:w="0" w:type="dxa"/>
              <w:left w:w="62" w:type="dxa"/>
              <w:bottom w:w="0" w:type="dxa"/>
              <w:right w:w="62" w:type="dxa"/>
            </w:tcMar>
          </w:tcPr>
          <w:p w:rsidR="00000000" w:rsidRPr="00A376CD" w:rsidP="00A376CD">
            <w:pPr>
              <w:pStyle w:val="BodyText"/>
            </w:pPr>
            <w:r w:rsidRPr="00A376CD">
              <w:t xml:space="preserve">Nature of </w:t>
            </w:r>
            <w:r w:rsidRPr="00A376CD">
              <w:rPr>
                <w:rStyle w:val="BoldandItalics"/>
              </w:rPr>
              <w:t xml:space="preserve">electrical event </w:t>
            </w:r>
            <w:r w:rsidRPr="00A376CD">
              <w:t xml:space="preserve">or </w:t>
            </w:r>
            <w:r w:rsidRPr="00A376CD">
              <w:rPr>
                <w:rStyle w:val="BoldandItalics"/>
              </w:rPr>
              <w:t>potential threat</w:t>
            </w:r>
            <w:r w:rsidRPr="00A376CD">
              <w:t xml:space="preserve"> is assessed from inside cab of vehicle.</w:t>
            </w:r>
          </w:p>
        </w:tc>
      </w:tr>
    </w:tbl>
    <w:p w:rsidR="00000000" w:rsidRPr="00A376CD" w:rsidP="00A376CD">
      <w:pPr>
        <w:pStyle w:val="BodyText"/>
      </w:pPr>
    </w:p>
    <w:tbl>
      <w:tblPr>
        <w:tblW w:w="0" w:type="auto"/>
        <w:tblLayout w:type="fixed"/>
        <w:tblCellMar>
          <w:left w:w="62" w:type="dxa"/>
          <w:right w:w="62" w:type="dxa"/>
        </w:tblCellMar>
        <w:tblLook w:val="0000"/>
      </w:tblPr>
      <w:tblGrid>
        <w:gridCol w:w="678"/>
        <w:gridCol w:w="1962"/>
        <w:gridCol w:w="770"/>
        <w:gridCol w:w="5610"/>
      </w:tblGrid>
      <w:tr w:rsidTr="00A37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2</w:t>
            </w:r>
          </w:p>
        </w:tc>
        <w:tc>
          <w:tcPr>
            <w:tcW w:w="1962" w:type="dxa"/>
            <w:vMerge w:val="restart"/>
            <w:tcBorders>
              <w:top w:val="nil"/>
              <w:left w:val="nil"/>
              <w:bottom w:val="nil"/>
              <w:right w:val="nil"/>
            </w:tcBorders>
            <w:tcMar>
              <w:top w:w="0" w:type="dxa"/>
              <w:left w:w="62" w:type="dxa"/>
              <w:bottom w:w="0" w:type="dxa"/>
              <w:right w:w="62" w:type="dxa"/>
            </w:tcMar>
          </w:tcPr>
          <w:p w:rsidR="00000000" w:rsidRPr="00A376CD" w:rsidP="00A376CD">
            <w:pPr>
              <w:pStyle w:val="BodyText"/>
            </w:pPr>
            <w:r w:rsidRPr="00A376CD">
              <w:t>Remain in vehicle if there is no potential threat.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2.1</w:t>
            </w:r>
          </w:p>
        </w:tc>
        <w:tc>
          <w:tcPr>
            <w:tcW w:w="561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While operator remains in vehicle, people in close proximity are directed to stay clear until area is electrically safe and situation is resolved, accordin</w:t>
            </w:r>
            <w:r w:rsidRPr="00A376CD">
              <w:t xml:space="preserve">g to </w:t>
            </w:r>
            <w:r w:rsidRPr="00A376CD">
              <w:rPr>
                <w:rStyle w:val="BoldandItalics"/>
              </w:rPr>
              <w:t>organisational requirements</w:t>
            </w:r>
            <w:r w:rsidRPr="00A376CD">
              <w:t xml:space="preserve"> and </w:t>
            </w:r>
            <w:r w:rsidRPr="00A376CD">
              <w:rPr>
                <w:rStyle w:val="BoldandItalics"/>
              </w:rPr>
              <w:t>legislation and codes</w:t>
            </w:r>
            <w:r w:rsidRPr="00A376CD">
              <w:t>.</w:t>
            </w:r>
          </w:p>
        </w:tc>
      </w:tr>
      <w:tr w:rsidTr="00A37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2.2</w:t>
            </w:r>
          </w:p>
        </w:tc>
        <w:tc>
          <w:tcPr>
            <w:tcW w:w="5610" w:type="dxa"/>
            <w:tcBorders>
              <w:top w:val="nil"/>
              <w:left w:val="nil"/>
              <w:bottom w:val="nil"/>
              <w:right w:val="nil"/>
            </w:tcBorders>
            <w:tcMar>
              <w:top w:w="0" w:type="dxa"/>
              <w:left w:w="62" w:type="dxa"/>
              <w:bottom w:w="0" w:type="dxa"/>
              <w:right w:w="62" w:type="dxa"/>
            </w:tcMar>
          </w:tcPr>
          <w:p w:rsidR="00000000" w:rsidRPr="00A376CD" w:rsidP="00A376CD">
            <w:pPr>
              <w:pStyle w:val="BodyText"/>
            </w:pPr>
            <w:r w:rsidRPr="00A376CD">
              <w:t xml:space="preserve">Relevant organisational personnel are contacted and informed of exact location and </w:t>
            </w:r>
            <w:r w:rsidRPr="00A376CD">
              <w:rPr>
                <w:rStyle w:val="BoldandItalics"/>
              </w:rPr>
              <w:t>nature of incident</w:t>
            </w:r>
            <w:r w:rsidRPr="00A376CD">
              <w:t xml:space="preserve"> according to organisational requirements and legislation and codes.</w:t>
            </w:r>
          </w:p>
        </w:tc>
      </w:tr>
    </w:tbl>
    <w:p w:rsidR="00000000" w:rsidRPr="00A376CD" w:rsidP="00A376CD">
      <w:pPr>
        <w:pStyle w:val="BodyText"/>
      </w:pPr>
    </w:p>
    <w:tbl>
      <w:tblPr>
        <w:tblW w:w="0" w:type="auto"/>
        <w:tblLayout w:type="fixed"/>
        <w:tblCellMar>
          <w:left w:w="62" w:type="dxa"/>
          <w:right w:w="62" w:type="dxa"/>
        </w:tblCellMar>
        <w:tblLook w:val="0000"/>
      </w:tblPr>
      <w:tblGrid>
        <w:gridCol w:w="678"/>
        <w:gridCol w:w="1962"/>
        <w:gridCol w:w="770"/>
        <w:gridCol w:w="5610"/>
      </w:tblGrid>
      <w:tr w:rsidTr="00A37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3</w:t>
            </w:r>
          </w:p>
        </w:tc>
        <w:tc>
          <w:tcPr>
            <w:tcW w:w="1962" w:type="dxa"/>
            <w:vMerge w:val="restart"/>
            <w:tcBorders>
              <w:top w:val="nil"/>
              <w:left w:val="nil"/>
              <w:bottom w:val="nil"/>
              <w:right w:val="nil"/>
            </w:tcBorders>
            <w:tcMar>
              <w:top w:w="0" w:type="dxa"/>
              <w:left w:w="62" w:type="dxa"/>
              <w:bottom w:w="0" w:type="dxa"/>
              <w:right w:w="62" w:type="dxa"/>
            </w:tcMar>
          </w:tcPr>
          <w:p w:rsidR="00000000" w:rsidRPr="00A376CD" w:rsidP="00A376CD">
            <w:pPr>
              <w:pStyle w:val="BodyText"/>
            </w:pPr>
            <w:r w:rsidRPr="00A376CD">
              <w:t>Evacuate vehicle in the case of potential threat.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3.1</w:t>
            </w:r>
          </w:p>
        </w:tc>
        <w:tc>
          <w:tcPr>
            <w:tcW w:w="561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Location of possible fallen wires is determined and all parts of vehicle are treated as live.</w:t>
            </w:r>
          </w:p>
        </w:tc>
      </w:tr>
      <w:tr w:rsidTr="00A37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3.2</w:t>
            </w:r>
          </w:p>
        </w:tc>
        <w:tc>
          <w:tcPr>
            <w:tcW w:w="561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Side of the vehicle where exit can be made safely is identified.</w:t>
            </w:r>
          </w:p>
        </w:tc>
      </w:tr>
      <w:tr w:rsidTr="00A37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3.3</w:t>
            </w:r>
          </w:p>
        </w:tc>
        <w:tc>
          <w:tcPr>
            <w:tcW w:w="5610" w:type="dxa"/>
            <w:tcBorders>
              <w:top w:val="nil"/>
              <w:left w:val="nil"/>
              <w:bottom w:val="nil"/>
              <w:right w:val="nil"/>
            </w:tcBorders>
            <w:tcMar>
              <w:top w:w="0" w:type="dxa"/>
              <w:left w:w="62" w:type="dxa"/>
              <w:bottom w:w="0" w:type="dxa"/>
              <w:right w:w="62" w:type="dxa"/>
            </w:tcMar>
          </w:tcPr>
          <w:p w:rsidR="00000000" w:rsidRPr="00A376CD" w:rsidP="00A376CD">
            <w:pPr>
              <w:pStyle w:val="BodyText"/>
            </w:pPr>
            <w:r w:rsidRPr="00A376CD">
              <w:t xml:space="preserve">Vehicle is </w:t>
            </w:r>
            <w:r w:rsidRPr="00A376CD">
              <w:rPr>
                <w:rStyle w:val="BoldandItalics"/>
              </w:rPr>
              <w:t>exited safely</w:t>
            </w:r>
            <w:r w:rsidRPr="00A376CD">
              <w:t>.</w:t>
            </w:r>
          </w:p>
        </w:tc>
      </w:tr>
    </w:tbl>
    <w:p w:rsidR="00000000" w:rsidRPr="00A376CD" w:rsidP="00A376CD">
      <w:pPr>
        <w:pStyle w:val="BodyText"/>
      </w:pPr>
    </w:p>
    <w:tbl>
      <w:tblPr>
        <w:tblW w:w="0" w:type="auto"/>
        <w:tblLayout w:type="fixed"/>
        <w:tblCellMar>
          <w:left w:w="62" w:type="dxa"/>
          <w:right w:w="62" w:type="dxa"/>
        </w:tblCellMar>
        <w:tblLook w:val="0000"/>
      </w:tblPr>
      <w:tblGrid>
        <w:gridCol w:w="678"/>
        <w:gridCol w:w="1962"/>
        <w:gridCol w:w="770"/>
        <w:gridCol w:w="5610"/>
      </w:tblGrid>
      <w:tr w:rsidTr="00A37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4</w:t>
            </w:r>
          </w:p>
        </w:tc>
        <w:tc>
          <w:tcPr>
            <w:tcW w:w="1962" w:type="dxa"/>
            <w:vMerge w:val="restart"/>
            <w:tcBorders>
              <w:top w:val="nil"/>
              <w:left w:val="nil"/>
              <w:bottom w:val="nil"/>
              <w:right w:val="nil"/>
            </w:tcBorders>
            <w:tcMar>
              <w:top w:w="0" w:type="dxa"/>
              <w:left w:w="62" w:type="dxa"/>
              <w:bottom w:w="0" w:type="dxa"/>
              <w:right w:w="62" w:type="dxa"/>
            </w:tcMar>
          </w:tcPr>
          <w:p w:rsidR="00000000" w:rsidRPr="00A376CD" w:rsidP="00A376CD">
            <w:pPr>
              <w:pStyle w:val="BodyText"/>
            </w:pPr>
            <w:r w:rsidRPr="00A376CD">
              <w:t>Report the incident.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4.1</w:t>
            </w:r>
          </w:p>
        </w:tc>
        <w:tc>
          <w:tcPr>
            <w:tcW w:w="561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 xml:space="preserve">Operator observes </w:t>
            </w:r>
            <w:r w:rsidRPr="00A376CD">
              <w:rPr>
                <w:rStyle w:val="BoldandItalics"/>
              </w:rPr>
              <w:t xml:space="preserve">organisational </w:t>
            </w:r>
            <w:r w:rsidRPr="00A376CD">
              <w:t>policy with regard to reporting method or returning to depot.</w:t>
            </w:r>
          </w:p>
        </w:tc>
      </w:tr>
      <w:tr w:rsidTr="00A37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4.2</w:t>
            </w:r>
          </w:p>
        </w:tc>
        <w:tc>
          <w:tcPr>
            <w:tcW w:w="5610" w:type="dxa"/>
            <w:tcBorders>
              <w:top w:val="nil"/>
              <w:left w:val="nil"/>
              <w:bottom w:val="nil"/>
              <w:right w:val="nil"/>
            </w:tcBorders>
            <w:tcMar>
              <w:top w:w="0" w:type="dxa"/>
              <w:left w:w="62" w:type="dxa"/>
              <w:bottom w:w="0" w:type="dxa"/>
              <w:right w:w="62" w:type="dxa"/>
            </w:tcMar>
          </w:tcPr>
          <w:p w:rsidR="00000000" w:rsidRPr="00A376CD" w:rsidP="00A376CD">
            <w:pPr>
              <w:pStyle w:val="BodyText"/>
            </w:pPr>
            <w:r w:rsidRPr="00A376CD">
              <w:t>Incident report is completed according to organisational requirements and legislation and codes.</w:t>
            </w:r>
          </w:p>
        </w:tc>
      </w:tr>
    </w:tbl>
    <w:p w:rsidR="000504F9" w:rsidP="00A376CD">
      <w:pPr>
        <w:pStyle w:val="BodyText"/>
      </w:pPr>
    </w:p>
    <w:p w:rsidR="000504F9" w:rsidP="00A376CD">
      <w:pPr>
        <w:pStyle w:val="BodyText"/>
      </w:pPr>
    </w:p>
    <w:p w:rsidR="00000000" w:rsidRPr="00A376CD" w:rsidP="00A376CD">
      <w:pPr>
        <w:pStyle w:val="Heading1"/>
      </w:pPr>
      <w:bookmarkStart w:id="9" w:name="O_375439"/>
      <w:bookmarkEnd w:id="9"/>
      <w:r w:rsidRPr="00A376CD">
        <w:t>Required Skills and Knowledge</w:t>
      </w:r>
    </w:p>
    <w:tbl>
      <w:tblPr>
        <w:tblW w:w="9354" w:type="dxa"/>
        <w:tblLayout w:type="fixed"/>
        <w:tblCellMar>
          <w:left w:w="62" w:type="dxa"/>
          <w:right w:w="62" w:type="dxa"/>
        </w:tblCellMar>
        <w:tblLook w:val="0000"/>
      </w:tblPr>
      <w:tblGrid>
        <w:gridCol w:w="9354"/>
      </w:tblGrid>
      <w:tr w:rsidTr="00A376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t>This section describes the skills and knowledge required for this unit.</w:t>
            </w:r>
          </w:p>
        </w:tc>
      </w:tr>
      <w:tr w:rsidTr="00A376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rPr>
                <w:rStyle w:val="SpecialBold"/>
              </w:rPr>
              <w:t>Required skills</w:t>
            </w:r>
          </w:p>
        </w:tc>
      </w:tr>
      <w:tr w:rsidTr="00A376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376CD" w:rsidP="00A376CD">
            <w:pPr>
              <w:pStyle w:val="ListBullet"/>
            </w:pPr>
            <w:r w:rsidRPr="00A376CD">
              <w:t>self-management skills to:</w:t>
            </w:r>
          </w:p>
          <w:p w:rsidR="00000000" w:rsidRPr="00A376CD" w:rsidP="00A376CD">
            <w:pPr>
              <w:pStyle w:val="ListBullet2"/>
            </w:pPr>
            <w:r w:rsidRPr="00A376CD">
              <w:t>apply emergency response and safety procedures in a decisive, calm and efficient manner</w:t>
            </w:r>
          </w:p>
          <w:p w:rsidR="00000000" w:rsidRPr="00A376CD" w:rsidP="00A376CD">
            <w:pPr>
              <w:pStyle w:val="ListBullet2"/>
            </w:pPr>
            <w:r w:rsidRPr="00A376CD">
              <w:t>apply signalling techniques</w:t>
            </w:r>
          </w:p>
          <w:p w:rsidR="00000000" w:rsidRPr="00A376CD" w:rsidP="00A376CD">
            <w:pPr>
              <w:pStyle w:val="ListBullet"/>
            </w:pPr>
            <w:r w:rsidRPr="00A376CD">
              <w:t>oral communication skills to provide clear information on safety issues</w:t>
            </w:r>
          </w:p>
          <w:p w:rsidR="00000000" w:rsidRPr="00A376CD" w:rsidP="00A376CD">
            <w:pPr>
              <w:pStyle w:val="ListBullet"/>
            </w:pPr>
            <w:r w:rsidRPr="00A376CD">
              <w:t>reading skills to interpret gauges and indicators</w:t>
            </w:r>
          </w:p>
          <w:p w:rsidR="00000000" w:rsidRPr="00A376CD" w:rsidP="00A376CD">
            <w:pPr>
              <w:pStyle w:val="ListBullet"/>
            </w:pPr>
            <w:r w:rsidRPr="00A376CD">
              <w:t>driving skills to operate vehicle safely and efficiently</w:t>
            </w:r>
          </w:p>
          <w:p w:rsidR="00000000" w:rsidRPr="00A376CD" w:rsidP="00A376CD">
            <w:pPr>
              <w:pStyle w:val="ListBullet"/>
            </w:pPr>
            <w:r w:rsidRPr="00A376CD">
              <w:t xml:space="preserve">written communication skills for: </w:t>
            </w:r>
          </w:p>
          <w:p w:rsidR="00000000" w:rsidRPr="00A376CD" w:rsidP="00A376CD">
            <w:pPr>
              <w:pStyle w:val="ListBullet2"/>
            </w:pPr>
            <w:r w:rsidRPr="00A376CD">
              <w:t>incident repo</w:t>
            </w:r>
            <w:r w:rsidRPr="00A376CD">
              <w:t>rts</w:t>
            </w:r>
          </w:p>
          <w:p w:rsidR="00000000" w:rsidP="00A376CD">
            <w:pPr>
              <w:pStyle w:val="ListBullet2"/>
              <w:rPr>
                <w:lang w:val="en-NZ"/>
              </w:rPr>
            </w:pPr>
            <w:r w:rsidRPr="00A376CD">
              <w:t>documentation</w:t>
            </w:r>
          </w:p>
        </w:tc>
      </w:tr>
      <w:tr w:rsidTr="00A376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376CD">
            <w:pPr>
              <w:pStyle w:val="BodyText"/>
              <w:rPr>
                <w:lang w:val="en-NZ"/>
              </w:rPr>
            </w:pPr>
            <w:r w:rsidRPr="00A376CD">
              <w:rPr>
                <w:rStyle w:val="SpecialBold"/>
              </w:rPr>
              <w:t>Required knowledge</w:t>
            </w:r>
          </w:p>
        </w:tc>
      </w:tr>
      <w:tr w:rsidTr="00A376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376CD" w:rsidP="00A376CD">
            <w:pPr>
              <w:pStyle w:val="ListBullet"/>
            </w:pPr>
            <w:r w:rsidRPr="00A376CD">
              <w:t>electrical safety identification</w:t>
            </w:r>
          </w:p>
          <w:p w:rsidR="00000000" w:rsidRPr="00A376CD" w:rsidP="00A376CD">
            <w:pPr>
              <w:pStyle w:val="ListBullet"/>
            </w:pPr>
            <w:r w:rsidRPr="00A376CD">
              <w:t>occupational health and safety (OHS) requirements relating to:</w:t>
            </w:r>
          </w:p>
          <w:p w:rsidR="00000000" w:rsidRPr="00A376CD" w:rsidP="00A376CD">
            <w:pPr>
              <w:pStyle w:val="ListBullet2"/>
            </w:pPr>
            <w:r w:rsidRPr="00A376CD">
              <w:t>safe emergency action</w:t>
            </w:r>
          </w:p>
          <w:p w:rsidR="00000000" w:rsidRPr="00A376CD" w:rsidP="00A376CD">
            <w:pPr>
              <w:pStyle w:val="ListBullet2"/>
            </w:pPr>
            <w:r w:rsidRPr="00A376CD">
              <w:t xml:space="preserve">first aid </w:t>
            </w:r>
          </w:p>
          <w:p w:rsidR="00000000" w:rsidRPr="00A376CD" w:rsidP="00A376CD">
            <w:pPr>
              <w:pStyle w:val="ListBullet2"/>
            </w:pPr>
            <w:r w:rsidRPr="00A376CD">
              <w:t>OHS hierarchy of control</w:t>
            </w:r>
          </w:p>
          <w:p w:rsidR="00000000" w:rsidRPr="00A376CD" w:rsidP="00A376CD">
            <w:pPr>
              <w:pStyle w:val="ListBullet2"/>
            </w:pPr>
            <w:r w:rsidRPr="00A376CD">
              <w:t>industry standards</w:t>
            </w:r>
          </w:p>
          <w:p w:rsidR="00000000" w:rsidRPr="00A376CD" w:rsidP="00A376CD">
            <w:pPr>
              <w:pStyle w:val="ListBullet"/>
            </w:pPr>
            <w:r w:rsidRPr="00A376CD">
              <w:t>overhead wire infrastructure knowledge to understand:</w:t>
            </w:r>
          </w:p>
          <w:p w:rsidR="00000000" w:rsidRPr="00A376CD" w:rsidP="00A376CD">
            <w:pPr>
              <w:pStyle w:val="ListBullet2"/>
            </w:pPr>
            <w:r w:rsidRPr="00A376CD">
              <w:t>dangerous electrical events</w:t>
            </w:r>
          </w:p>
          <w:p w:rsidR="00000000" w:rsidRPr="00A376CD" w:rsidP="00A376CD">
            <w:pPr>
              <w:pStyle w:val="ListBullet2"/>
            </w:pPr>
            <w:r w:rsidRPr="00A376CD">
              <w:t xml:space="preserve">suitable emergency response procedures </w:t>
            </w:r>
          </w:p>
        </w:tc>
      </w:tr>
    </w:tbl>
    <w:p w:rsidR="00000000" w:rsidRPr="00A376CD" w:rsidP="00A376CD">
      <w:pPr>
        <w:pStyle w:val="BodyText"/>
      </w:pPr>
    </w:p>
    <w:p w:rsidR="00000000" w:rsidRPr="00A376CD" w:rsidP="00A376CD">
      <w:pPr>
        <w:pStyle w:val="AllowPageBreak"/>
      </w:pPr>
    </w:p>
    <w:p w:rsidR="00000000" w:rsidRPr="00A376CD" w:rsidP="00A376CD">
      <w:pPr>
        <w:pStyle w:val="Heading1"/>
      </w:pPr>
      <w:bookmarkStart w:id="10" w:name="O_375440"/>
      <w:bookmarkEnd w:id="10"/>
      <w:r w:rsidRPr="00A376CD">
        <w:t>Evidence Guide</w:t>
      </w:r>
    </w:p>
    <w:tbl>
      <w:tblPr>
        <w:tblW w:w="9462" w:type="dxa"/>
        <w:tblLayout w:type="fixed"/>
        <w:tblCellMar>
          <w:left w:w="62" w:type="dxa"/>
          <w:right w:w="62" w:type="dxa"/>
        </w:tblCellMar>
        <w:tblLook w:val="0000"/>
      </w:tblPr>
      <w:tblGrid>
        <w:gridCol w:w="2700"/>
        <w:gridCol w:w="6762"/>
      </w:tblGrid>
      <w:tr w:rsidTr="00A376C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376CD">
            <w:pPr>
              <w:pStyle w:val="BodyText"/>
              <w:rPr>
                <w:lang w:val="en-NZ"/>
              </w:rPr>
            </w:pPr>
            <w:r w:rsidRPr="00A376CD">
              <w:t>The evidence guide provides advice on assessment and must be read in conjunction with the performan</w:t>
            </w:r>
            <w:r w:rsidRPr="00A376CD">
              <w:t>ce criteria, required skills and knowledge, range statement and the Assessment Guidelines for the Training Package.</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t>This unit of competency could be assessed by discussion, relaying the safe operational practices when veh</w:t>
            </w:r>
            <w:r w:rsidRPr="00A376CD">
              <w:t>icles contact overhead wires.</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BodyText"/>
            </w:pPr>
            <w:r w:rsidRPr="00A376CD">
              <w:t>A person who demonstrates competency in this unit must be able to provide evidence of the required skills and knowledge specified in</w:t>
            </w:r>
            <w:r w:rsidRPr="00A376CD">
              <w:t xml:space="preserve"> this unit.</w:t>
            </w:r>
          </w:p>
          <w:p w:rsidR="00000000" w:rsidRPr="00A376CD" w:rsidP="00A376CD">
            <w:pPr>
              <w:pStyle w:val="BodyText"/>
            </w:pPr>
            <w:r w:rsidRPr="00A376CD">
              <w:t>In particular the person should demonstrate the ability to:</w:t>
            </w:r>
          </w:p>
          <w:p w:rsidR="00000000" w:rsidRPr="00A376CD" w:rsidP="00A376CD">
            <w:pPr>
              <w:pStyle w:val="ListBullet"/>
            </w:pPr>
            <w:r w:rsidRPr="00A376CD">
              <w:t>identify potential hazards and risks</w:t>
            </w:r>
          </w:p>
          <w:p w:rsidR="00000000" w:rsidRPr="00A376CD" w:rsidP="00A376CD">
            <w:pPr>
              <w:pStyle w:val="ListBullet"/>
            </w:pPr>
            <w:r w:rsidRPr="00A376CD">
              <w:t>apply emergency response procedures suitable to nature of hazardous event</w:t>
            </w:r>
          </w:p>
          <w:p w:rsidR="00000000" w:rsidP="00A376CD">
            <w:pPr>
              <w:pStyle w:val="ListBullet"/>
              <w:rPr>
                <w:lang w:val="en-NZ"/>
              </w:rPr>
            </w:pPr>
            <w:r w:rsidRPr="00A376CD">
              <w:t>evacuate the vehicle immediately and according to required procedures upo</w:t>
            </w:r>
            <w:r w:rsidRPr="00A376CD">
              <w:t>n vehicle contact with overhead wires.</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BodyText"/>
            </w:pPr>
            <w:r w:rsidRPr="00A376CD">
              <w:t>Assessment of essential underpinning knowledge may be conducted in an off-site context. It is to comply with relevant regulatory or Australian standards’ requirements.</w:t>
            </w:r>
          </w:p>
          <w:p w:rsidR="00000000" w:rsidRPr="00A376CD" w:rsidP="00A376CD">
            <w:pPr>
              <w:pStyle w:val="BodyText"/>
            </w:pPr>
            <w:r w:rsidRPr="00A376CD">
              <w:t>Resource implications for assessment include:</w:t>
            </w:r>
          </w:p>
          <w:p w:rsidR="00000000" w:rsidRPr="00A376CD" w:rsidP="00A376CD">
            <w:pPr>
              <w:pStyle w:val="ListBullet"/>
            </w:pPr>
            <w:r w:rsidRPr="00A376CD">
              <w:t>work plans and approved specifications</w:t>
            </w:r>
          </w:p>
          <w:p w:rsidR="00000000" w:rsidP="00A376CD">
            <w:pPr>
              <w:pStyle w:val="ListBullet"/>
              <w:rPr>
                <w:lang w:val="en-NZ"/>
              </w:rPr>
            </w:pPr>
            <w:r w:rsidRPr="00A376CD">
              <w:t>forms and procedures manuals.</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BodyText"/>
            </w:pPr>
            <w:r w:rsidRPr="00A376CD">
              <w:t xml:space="preserve">Operational practices when a vehicle comes into contact with overhead wires must comply with industry expectations in </w:t>
            </w:r>
            <w:r w:rsidRPr="00A376CD">
              <w:t>the particular client environment. If the environment is narrowly defined or is not representative of industry needs, it may be necessary to refer to portfolio case studies to assess competency in safe operational practices to vehicle contact with overhead</w:t>
            </w:r>
            <w:r w:rsidRPr="00A376CD">
              <w:t xml:space="preserve"> wires.</w:t>
            </w:r>
          </w:p>
          <w:p w:rsidR="00000000" w:rsidRPr="00A376CD" w:rsidP="00A376CD">
            <w:pPr>
              <w:pStyle w:val="BodyText"/>
            </w:pPr>
            <w:r w:rsidRPr="00A376CD">
              <w:t>Assessment methods must:</w:t>
            </w:r>
          </w:p>
          <w:p w:rsidR="00000000" w:rsidRPr="00A376CD" w:rsidP="00A376CD">
            <w:pPr>
              <w:pStyle w:val="ListBullet"/>
            </w:pPr>
            <w:r w:rsidRPr="00A376CD">
              <w:t>satisfy the endorsed Assessment Guidelines of the Property Services Training Package</w:t>
            </w:r>
          </w:p>
          <w:p w:rsidR="00000000" w:rsidRPr="00A376CD" w:rsidP="00A376CD">
            <w:pPr>
              <w:pStyle w:val="ListBullet"/>
            </w:pPr>
            <w:r w:rsidRPr="00A376CD">
              <w:t>include direct observation of tasks in real or simulated work conditions, with questioning to confirm the ability to consistently identify</w:t>
            </w:r>
            <w:r w:rsidRPr="00A376CD">
              <w:t xml:space="preserve"> and correctly interpret the essential underpinning knowledge required for practical application</w:t>
            </w:r>
          </w:p>
          <w:p w:rsidR="00000000" w:rsidRPr="00A376CD" w:rsidP="00A376CD">
            <w:pPr>
              <w:pStyle w:val="ListBullet"/>
            </w:pPr>
            <w:r w:rsidRPr="00A376CD">
              <w:t>reinforce the integration of employability skills with workplace tasks and job roles</w:t>
            </w:r>
          </w:p>
          <w:p w:rsidR="00000000" w:rsidP="00A376CD">
            <w:pPr>
              <w:pStyle w:val="ListBullet"/>
              <w:rPr>
                <w:lang w:val="en-NZ"/>
              </w:rPr>
            </w:pPr>
            <w:r w:rsidRPr="00A376CD">
              <w:t>confirm that competency is verified and able to be transferred to other ci</w:t>
            </w:r>
            <w:r w:rsidRPr="00A376CD">
              <w:t>rcumstances and environments.</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BodyText"/>
            </w:pPr>
            <w:r w:rsidRPr="00A376CD">
              <w:t>Reasonable adjustments for people with disabilities must be made to assessment processes where required. This could include access to modified equipment and other physical resources, and th</w:t>
            </w:r>
            <w:r w:rsidRPr="00A376CD">
              <w:t>e provision of appropriate assessment support.</w:t>
            </w:r>
          </w:p>
          <w:p w:rsidR="00000000" w:rsidRPr="00A376CD" w:rsidP="00A376CD">
            <w:pPr>
              <w:pStyle w:val="BodyText"/>
            </w:pPr>
            <w:r w:rsidRPr="00A376CD">
              <w:t>Assessment processes and techniques should as far as is practical take into account the language, literacy and numeracy capacity of the candidate in relation to the competency being assessed.</w:t>
            </w:r>
          </w:p>
          <w:p w:rsidR="00000000" w:rsidRPr="00A376CD" w:rsidP="00A376CD">
            <w:pPr>
              <w:pStyle w:val="BodyText"/>
            </w:pPr>
            <w:r w:rsidRPr="00A376CD">
              <w:t>This unit could b</w:t>
            </w:r>
            <w:r w:rsidRPr="00A376CD">
              <w:t>e assessed on its own or in combination with other units of competency relevant to the job function, for example:</w:t>
            </w:r>
          </w:p>
          <w:p w:rsidR="00000000" w:rsidRPr="00A376CD" w:rsidP="00A376CD">
            <w:pPr>
              <w:pStyle w:val="ListBullet"/>
            </w:pPr>
            <w:r w:rsidRPr="00A376CD">
              <w:t>CPPCMN3003A Contribute to workplace safety arrangements.</w:t>
            </w:r>
          </w:p>
        </w:tc>
      </w:tr>
    </w:tbl>
    <w:p w:rsidR="00000000" w:rsidRPr="00A376CD" w:rsidP="00A376CD">
      <w:pPr>
        <w:pStyle w:val="BodyText"/>
      </w:pPr>
    </w:p>
    <w:p w:rsidR="00000000" w:rsidRPr="00A376CD" w:rsidP="00A376CD">
      <w:pPr>
        <w:pStyle w:val="AllowPageBreak"/>
      </w:pPr>
    </w:p>
    <w:p w:rsidR="00000000" w:rsidRPr="00A376CD" w:rsidP="00A376CD">
      <w:pPr>
        <w:pStyle w:val="Heading1"/>
      </w:pPr>
      <w:bookmarkStart w:id="11" w:name="O_375441"/>
      <w:bookmarkEnd w:id="11"/>
      <w:r w:rsidRPr="00A376CD">
        <w:t>Range Statement</w:t>
      </w:r>
    </w:p>
    <w:tbl>
      <w:tblPr>
        <w:tblW w:w="9462" w:type="dxa"/>
        <w:tblLayout w:type="fixed"/>
        <w:tblCellMar>
          <w:left w:w="62" w:type="dxa"/>
          <w:right w:w="62" w:type="dxa"/>
        </w:tblCellMar>
        <w:tblLook w:val="0000"/>
      </w:tblPr>
      <w:tblGrid>
        <w:gridCol w:w="2700"/>
        <w:gridCol w:w="6762"/>
      </w:tblGrid>
      <w:tr w:rsidTr="00A376C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376CD">
            <w:pPr>
              <w:pStyle w:val="BodyText"/>
              <w:rPr>
                <w:lang w:val="en-NZ"/>
              </w:rPr>
            </w:pPr>
            <w:r w:rsidRPr="00A376CD">
              <w:t>The range statement relates to the unit of competency as a whole. It allows for different work environments and situations that may affect performance. Bold italicised wording, if used in the performance criteria, is detailed below. Essential operating con</w:t>
            </w:r>
            <w:r w:rsidRPr="00A376CD">
              <w:t>ditions that may be present with training and assessment (depending on the work situation, needs of the candidate, accessibility of the item, and local industry and regional contexts) may also be included.</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rPr>
                <w:rStyle w:val="BoldandItalics"/>
              </w:rPr>
              <w:t xml:space="preserve">Overhead wires </w:t>
            </w:r>
            <w:r w:rsidRPr="00A376CD">
              <w:t xml:space="preserve">may include wires or structures, </w:t>
            </w:r>
            <w:r w:rsidRPr="00A376CD">
              <w:t>such as: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ListBullet"/>
            </w:pPr>
            <w:r w:rsidRPr="00A376CD">
              <w:t>catenary wires</w:t>
            </w:r>
          </w:p>
          <w:p w:rsidR="00000000" w:rsidRPr="00A376CD" w:rsidP="00A376CD">
            <w:pPr>
              <w:pStyle w:val="ListBullet"/>
            </w:pPr>
            <w:r w:rsidRPr="00A376CD">
              <w:t>pay TV</w:t>
            </w:r>
          </w:p>
          <w:p w:rsidR="00000000" w:rsidRPr="00A376CD" w:rsidP="00A376CD">
            <w:pPr>
              <w:pStyle w:val="ListBullet"/>
            </w:pPr>
            <w:r w:rsidRPr="00A376CD">
              <w:t>power company wire that may be:</w:t>
            </w:r>
          </w:p>
          <w:p w:rsidR="00000000" w:rsidRPr="00A376CD" w:rsidP="00A376CD">
            <w:pPr>
              <w:pStyle w:val="ListBullet2"/>
            </w:pPr>
            <w:r w:rsidRPr="00A376CD">
              <w:t>high voltage wire – wire carrying a voltage above low voltage in accordance with state regulations</w:t>
            </w:r>
          </w:p>
          <w:p w:rsidR="00000000" w:rsidRPr="00A376CD" w:rsidP="00A376CD">
            <w:pPr>
              <w:pStyle w:val="ListBullet2"/>
            </w:pPr>
            <w:r w:rsidRPr="00A376CD">
              <w:t>low voltage wire – wire carrying a v</w:t>
            </w:r>
            <w:r w:rsidRPr="00A376CD">
              <w:t>oltage greater than extra low voltage, but not more than 1000V AC RMS or 1500V ripple-free DC; this includes service lines or feeders (i.e. 240V or 415V), street lighting wires (240V) and telecommunications cabling (i.e. 90V)</w:t>
            </w:r>
          </w:p>
          <w:p w:rsidR="00000000" w:rsidRPr="00A376CD" w:rsidP="00A376CD">
            <w:pPr>
              <w:pStyle w:val="ListBullet2"/>
            </w:pPr>
            <w:r w:rsidRPr="00A376CD">
              <w:t>low wire – wire or similar str</w:t>
            </w:r>
            <w:r w:rsidRPr="00A376CD">
              <w:t>ucture that has been erected or is suspended at a height that would permit contact with vehicle or load during normal collection operations</w:t>
            </w:r>
          </w:p>
          <w:p w:rsidR="00000000" w:rsidRPr="00A376CD" w:rsidP="00A376CD">
            <w:pPr>
              <w:pStyle w:val="ListBullet2"/>
            </w:pPr>
            <w:r w:rsidRPr="00A376CD">
              <w:t>service lines</w:t>
            </w:r>
          </w:p>
          <w:p w:rsidR="00000000" w:rsidRPr="00A376CD" w:rsidP="00A376CD">
            <w:pPr>
              <w:pStyle w:val="ListBullet2"/>
            </w:pPr>
            <w:r w:rsidRPr="00A376CD">
              <w:t>streetlight power supply lines</w:t>
            </w:r>
          </w:p>
          <w:p w:rsidR="00000000" w:rsidP="00A376CD">
            <w:pPr>
              <w:pStyle w:val="ListBullet2"/>
              <w:rPr>
                <w:lang w:val="en-NZ"/>
              </w:rPr>
            </w:pPr>
            <w:r w:rsidRPr="00A376CD">
              <w:t>telecommunication wires.</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rPr>
                <w:rStyle w:val="BoldandItalics"/>
              </w:rPr>
              <w:t>Potential danger</w:t>
            </w:r>
            <w:r w:rsidRPr="00A376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ListBullet"/>
            </w:pPr>
            <w:r w:rsidRPr="00A376CD">
              <w:t>contact with co</w:t>
            </w:r>
            <w:r w:rsidRPr="00A376CD">
              <w:t>mponent of vehicle or load, which may create:</w:t>
            </w:r>
          </w:p>
          <w:p w:rsidR="00000000" w:rsidRPr="00A376CD" w:rsidP="00A376CD">
            <w:pPr>
              <w:pStyle w:val="ListBullet2"/>
            </w:pPr>
            <w:r w:rsidRPr="00A376CD">
              <w:t>disruption of service</w:t>
            </w:r>
          </w:p>
          <w:p w:rsidR="00000000" w:rsidRPr="00A376CD" w:rsidP="00A376CD">
            <w:pPr>
              <w:pStyle w:val="ListBullet2"/>
            </w:pPr>
            <w:r w:rsidRPr="00A376CD">
              <w:t>health and safety risk to vehicle or load</w:t>
            </w:r>
          </w:p>
          <w:p w:rsidR="00000000" w:rsidP="00A376CD">
            <w:pPr>
              <w:pStyle w:val="ListBullet2"/>
              <w:rPr>
                <w:lang w:val="en-NZ"/>
              </w:rPr>
            </w:pPr>
            <w:r w:rsidRPr="00A376CD">
              <w:t xml:space="preserve">health and safety risk to vehicle operators and members of the public. </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rPr>
                <w:rStyle w:val="BoldandItalics"/>
              </w:rPr>
              <w:t xml:space="preserve">Electrical event </w:t>
            </w:r>
            <w:r w:rsidRPr="00A376CD">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ListBullet"/>
            </w:pPr>
            <w:r w:rsidRPr="00A376CD">
              <w:t>event that involves electrical equipment and in which significant property damage is caused directly by electricity or originates from electricity</w:t>
            </w:r>
          </w:p>
          <w:p w:rsidR="00000000" w:rsidRPr="00A376CD" w:rsidP="00A376CD">
            <w:pPr>
              <w:pStyle w:val="ListBullet"/>
            </w:pPr>
            <w:r w:rsidRPr="00A376CD">
              <w:t>circumstances in which a person is not electrically safe if:</w:t>
            </w:r>
          </w:p>
          <w:p w:rsidR="00000000" w:rsidRPr="00A376CD" w:rsidP="00A376CD">
            <w:pPr>
              <w:pStyle w:val="ListBullet2"/>
            </w:pPr>
            <w:r w:rsidRPr="00A376CD">
              <w:t>circumstances involve high voltage electrical e</w:t>
            </w:r>
            <w:r w:rsidRPr="00A376CD">
              <w:t>quipment</w:t>
            </w:r>
          </w:p>
          <w:p w:rsidR="00000000" w:rsidRPr="00A376CD" w:rsidP="00A376CD">
            <w:pPr>
              <w:pStyle w:val="ListBullet2"/>
            </w:pPr>
            <w:r w:rsidRPr="00A376CD">
              <w:t>person has not received a shock or injury but may still be unsafe</w:t>
            </w:r>
          </w:p>
          <w:p w:rsidR="00000000" w:rsidP="00A376CD">
            <w:pPr>
              <w:pStyle w:val="ListBullet"/>
              <w:rPr>
                <w:lang w:val="en-NZ"/>
              </w:rPr>
            </w:pPr>
            <w:r w:rsidRPr="00A376CD">
              <w:t>electrical contact that does not comply with state or territory legislation.</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rPr>
                <w:rStyle w:val="BoldandItalics"/>
              </w:rPr>
              <w:t>Potential threat</w:t>
            </w:r>
            <w:r w:rsidRPr="00A376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ListBullet"/>
            </w:pPr>
            <w:r w:rsidRPr="00A376CD">
              <w:t>event involving imminent risk of explosion</w:t>
            </w:r>
          </w:p>
          <w:p w:rsidR="00000000" w:rsidRPr="00A376CD" w:rsidP="00A376CD">
            <w:pPr>
              <w:pStyle w:val="ListBullet"/>
            </w:pPr>
            <w:r w:rsidRPr="00A376CD">
              <w:t>death</w:t>
            </w:r>
          </w:p>
          <w:p w:rsidR="00000000" w:rsidRPr="00A376CD" w:rsidP="00A376CD">
            <w:pPr>
              <w:pStyle w:val="ListBullet"/>
            </w:pPr>
            <w:r w:rsidRPr="00A376CD">
              <w:t>fire</w:t>
            </w:r>
          </w:p>
          <w:p w:rsidR="00000000" w:rsidP="00A376CD">
            <w:pPr>
              <w:pStyle w:val="ListBullet"/>
              <w:rPr>
                <w:lang w:val="en-NZ"/>
              </w:rPr>
            </w:pPr>
            <w:r w:rsidRPr="00A376CD">
              <w:t>serious bodily injury.</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rPr>
                <w:rStyle w:val="BoldandItalics"/>
              </w:rPr>
              <w:t xml:space="preserve">Organisational requirements </w:t>
            </w:r>
            <w:r w:rsidRPr="00A376CD">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ListBullet"/>
            </w:pPr>
            <w:r w:rsidRPr="00A376CD">
              <w:t>briefing papers</w:t>
            </w:r>
          </w:p>
          <w:p w:rsidR="00000000" w:rsidRPr="00A376CD" w:rsidP="00A376CD">
            <w:pPr>
              <w:pStyle w:val="ListBullet"/>
            </w:pPr>
            <w:r w:rsidRPr="00A376CD">
              <w:t>job sheets</w:t>
            </w:r>
          </w:p>
          <w:p w:rsidR="00000000" w:rsidRPr="00A376CD" w:rsidP="00A376CD">
            <w:pPr>
              <w:pStyle w:val="ListBullet"/>
            </w:pPr>
            <w:r w:rsidRPr="00A376CD">
              <w:t>letters</w:t>
            </w:r>
          </w:p>
          <w:p w:rsidR="00000000" w:rsidRPr="00A376CD" w:rsidP="00A376CD">
            <w:pPr>
              <w:pStyle w:val="ListBullet"/>
            </w:pPr>
            <w:r w:rsidRPr="00A376CD">
              <w:t>memos</w:t>
            </w:r>
          </w:p>
          <w:p w:rsidR="00000000" w:rsidRPr="00A376CD" w:rsidP="00A376CD">
            <w:pPr>
              <w:pStyle w:val="ListBullet"/>
            </w:pPr>
            <w:r w:rsidRPr="00A376CD">
              <w:t>operations manuals</w:t>
            </w:r>
          </w:p>
          <w:p w:rsidR="00000000" w:rsidRPr="00A376CD" w:rsidP="00A376CD">
            <w:pPr>
              <w:pStyle w:val="ListBullet"/>
            </w:pPr>
            <w:r w:rsidRPr="00A376CD">
              <w:t>quality assurance documents</w:t>
            </w:r>
          </w:p>
          <w:p w:rsidR="00000000" w:rsidRPr="00A376CD" w:rsidP="00A376CD">
            <w:pPr>
              <w:pStyle w:val="ListBullet"/>
            </w:pPr>
            <w:r w:rsidRPr="00A376CD">
              <w:t>verbal or written instructions</w:t>
            </w:r>
          </w:p>
          <w:p w:rsidR="00000000" w:rsidP="00A376CD">
            <w:pPr>
              <w:pStyle w:val="ListBullet"/>
              <w:rPr>
                <w:lang w:val="en-NZ"/>
              </w:rPr>
            </w:pPr>
            <w:r w:rsidRPr="00A376CD">
              <w:t>work procedures.</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rPr>
                <w:rStyle w:val="BoldandItalics"/>
              </w:rPr>
              <w:t>Legislation and codes</w:t>
            </w:r>
            <w:r w:rsidRPr="00A376CD">
              <w:t xml:space="preserve"> may include</w:t>
            </w:r>
            <w:r w:rsidRPr="00A376CD">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ListBullet"/>
            </w:pPr>
            <w:r w:rsidRPr="00A376CD">
              <w:t>codes, including:</w:t>
            </w:r>
          </w:p>
          <w:p w:rsidR="00000000" w:rsidRPr="00A376CD" w:rsidP="00A376CD">
            <w:pPr>
              <w:pStyle w:val="ListBullet2"/>
            </w:pPr>
            <w:r w:rsidRPr="00A376CD">
              <w:t>Australian Code for the Transport of Dangerous Goods by Road and Rail</w:t>
            </w:r>
          </w:p>
          <w:p w:rsidR="00000000" w:rsidRPr="00A376CD" w:rsidP="00A376CD">
            <w:pPr>
              <w:pStyle w:val="ListBullet2"/>
            </w:pPr>
            <w:r w:rsidRPr="00A376CD">
              <w:t>industry</w:t>
            </w:r>
          </w:p>
          <w:p w:rsidR="00000000" w:rsidRPr="00A376CD" w:rsidP="00A376CD">
            <w:pPr>
              <w:pStyle w:val="ListBullet"/>
            </w:pPr>
            <w:r w:rsidRPr="00A376CD">
              <w:t>commonwealth, state and territory legislation, including:</w:t>
            </w:r>
          </w:p>
          <w:p w:rsidR="00000000" w:rsidRPr="00A376CD" w:rsidP="00A376CD">
            <w:pPr>
              <w:pStyle w:val="ListBullet2"/>
            </w:pPr>
            <w:r w:rsidRPr="00A376CD">
              <w:t>anti-discrimination</w:t>
            </w:r>
          </w:p>
          <w:p w:rsidR="00000000" w:rsidRPr="00A376CD" w:rsidP="00A376CD">
            <w:pPr>
              <w:pStyle w:val="ListBullet2"/>
            </w:pPr>
            <w:r w:rsidRPr="00A376CD">
              <w:t>environmental protection</w:t>
            </w:r>
          </w:p>
          <w:p w:rsidR="00000000" w:rsidRPr="00A376CD" w:rsidP="00A376CD">
            <w:pPr>
              <w:pStyle w:val="ListBullet2"/>
            </w:pPr>
            <w:r w:rsidRPr="00A376CD">
              <w:t>equal employment opportunity</w:t>
            </w:r>
          </w:p>
          <w:p w:rsidR="00000000" w:rsidRPr="00A376CD" w:rsidP="00A376CD">
            <w:pPr>
              <w:pStyle w:val="ListBullet2"/>
            </w:pPr>
            <w:r w:rsidRPr="00A376CD">
              <w:t>freedom of information</w:t>
            </w:r>
          </w:p>
          <w:p w:rsidR="00000000" w:rsidRPr="00A376CD" w:rsidP="00A376CD">
            <w:pPr>
              <w:pStyle w:val="ListBullet2"/>
            </w:pPr>
            <w:r w:rsidRPr="00A376CD">
              <w:t>industrial</w:t>
            </w:r>
          </w:p>
          <w:p w:rsidR="00000000" w:rsidRPr="00A376CD" w:rsidP="00A376CD">
            <w:pPr>
              <w:pStyle w:val="ListBullet2"/>
            </w:pPr>
            <w:r w:rsidRPr="00A376CD">
              <w:t>OHS</w:t>
            </w:r>
          </w:p>
          <w:p w:rsidR="00000000" w:rsidRPr="00A376CD" w:rsidP="00A376CD">
            <w:pPr>
              <w:pStyle w:val="ListBullet2"/>
            </w:pPr>
            <w:r w:rsidRPr="00A376CD">
              <w:t>trade practices</w:t>
            </w:r>
          </w:p>
          <w:p w:rsidR="00000000" w:rsidP="00A376CD">
            <w:pPr>
              <w:pStyle w:val="ListBullet"/>
              <w:rPr>
                <w:lang w:val="en-NZ"/>
              </w:rPr>
            </w:pPr>
            <w:r w:rsidRPr="00A376CD">
              <w:t>road laws.</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rPr>
                <w:rStyle w:val="BoldandItalics"/>
              </w:rPr>
              <w:t xml:space="preserve">Nature of incident </w:t>
            </w:r>
            <w:r w:rsidRPr="00A376CD">
              <w:t>may include the vehicle, or part of the vehicle, or an object in contact with the vehicle: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ListBullet"/>
            </w:pPr>
            <w:r w:rsidRPr="00A376CD">
              <w:t>contacting overhead wires and remaining in contact with overhead wires</w:t>
            </w:r>
          </w:p>
          <w:p w:rsidR="00000000" w:rsidRPr="00A376CD" w:rsidP="00A376CD">
            <w:pPr>
              <w:pStyle w:val="ListBullet"/>
            </w:pPr>
            <w:r w:rsidRPr="00A376CD">
              <w:t>bringing down overhead wires</w:t>
            </w:r>
          </w:p>
          <w:p w:rsidR="00000000" w:rsidRPr="00A376CD" w:rsidP="00A376CD">
            <w:pPr>
              <w:pStyle w:val="ListBullet"/>
            </w:pPr>
            <w:r w:rsidRPr="00A376CD">
              <w:t>becoming entangled in overhead wires</w:t>
            </w:r>
          </w:p>
          <w:p w:rsidR="00000000" w:rsidP="00A376CD">
            <w:pPr>
              <w:pStyle w:val="ListBullet"/>
              <w:rPr>
                <w:lang w:val="en-NZ"/>
              </w:rPr>
            </w:pPr>
            <w:r w:rsidRPr="00A376CD">
              <w:t>temporarily contacting overhead wires and causing no apparent damage.</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rPr>
                <w:rStyle w:val="BoldandItalics"/>
              </w:rPr>
              <w:t xml:space="preserve">Exiting safely </w:t>
            </w:r>
            <w:r w:rsidRPr="00A376CD">
              <w:rPr>
                <w:rStyle w:val="SpecialBold"/>
              </w:rPr>
              <w:t xml:space="preserve">from a vehicle </w:t>
            </w:r>
            <w:r w:rsidRPr="00A376CD">
              <w:t>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ListBullet"/>
            </w:pPr>
            <w:r w:rsidRPr="00A376CD">
              <w:t>ground and vehicle are not touched at same time when exiting</w:t>
            </w:r>
          </w:p>
          <w:p w:rsidR="00000000" w:rsidRPr="00A376CD" w:rsidP="00A376CD">
            <w:pPr>
              <w:pStyle w:val="ListBullet"/>
            </w:pPr>
            <w:r w:rsidRPr="00A376CD">
              <w:t>jumping clear of vehicle and landing on fee</w:t>
            </w:r>
            <w:r w:rsidRPr="00A376CD">
              <w:t>t in a stationary position, with feet held closely together</w:t>
            </w:r>
          </w:p>
          <w:p w:rsidR="00000000" w:rsidP="00A376CD">
            <w:pPr>
              <w:pStyle w:val="ListBullet"/>
              <w:rPr>
                <w:lang w:val="en-NZ"/>
              </w:rPr>
            </w:pPr>
            <w:r w:rsidRPr="00A376CD">
              <w:t>with feet held tightly together, a series of small hops (bunny hops) is conducted to be at least 10 metres clear of vehicle and other potentially energised items.</w:t>
            </w:r>
          </w:p>
        </w:tc>
      </w:tr>
      <w:tr w:rsidTr="00A3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CD">
            <w:pPr>
              <w:pStyle w:val="BodyText"/>
              <w:rPr>
                <w:lang w:val="en-NZ"/>
              </w:rPr>
            </w:pPr>
            <w:r w:rsidRPr="00A376CD">
              <w:rPr>
                <w:rStyle w:val="BoldandItalics"/>
              </w:rPr>
              <w:t>Organisation</w:t>
            </w:r>
            <w:r w:rsidRPr="00A376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CD" w:rsidP="00A376CD">
            <w:pPr>
              <w:pStyle w:val="ListBullet"/>
            </w:pPr>
            <w:r w:rsidRPr="00A376CD">
              <w:t>all fo</w:t>
            </w:r>
            <w:r w:rsidRPr="00A376CD">
              <w:t>rms of business enterprises in this context, including:</w:t>
            </w:r>
          </w:p>
          <w:p w:rsidR="00000000" w:rsidRPr="00A376CD" w:rsidP="00A376CD">
            <w:pPr>
              <w:pStyle w:val="ListBullet2"/>
            </w:pPr>
            <w:r w:rsidRPr="00A376CD">
              <w:t>government agencies</w:t>
            </w:r>
          </w:p>
          <w:p w:rsidR="00000000" w:rsidRPr="00A376CD" w:rsidP="00A376CD">
            <w:pPr>
              <w:pStyle w:val="ListBullet2"/>
            </w:pPr>
            <w:r w:rsidRPr="00A376CD">
              <w:t>internal customers</w:t>
            </w:r>
          </w:p>
          <w:p w:rsidR="00000000" w:rsidRPr="00A376CD" w:rsidP="00A376CD">
            <w:pPr>
              <w:pStyle w:val="ListBullet2"/>
            </w:pPr>
            <w:r w:rsidRPr="00A376CD">
              <w:t>local governments and councils</w:t>
            </w:r>
          </w:p>
          <w:p w:rsidR="00000000" w:rsidRPr="00A376CD" w:rsidP="00A376CD">
            <w:pPr>
              <w:pStyle w:val="ListBullet2"/>
            </w:pPr>
            <w:r w:rsidRPr="00A376CD">
              <w:t>private and public companies</w:t>
            </w:r>
          </w:p>
          <w:p w:rsidR="00000000" w:rsidRPr="00A376CD" w:rsidP="00A376CD">
            <w:pPr>
              <w:pStyle w:val="ListBullet2"/>
            </w:pPr>
            <w:r w:rsidRPr="00A376CD">
              <w:t>residents and ratepayers.</w:t>
            </w:r>
          </w:p>
        </w:tc>
      </w:tr>
    </w:tbl>
    <w:p w:rsidR="00000000" w:rsidRPr="00A376CD" w:rsidP="00A376CD">
      <w:pPr>
        <w:pStyle w:val="BodyText"/>
      </w:pPr>
    </w:p>
    <w:p w:rsidR="00000000" w:rsidRPr="00A376CD" w:rsidP="00A376CD">
      <w:pPr>
        <w:pStyle w:val="AllowPageBreak"/>
      </w:pPr>
    </w:p>
    <w:p w:rsidR="00000000" w:rsidRPr="00A376CD" w:rsidP="00A376CD">
      <w:pPr>
        <w:pStyle w:val="Heading1"/>
      </w:pPr>
      <w:bookmarkStart w:id="12" w:name="O_375442"/>
      <w:bookmarkEnd w:id="12"/>
      <w:r w:rsidRPr="00A376CD">
        <w:t>Unit Sector(s)</w:t>
      </w:r>
    </w:p>
    <w:p w:rsidR="00000000" w:rsidRPr="00A376CD" w:rsidP="00A376CD">
      <w:pPr>
        <w:pStyle w:val="BodyText"/>
      </w:pPr>
      <w:r w:rsidRPr="00A376CD">
        <w:t>Waste management</w:t>
      </w:r>
    </w:p>
    <w:p w:rsidR="00000000" w:rsidRPr="00A376CD" w:rsidP="00A376CD">
      <w:pPr>
        <w:pStyle w:val="AllowPageBreak"/>
      </w:pPr>
    </w:p>
    <w:p w:rsidR="00000000" w:rsidRPr="00A376CD" w:rsidP="00A376CD">
      <w:pPr>
        <w:pStyle w:val="Heading1"/>
      </w:pPr>
      <w:bookmarkStart w:id="13" w:name="O_375443"/>
      <w:bookmarkEnd w:id="13"/>
      <w:r w:rsidRPr="00A376CD">
        <w:t>Custom Content Section</w:t>
      </w:r>
    </w:p>
    <w:p w:rsidR="00000000" w:rsidRPr="00A376CD" w:rsidP="00A376CD">
      <w:pPr>
        <w:pStyle w:val="BodyText"/>
      </w:pPr>
      <w:r w:rsidRPr="00A376CD">
        <w:t>Not applicable.</w:t>
      </w:r>
    </w:p>
    <w:p w:rsidR="00000000" w:rsidRPr="00A376CD" w:rsidP="00A376CD"/>
    <w:sectPr w:rsidSect="00A376CD">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F9" w:rsidP="00A376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04F9" w:rsidP="00A376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504F9" w:rsidP="00A376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CD" w:rsidRPr="000504F9" w:rsidP="000504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F9" w:rsidRPr="002D2AF8" w:rsidP="00A376CD">
    <w:pPr>
      <w:pStyle w:val="Header"/>
      <w:framePr w:wrap="around"/>
    </w:pPr>
    <w:r>
      <w:fldChar w:fldCharType="begin"/>
    </w:r>
    <w:r>
      <w:instrText xml:space="preserve"> TITLE   \* MERGEFORMAT </w:instrText>
    </w:r>
    <w:r>
      <w:fldChar w:fldCharType="separate"/>
    </w:r>
    <w:r>
      <w:t>CPPWMT3063A Apply safe operational practices when vehicles contact overhead wires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504F9" w:rsidP="00A376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6E5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0CB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AE8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6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6CD"/>
    <w:pPr>
      <w:spacing w:before="360" w:after="60"/>
      <w:outlineLvl w:val="0"/>
    </w:pPr>
    <w:rPr>
      <w:sz w:val="32"/>
    </w:rPr>
  </w:style>
  <w:style w:type="paragraph" w:styleId="Heading2">
    <w:name w:val="heading 2"/>
    <w:basedOn w:val="HeadingBase"/>
    <w:next w:val="BodyText"/>
    <w:link w:val="Heading2Char"/>
    <w:qFormat/>
    <w:rsid w:val="00A376CD"/>
    <w:pPr>
      <w:keepLines/>
      <w:spacing w:before="240" w:after="120"/>
      <w:outlineLvl w:val="1"/>
    </w:pPr>
    <w:rPr>
      <w:sz w:val="28"/>
      <w:szCs w:val="40"/>
    </w:rPr>
  </w:style>
  <w:style w:type="paragraph" w:styleId="Heading3">
    <w:name w:val="heading 3"/>
    <w:basedOn w:val="HeadingBase"/>
    <w:next w:val="BodyText"/>
    <w:link w:val="Heading3Char"/>
    <w:qFormat/>
    <w:rsid w:val="00A376CD"/>
    <w:pPr>
      <w:spacing w:before="180" w:after="120"/>
      <w:outlineLvl w:val="2"/>
    </w:pPr>
    <w:rPr>
      <w:spacing w:val="-10"/>
      <w:kern w:val="32"/>
    </w:rPr>
  </w:style>
  <w:style w:type="paragraph" w:styleId="Heading4">
    <w:name w:val="heading 4"/>
    <w:basedOn w:val="HeadingBase"/>
    <w:next w:val="BodyText"/>
    <w:link w:val="Heading4Char"/>
    <w:qFormat/>
    <w:rsid w:val="00A376CD"/>
    <w:pPr>
      <w:spacing w:before="160" w:after="120"/>
      <w:outlineLvl w:val="3"/>
    </w:pPr>
    <w:rPr>
      <w:sz w:val="22"/>
    </w:rPr>
  </w:style>
  <w:style w:type="paragraph" w:styleId="Heading5">
    <w:name w:val="heading 5"/>
    <w:basedOn w:val="HeadingBase"/>
    <w:next w:val="Normal"/>
    <w:link w:val="Heading5Char"/>
    <w:qFormat/>
    <w:rsid w:val="00A376CD"/>
    <w:pPr>
      <w:spacing w:before="80"/>
      <w:outlineLvl w:val="4"/>
    </w:pPr>
    <w:rPr>
      <w:color w:val="918585"/>
      <w:sz w:val="20"/>
    </w:rPr>
  </w:style>
  <w:style w:type="paragraph" w:styleId="Heading6">
    <w:name w:val="heading 6"/>
    <w:basedOn w:val="HeadingBase"/>
    <w:next w:val="Normal"/>
    <w:link w:val="Heading6Char"/>
    <w:qFormat/>
    <w:rsid w:val="00A376CD"/>
    <w:pPr>
      <w:spacing w:before="60"/>
      <w:outlineLvl w:val="5"/>
    </w:pPr>
    <w:rPr>
      <w:color w:val="918585"/>
      <w:sz w:val="20"/>
    </w:rPr>
  </w:style>
  <w:style w:type="paragraph" w:styleId="Heading7">
    <w:name w:val="heading 7"/>
    <w:basedOn w:val="Normal"/>
    <w:next w:val="Normal"/>
    <w:link w:val="Heading7Char"/>
    <w:qFormat/>
    <w:rsid w:val="00A376CD"/>
    <w:pPr>
      <w:ind w:left="720"/>
      <w:outlineLvl w:val="6"/>
    </w:pPr>
    <w:rPr>
      <w:i/>
    </w:rPr>
  </w:style>
  <w:style w:type="paragraph" w:styleId="Heading8">
    <w:name w:val="heading 8"/>
    <w:basedOn w:val="Normal"/>
    <w:next w:val="Normal"/>
    <w:link w:val="Heading8Char"/>
    <w:qFormat/>
    <w:rsid w:val="00A376CD"/>
    <w:pPr>
      <w:ind w:left="720"/>
      <w:outlineLvl w:val="7"/>
    </w:pPr>
    <w:rPr>
      <w:i/>
    </w:rPr>
  </w:style>
  <w:style w:type="paragraph" w:styleId="Heading9">
    <w:name w:val="heading 9"/>
    <w:basedOn w:val="Normal"/>
    <w:next w:val="Normal"/>
    <w:link w:val="Heading9Char"/>
    <w:qFormat/>
    <w:rsid w:val="00A376CD"/>
    <w:pPr>
      <w:ind w:left="720"/>
      <w:outlineLvl w:val="8"/>
    </w:pPr>
    <w:rPr>
      <w:i/>
    </w:rPr>
  </w:style>
  <w:style w:type="character" w:default="1" w:styleId="DefaultParagraphFont">
    <w:name w:val="Default Paragraph Font"/>
    <w:uiPriority w:val="1"/>
    <w:unhideWhenUsed/>
    <w:rsid w:val="00A37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6CD"/>
  </w:style>
  <w:style w:type="character" w:customStyle="1" w:styleId="Heading1Char">
    <w:name w:val="Heading 1 Char"/>
    <w:basedOn w:val="DefaultParagraphFont"/>
    <w:link w:val="Heading1"/>
    <w:rsid w:val="00A376CD"/>
    <w:rPr>
      <w:rFonts w:ascii="Times New Roman" w:eastAsia="Times New Roman" w:hAnsi="Times New Roman" w:cs="Times New Roman"/>
      <w:b/>
      <w:sz w:val="32"/>
      <w:szCs w:val="20"/>
      <w:lang w:eastAsia="en-US"/>
    </w:rPr>
  </w:style>
  <w:style w:type="paragraph" w:styleId="BodyText">
    <w:name w:val="Body Text"/>
    <w:basedOn w:val="Normal"/>
    <w:link w:val="BodyTextChar"/>
    <w:rsid w:val="00A376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76CD"/>
    <w:rPr>
      <w:rFonts w:ascii="Times New Roman" w:eastAsia="Times New Roman" w:hAnsi="Times New Roman" w:cs="Times New Roman"/>
      <w:sz w:val="24"/>
      <w:lang w:eastAsia="en-US"/>
    </w:rPr>
  </w:style>
  <w:style w:type="paragraph" w:styleId="Footer">
    <w:name w:val="footer"/>
    <w:basedOn w:val="Normal"/>
    <w:link w:val="FooterChar"/>
    <w:rsid w:val="00A37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6CD"/>
    <w:rPr>
      <w:rFonts w:ascii="Times New Roman" w:eastAsia="Times New Roman" w:hAnsi="Times New Roman" w:cs="Times New Roman"/>
      <w:sz w:val="16"/>
      <w:lang w:eastAsia="en-US"/>
    </w:rPr>
  </w:style>
  <w:style w:type="paragraph" w:styleId="ListBullet">
    <w:name w:val="List Bullet"/>
    <w:basedOn w:val="List"/>
    <w:rsid w:val="00A376CD"/>
    <w:pPr>
      <w:numPr>
        <w:numId w:val="13"/>
      </w:numPr>
      <w:tabs>
        <w:tab w:val="clear" w:pos="340"/>
      </w:tabs>
      <w:spacing w:before="40" w:after="40"/>
    </w:pPr>
  </w:style>
  <w:style w:type="character" w:customStyle="1" w:styleId="SpecialBold">
    <w:name w:val="Special Bold"/>
    <w:basedOn w:val="DefaultParagraphFont"/>
    <w:rsid w:val="00A376CD"/>
    <w:rPr>
      <w:b/>
      <w:spacing w:val="0"/>
    </w:rPr>
  </w:style>
  <w:style w:type="paragraph" w:styleId="ListBullet2">
    <w:name w:val="List Bullet 2"/>
    <w:basedOn w:val="List2"/>
    <w:rsid w:val="00A376CD"/>
    <w:pPr>
      <w:numPr>
        <w:numId w:val="14"/>
      </w:numPr>
      <w:tabs>
        <w:tab w:val="clear" w:pos="680"/>
      </w:tabs>
    </w:pPr>
  </w:style>
  <w:style w:type="paragraph" w:customStyle="1" w:styleId="SuperHeading">
    <w:name w:val="SuperHeading"/>
    <w:basedOn w:val="Normal"/>
    <w:rsid w:val="00A376CD"/>
    <w:pPr>
      <w:spacing w:before="240" w:after="120"/>
      <w:outlineLvl w:val="0"/>
    </w:pPr>
    <w:rPr>
      <w:rFonts w:ascii="Times New Roman" w:hAnsi="Times New Roman"/>
      <w:b/>
      <w:sz w:val="28"/>
    </w:rPr>
  </w:style>
  <w:style w:type="paragraph" w:customStyle="1" w:styleId="AllowPageBreak">
    <w:name w:val="AllowPageBreak"/>
    <w:rsid w:val="00A376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76CD"/>
    <w:rPr>
      <w:b/>
      <w:i/>
      <w:u w:val="none"/>
    </w:rPr>
  </w:style>
  <w:style w:type="character" w:customStyle="1" w:styleId="Heading2Char">
    <w:name w:val="Heading 2 Char"/>
    <w:basedOn w:val="DefaultParagraphFont"/>
    <w:link w:val="Heading2"/>
    <w:rsid w:val="00A37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6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6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6CD"/>
    <w:rPr>
      <w:rFonts w:ascii="Courier New" w:eastAsia="Times New Roman" w:hAnsi="Courier New" w:cs="Times New Roman"/>
      <w:i/>
      <w:szCs w:val="20"/>
      <w:lang w:eastAsia="en-US"/>
    </w:rPr>
  </w:style>
  <w:style w:type="paragraph" w:customStyle="1" w:styleId="HeadingBase">
    <w:name w:val="Heading Base"/>
    <w:rsid w:val="00A37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6CD"/>
    <w:pPr>
      <w:tabs>
        <w:tab w:val="right" w:leader="dot" w:pos="9072"/>
      </w:tabs>
      <w:ind w:left="567"/>
    </w:pPr>
    <w:rPr>
      <w:szCs w:val="22"/>
    </w:rPr>
  </w:style>
  <w:style w:type="paragraph" w:customStyle="1" w:styleId="TOCBase">
    <w:name w:val="TOC Base"/>
    <w:rsid w:val="00A37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6CD"/>
    <w:pPr>
      <w:tabs>
        <w:tab w:val="right" w:leader="dot" w:pos="9072"/>
      </w:tabs>
      <w:spacing w:before="40" w:after="40"/>
      <w:ind w:left="284"/>
    </w:pPr>
    <w:rPr>
      <w:rFonts w:ascii="Times New Roman" w:hAnsi="Times New Roman"/>
    </w:rPr>
  </w:style>
  <w:style w:type="paragraph" w:styleId="TOC1">
    <w:name w:val="toc 1"/>
    <w:basedOn w:val="TOCBase"/>
    <w:next w:val="Normal"/>
    <w:rsid w:val="00A376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76CD"/>
    <w:pPr>
      <w:spacing w:before="5040"/>
      <w:jc w:val="center"/>
    </w:pPr>
    <w:rPr>
      <w:sz w:val="48"/>
      <w:szCs w:val="72"/>
      <w:lang w:val="en-US"/>
    </w:rPr>
  </w:style>
  <w:style w:type="character" w:customStyle="1" w:styleId="TitleChar">
    <w:name w:val="Title Char"/>
    <w:basedOn w:val="DefaultParagraphFont"/>
    <w:link w:val="Title"/>
    <w:rsid w:val="00A37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6CD"/>
    <w:pPr>
      <w:tabs>
        <w:tab w:val="left" w:pos="3600"/>
        <w:tab w:val="left" w:pos="3958"/>
      </w:tabs>
    </w:pPr>
  </w:style>
  <w:style w:type="paragraph" w:styleId="List">
    <w:name w:val="List"/>
    <w:basedOn w:val="BodyText"/>
    <w:next w:val="BodyText"/>
    <w:rsid w:val="00A376CD"/>
    <w:pPr>
      <w:tabs>
        <w:tab w:val="left" w:pos="340"/>
      </w:tabs>
      <w:spacing w:before="60" w:after="60"/>
      <w:ind w:left="340" w:hanging="340"/>
    </w:pPr>
  </w:style>
  <w:style w:type="paragraph" w:customStyle="1" w:styleId="Note">
    <w:name w:val="Note"/>
    <w:basedOn w:val="BodyText"/>
    <w:rsid w:val="00A37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6CD"/>
    <w:pPr>
      <w:framePr w:wrap="auto" w:hAnchor="text" w:y="6049"/>
    </w:pPr>
    <w:rPr>
      <w:color w:val="000000"/>
      <w:sz w:val="40"/>
    </w:rPr>
  </w:style>
  <w:style w:type="paragraph" w:customStyle="1" w:styleId="TOCTitle">
    <w:name w:val="TOCTitle"/>
    <w:basedOn w:val="Heading1"/>
    <w:rsid w:val="00A376CD"/>
    <w:pPr>
      <w:spacing w:after="240"/>
      <w:jc w:val="center"/>
      <w:outlineLvl w:val="9"/>
    </w:pPr>
    <w:rPr>
      <w:caps/>
    </w:rPr>
  </w:style>
  <w:style w:type="paragraph" w:customStyle="1" w:styleId="Version">
    <w:name w:val="Version"/>
    <w:rsid w:val="00A376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6CD"/>
    <w:pPr>
      <w:keepNext w:val="0"/>
      <w:tabs>
        <w:tab w:val="right" w:pos="4176"/>
      </w:tabs>
      <w:ind w:left="198" w:hanging="198"/>
    </w:pPr>
    <w:rPr>
      <w:rFonts w:ascii="Garamond" w:hAnsi="Garamond"/>
    </w:rPr>
  </w:style>
  <w:style w:type="paragraph" w:styleId="IndexHeading">
    <w:name w:val="index heading"/>
    <w:basedOn w:val="Normal"/>
    <w:next w:val="Index1"/>
    <w:semiHidden/>
    <w:rsid w:val="00A376CD"/>
    <w:pPr>
      <w:spacing w:before="120" w:after="120"/>
    </w:pPr>
    <w:rPr>
      <w:rFonts w:ascii="Arial" w:hAnsi="Arial"/>
      <w:b/>
      <w:color w:val="918585"/>
      <w:sz w:val="24"/>
    </w:rPr>
  </w:style>
  <w:style w:type="paragraph" w:styleId="Header">
    <w:name w:val="header"/>
    <w:basedOn w:val="Normal"/>
    <w:link w:val="HeaderChar"/>
    <w:rsid w:val="00A37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6CD"/>
    <w:rPr>
      <w:rFonts w:ascii="Times New Roman" w:eastAsia="Times New Roman" w:hAnsi="Times New Roman" w:cs="Times New Roman"/>
      <w:sz w:val="16"/>
      <w:szCs w:val="20"/>
      <w:lang w:val="en-GB" w:eastAsia="en-US"/>
    </w:rPr>
  </w:style>
  <w:style w:type="paragraph" w:customStyle="1" w:styleId="Chapter">
    <w:name w:val="Chapter"/>
    <w:basedOn w:val="Normal"/>
    <w:rsid w:val="00A376CD"/>
    <w:pPr>
      <w:spacing w:before="240"/>
    </w:pPr>
    <w:rPr>
      <w:rFonts w:ascii="Times New Roman" w:hAnsi="Times New Roman"/>
      <w:smallCaps/>
      <w:spacing w:val="80"/>
      <w:sz w:val="28"/>
    </w:rPr>
  </w:style>
  <w:style w:type="paragraph" w:customStyle="1" w:styleId="InChapter">
    <w:name w:val="InChapter"/>
    <w:basedOn w:val="Heading3"/>
    <w:rsid w:val="00A376CD"/>
    <w:pPr>
      <w:spacing w:after="240"/>
      <w:outlineLvl w:val="9"/>
    </w:pPr>
    <w:rPr>
      <w:noProof/>
    </w:rPr>
  </w:style>
  <w:style w:type="paragraph" w:styleId="Index2">
    <w:name w:val="index 2"/>
    <w:basedOn w:val="Normal"/>
    <w:next w:val="Normal"/>
    <w:semiHidden/>
    <w:rsid w:val="00A376CD"/>
    <w:pPr>
      <w:tabs>
        <w:tab w:val="right" w:pos="4176"/>
      </w:tabs>
      <w:ind w:left="568" w:hanging="284"/>
    </w:pPr>
    <w:rPr>
      <w:rFonts w:ascii="Garamond" w:hAnsi="Garamond"/>
    </w:rPr>
  </w:style>
  <w:style w:type="paragraph" w:customStyle="1" w:styleId="Byline">
    <w:name w:val="Byline"/>
    <w:rsid w:val="00A37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6CD"/>
    <w:pPr>
      <w:tabs>
        <w:tab w:val="clear" w:pos="3600"/>
        <w:tab w:val="clear" w:pos="3958"/>
      </w:tabs>
      <w:jc w:val="right"/>
    </w:pPr>
  </w:style>
  <w:style w:type="character" w:styleId="Emphasis">
    <w:name w:val="Emphasis"/>
    <w:basedOn w:val="DefaultParagraphFont"/>
    <w:qFormat/>
    <w:rsid w:val="00A376CD"/>
    <w:rPr>
      <w:i/>
    </w:rPr>
  </w:style>
  <w:style w:type="paragraph" w:styleId="Caption">
    <w:name w:val="caption"/>
    <w:basedOn w:val="BodyText"/>
    <w:next w:val="Normal"/>
    <w:qFormat/>
    <w:rsid w:val="00A376CD"/>
    <w:pPr>
      <w:framePr w:w="2268" w:hSpace="181" w:vSpace="181" w:wrap="around" w:vAnchor="text" w:hAnchor="page" w:x="1135" w:y="285" w:anchorLock="1"/>
    </w:pPr>
    <w:rPr>
      <w:i/>
    </w:rPr>
  </w:style>
  <w:style w:type="paragraph" w:customStyle="1" w:styleId="MiniTOCTitle">
    <w:name w:val="MiniTOCTitle"/>
    <w:basedOn w:val="Heading4"/>
    <w:rsid w:val="00A376CD"/>
    <w:pPr>
      <w:spacing w:before="240"/>
      <w:outlineLvl w:val="9"/>
    </w:pPr>
    <w:rPr>
      <w:noProof/>
      <w:sz w:val="24"/>
    </w:rPr>
  </w:style>
  <w:style w:type="paragraph" w:customStyle="1" w:styleId="MiniTOCItem">
    <w:name w:val="MiniTOCItem"/>
    <w:basedOn w:val="ListBullet"/>
    <w:rsid w:val="00A376CD"/>
    <w:pPr>
      <w:numPr>
        <w:numId w:val="0"/>
      </w:numPr>
      <w:tabs>
        <w:tab w:val="right" w:leader="dot" w:pos="6521"/>
      </w:tabs>
      <w:spacing w:before="0" w:after="0"/>
    </w:pPr>
  </w:style>
  <w:style w:type="paragraph" w:customStyle="1" w:styleId="TOFTitle">
    <w:name w:val="TOFTitle"/>
    <w:basedOn w:val="TOCTitle"/>
    <w:rsid w:val="00A376CD"/>
  </w:style>
  <w:style w:type="paragraph" w:styleId="TableofFigures">
    <w:name w:val="table of figures"/>
    <w:basedOn w:val="Normal"/>
    <w:next w:val="Normal"/>
    <w:semiHidden/>
    <w:rsid w:val="00A376CD"/>
    <w:pPr>
      <w:tabs>
        <w:tab w:val="right" w:leader="dot" w:pos="9072"/>
      </w:tabs>
      <w:ind w:left="970" w:hanging="403"/>
    </w:pPr>
    <w:rPr>
      <w:rFonts w:ascii="Times New Roman" w:hAnsi="Times New Roman"/>
      <w:b/>
    </w:rPr>
  </w:style>
  <w:style w:type="paragraph" w:styleId="ListNumber">
    <w:name w:val="List Number"/>
    <w:basedOn w:val="List"/>
    <w:rsid w:val="00A376CD"/>
    <w:pPr>
      <w:numPr>
        <w:numId w:val="11"/>
      </w:numPr>
    </w:pPr>
  </w:style>
  <w:style w:type="character" w:customStyle="1" w:styleId="WingdingSymbols">
    <w:name w:val="Wingding Symbols"/>
    <w:rsid w:val="00A376CD"/>
    <w:rPr>
      <w:rFonts w:ascii="Wingdings" w:hAnsi="Wingdings"/>
    </w:rPr>
  </w:style>
  <w:style w:type="paragraph" w:customStyle="1" w:styleId="TableHeading">
    <w:name w:val="Table Heading"/>
    <w:basedOn w:val="HeadingBase"/>
    <w:rsid w:val="00A376CD"/>
    <w:pPr>
      <w:keepLines/>
      <w:pBdr>
        <w:bottom w:val="single" w:sz="6" w:space="1" w:color="918585"/>
      </w:pBdr>
      <w:spacing w:before="240"/>
    </w:pPr>
  </w:style>
  <w:style w:type="character" w:customStyle="1" w:styleId="HotSpot">
    <w:name w:val="HotSpot"/>
    <w:rsid w:val="00A376CD"/>
    <w:rPr>
      <w:color w:val="0033CC"/>
      <w:u w:val="none"/>
    </w:rPr>
  </w:style>
  <w:style w:type="paragraph" w:customStyle="1" w:styleId="BodyTextRight">
    <w:name w:val="Body Text Right"/>
    <w:basedOn w:val="BodyText"/>
    <w:rsid w:val="00A376CD"/>
    <w:pPr>
      <w:spacing w:before="0" w:after="0"/>
      <w:jc w:val="right"/>
    </w:pPr>
  </w:style>
  <w:style w:type="paragraph" w:styleId="Index3">
    <w:name w:val="index 3"/>
    <w:basedOn w:val="ListNumber2"/>
    <w:next w:val="Normal"/>
    <w:semiHidden/>
    <w:rsid w:val="00A376CD"/>
    <w:pPr>
      <w:numPr>
        <w:numId w:val="0"/>
      </w:numPr>
      <w:tabs>
        <w:tab w:val="right" w:leader="dot" w:pos="4176"/>
      </w:tabs>
    </w:pPr>
  </w:style>
  <w:style w:type="paragraph" w:styleId="ListNumber2">
    <w:name w:val="List Number 2"/>
    <w:basedOn w:val="List2"/>
    <w:rsid w:val="00A376CD"/>
    <w:pPr>
      <w:numPr>
        <w:numId w:val="10"/>
      </w:numPr>
      <w:tabs>
        <w:tab w:val="clear" w:pos="1060"/>
      </w:tabs>
    </w:pPr>
  </w:style>
  <w:style w:type="paragraph" w:customStyle="1" w:styleId="MarginNote">
    <w:name w:val="Margin Note"/>
    <w:basedOn w:val="BodyText"/>
    <w:rsid w:val="00A37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6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6CD"/>
    <w:rPr>
      <w:sz w:val="32"/>
    </w:rPr>
  </w:style>
  <w:style w:type="paragraph" w:customStyle="1" w:styleId="HeadingProcedure">
    <w:name w:val="Heading Procedure"/>
    <w:basedOn w:val="HeadingBase"/>
    <w:next w:val="Normal"/>
    <w:rsid w:val="00A376CD"/>
    <w:pPr>
      <w:tabs>
        <w:tab w:val="left" w:pos="0"/>
      </w:tabs>
      <w:spacing w:before="120" w:after="60"/>
    </w:pPr>
    <w:rPr>
      <w:i/>
      <w:color w:val="918585"/>
      <w:sz w:val="22"/>
    </w:rPr>
  </w:style>
  <w:style w:type="paragraph" w:customStyle="1" w:styleId="TableBodyText">
    <w:name w:val="Table Body Text"/>
    <w:basedOn w:val="BodyText"/>
    <w:rsid w:val="00A376CD"/>
    <w:pPr>
      <w:spacing w:before="60" w:after="60"/>
    </w:pPr>
  </w:style>
  <w:style w:type="paragraph" w:styleId="ListContinue">
    <w:name w:val="List Continue"/>
    <w:basedOn w:val="List"/>
    <w:rsid w:val="00A376CD"/>
    <w:pPr>
      <w:ind w:firstLine="0"/>
    </w:pPr>
  </w:style>
  <w:style w:type="paragraph" w:customStyle="1" w:styleId="ListNote">
    <w:name w:val="List Note"/>
    <w:basedOn w:val="List"/>
    <w:rsid w:val="00A376CD"/>
    <w:pPr>
      <w:pBdr>
        <w:top w:val="single" w:sz="6" w:space="2" w:color="918585"/>
        <w:bottom w:val="single" w:sz="6" w:space="2" w:color="918585"/>
      </w:pBdr>
      <w:tabs>
        <w:tab w:val="left" w:pos="1021"/>
      </w:tabs>
      <w:ind w:firstLine="0"/>
    </w:pPr>
  </w:style>
  <w:style w:type="paragraph" w:customStyle="1" w:styleId="Warning">
    <w:name w:val="Warning"/>
    <w:basedOn w:val="BodyText"/>
    <w:rsid w:val="00A376CD"/>
    <w:pPr>
      <w:shd w:val="clear" w:color="auto" w:fill="D9D9D9"/>
      <w:tabs>
        <w:tab w:val="left" w:pos="992"/>
      </w:tabs>
      <w:ind w:left="119" w:right="119"/>
    </w:pPr>
    <w:rPr>
      <w:sz w:val="20"/>
    </w:rPr>
  </w:style>
  <w:style w:type="paragraph" w:customStyle="1" w:styleId="MarginIcons">
    <w:name w:val="Margin Icons"/>
    <w:basedOn w:val="BodyText"/>
    <w:rsid w:val="00A37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6CD"/>
    <w:rPr>
      <w:rFonts w:ascii="Courier New" w:hAnsi="Courier New"/>
    </w:rPr>
  </w:style>
  <w:style w:type="paragraph" w:customStyle="1" w:styleId="NoteBullet">
    <w:name w:val="Note Bullet"/>
    <w:basedOn w:val="Note"/>
    <w:rsid w:val="00A376CD"/>
    <w:pPr>
      <w:tabs>
        <w:tab w:val="clear" w:pos="680"/>
      </w:tabs>
      <w:spacing w:before="60" w:after="60"/>
    </w:pPr>
  </w:style>
  <w:style w:type="paragraph" w:customStyle="1" w:styleId="SubHeading2">
    <w:name w:val="SubHeading2"/>
    <w:basedOn w:val="HeadingBase"/>
    <w:rsid w:val="00A376CD"/>
    <w:pPr>
      <w:spacing w:before="240" w:after="60"/>
    </w:pPr>
    <w:rPr>
      <w:sz w:val="20"/>
    </w:rPr>
  </w:style>
  <w:style w:type="paragraph" w:customStyle="1" w:styleId="SubHeading1">
    <w:name w:val="SubHeading1"/>
    <w:basedOn w:val="HeadingBase"/>
    <w:rsid w:val="00A376CD"/>
    <w:pPr>
      <w:spacing w:before="240" w:after="60"/>
    </w:pPr>
    <w:rPr>
      <w:color w:val="918585"/>
      <w:sz w:val="22"/>
    </w:rPr>
  </w:style>
  <w:style w:type="paragraph" w:customStyle="1" w:styleId="SideHeading">
    <w:name w:val="Side Heading"/>
    <w:basedOn w:val="HeadingBase"/>
    <w:rsid w:val="00A37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6CD"/>
    <w:pPr>
      <w:numPr>
        <w:numId w:val="12"/>
      </w:numPr>
    </w:pPr>
  </w:style>
  <w:style w:type="paragraph" w:styleId="PlainText">
    <w:name w:val="Plain Text"/>
    <w:basedOn w:val="Normal"/>
    <w:link w:val="PlainTextChar"/>
    <w:rsid w:val="00A376CD"/>
    <w:rPr>
      <w:sz w:val="20"/>
    </w:rPr>
  </w:style>
  <w:style w:type="character" w:customStyle="1" w:styleId="PlainTextChar">
    <w:name w:val="Plain Text Char"/>
    <w:basedOn w:val="DefaultParagraphFont"/>
    <w:link w:val="PlainText"/>
    <w:rsid w:val="00A376CD"/>
    <w:rPr>
      <w:rFonts w:ascii="Courier New" w:eastAsia="Times New Roman" w:hAnsi="Courier New" w:cs="Times New Roman"/>
      <w:sz w:val="20"/>
      <w:szCs w:val="20"/>
      <w:lang w:eastAsia="en-US"/>
    </w:rPr>
  </w:style>
  <w:style w:type="character" w:customStyle="1" w:styleId="MenuOption">
    <w:name w:val="Menu Option"/>
    <w:basedOn w:val="DefaultParagraphFont"/>
    <w:rsid w:val="00A376CD"/>
    <w:rPr>
      <w:b/>
      <w:smallCaps/>
    </w:rPr>
  </w:style>
  <w:style w:type="paragraph" w:customStyle="1" w:styleId="TableListNumber">
    <w:name w:val="Table List Number"/>
    <w:basedOn w:val="ListNumber"/>
    <w:rsid w:val="00A376CD"/>
    <w:pPr>
      <w:numPr>
        <w:numId w:val="0"/>
      </w:numPr>
    </w:pPr>
  </w:style>
  <w:style w:type="paragraph" w:styleId="TOC4">
    <w:name w:val="toc 4"/>
    <w:basedOn w:val="TOCBase"/>
    <w:next w:val="Normal"/>
    <w:semiHidden/>
    <w:rsid w:val="00A376CD"/>
    <w:pPr>
      <w:tabs>
        <w:tab w:val="right" w:leader="dot" w:pos="9071"/>
      </w:tabs>
      <w:ind w:left="1701"/>
    </w:pPr>
  </w:style>
  <w:style w:type="paragraph" w:customStyle="1" w:styleId="ListAlpha">
    <w:name w:val="List Alpha"/>
    <w:basedOn w:val="List"/>
    <w:rsid w:val="00A376CD"/>
    <w:pPr>
      <w:numPr>
        <w:numId w:val="9"/>
      </w:numPr>
    </w:pPr>
  </w:style>
  <w:style w:type="paragraph" w:customStyle="1" w:styleId="ListAlpha2">
    <w:name w:val="List Alpha 2"/>
    <w:basedOn w:val="List2"/>
    <w:rsid w:val="00A376CD"/>
    <w:pPr>
      <w:numPr>
        <w:numId w:val="8"/>
      </w:numPr>
    </w:pPr>
  </w:style>
  <w:style w:type="paragraph" w:styleId="List2">
    <w:name w:val="List 2"/>
    <w:basedOn w:val="BodyText"/>
    <w:rsid w:val="00A376CD"/>
    <w:pPr>
      <w:tabs>
        <w:tab w:val="left" w:pos="680"/>
      </w:tabs>
      <w:spacing w:before="60" w:after="60"/>
      <w:ind w:left="680" w:hanging="340"/>
    </w:pPr>
  </w:style>
  <w:style w:type="paragraph" w:styleId="List3">
    <w:name w:val="List 3"/>
    <w:basedOn w:val="BodyText"/>
    <w:rsid w:val="00A376CD"/>
    <w:pPr>
      <w:tabs>
        <w:tab w:val="left" w:pos="1021"/>
      </w:tabs>
      <w:spacing w:before="60" w:after="60"/>
      <w:ind w:left="1020" w:hanging="340"/>
    </w:pPr>
  </w:style>
  <w:style w:type="paragraph" w:styleId="List4">
    <w:name w:val="List 4"/>
    <w:basedOn w:val="BodyText"/>
    <w:rsid w:val="00A376CD"/>
    <w:pPr>
      <w:tabs>
        <w:tab w:val="left" w:pos="1361"/>
      </w:tabs>
      <w:spacing w:before="60" w:after="60"/>
      <w:ind w:left="1361" w:hanging="340"/>
    </w:pPr>
  </w:style>
  <w:style w:type="paragraph" w:styleId="List5">
    <w:name w:val="List 5"/>
    <w:basedOn w:val="BodyText"/>
    <w:rsid w:val="00A376CD"/>
    <w:pPr>
      <w:tabs>
        <w:tab w:val="left" w:pos="1701"/>
      </w:tabs>
      <w:spacing w:before="60" w:after="60"/>
      <w:ind w:left="1701" w:hanging="340"/>
    </w:pPr>
  </w:style>
  <w:style w:type="paragraph" w:styleId="ListBullet3">
    <w:name w:val="List Bullet 3"/>
    <w:basedOn w:val="List3"/>
    <w:rsid w:val="00A376CD"/>
    <w:pPr>
      <w:numPr>
        <w:numId w:val="15"/>
      </w:numPr>
      <w:tabs>
        <w:tab w:val="clear" w:pos="1021"/>
      </w:tabs>
      <w:ind w:left="1037" w:hanging="357"/>
    </w:pPr>
  </w:style>
  <w:style w:type="paragraph" w:styleId="ListBullet4">
    <w:name w:val="List Bullet 4"/>
    <w:basedOn w:val="List4"/>
    <w:rsid w:val="00A376CD"/>
    <w:pPr>
      <w:numPr>
        <w:numId w:val="3"/>
      </w:numPr>
    </w:pPr>
  </w:style>
  <w:style w:type="paragraph" w:styleId="ListBullet5">
    <w:name w:val="List Bullet 5"/>
    <w:basedOn w:val="List5"/>
    <w:rsid w:val="00A376CD"/>
    <w:pPr>
      <w:numPr>
        <w:numId w:val="4"/>
      </w:numPr>
    </w:pPr>
  </w:style>
  <w:style w:type="paragraph" w:styleId="ListContinue2">
    <w:name w:val="List Continue 2"/>
    <w:basedOn w:val="List2"/>
    <w:rsid w:val="00A376CD"/>
    <w:pPr>
      <w:ind w:firstLine="0"/>
    </w:pPr>
  </w:style>
  <w:style w:type="paragraph" w:styleId="ListContinue3">
    <w:name w:val="List Continue 3"/>
    <w:basedOn w:val="List3"/>
    <w:rsid w:val="00A376CD"/>
    <w:pPr>
      <w:ind w:left="1021" w:firstLine="0"/>
    </w:pPr>
  </w:style>
  <w:style w:type="paragraph" w:styleId="ListContinue4">
    <w:name w:val="List Continue 4"/>
    <w:basedOn w:val="List4"/>
    <w:rsid w:val="00A376CD"/>
    <w:pPr>
      <w:ind w:firstLine="0"/>
    </w:pPr>
  </w:style>
  <w:style w:type="paragraph" w:styleId="ListContinue5">
    <w:name w:val="List Continue 5"/>
    <w:basedOn w:val="List5"/>
    <w:rsid w:val="00A376CD"/>
    <w:pPr>
      <w:ind w:firstLine="0"/>
    </w:pPr>
  </w:style>
  <w:style w:type="paragraph" w:styleId="ListNumber3">
    <w:name w:val="List Number 3"/>
    <w:basedOn w:val="List3"/>
    <w:rsid w:val="00A376CD"/>
    <w:pPr>
      <w:numPr>
        <w:numId w:val="5"/>
      </w:numPr>
    </w:pPr>
  </w:style>
  <w:style w:type="paragraph" w:styleId="ListNumber4">
    <w:name w:val="List Number 4"/>
    <w:basedOn w:val="List4"/>
    <w:rsid w:val="00A376CD"/>
    <w:pPr>
      <w:numPr>
        <w:numId w:val="6"/>
      </w:numPr>
    </w:pPr>
  </w:style>
  <w:style w:type="paragraph" w:styleId="ListNumber5">
    <w:name w:val="List Number 5"/>
    <w:basedOn w:val="List5"/>
    <w:rsid w:val="00A376CD"/>
    <w:pPr>
      <w:numPr>
        <w:numId w:val="7"/>
      </w:numPr>
    </w:pPr>
  </w:style>
  <w:style w:type="paragraph" w:styleId="BlockText">
    <w:name w:val="Block Text"/>
    <w:basedOn w:val="Normal"/>
    <w:rsid w:val="00A376CD"/>
    <w:pPr>
      <w:spacing w:after="120"/>
      <w:ind w:left="1440" w:right="1440"/>
    </w:pPr>
  </w:style>
  <w:style w:type="character" w:customStyle="1" w:styleId="Subscript">
    <w:name w:val="Subscript"/>
    <w:basedOn w:val="DefaultParagraphFont"/>
    <w:rsid w:val="00A376CD"/>
    <w:rPr>
      <w:sz w:val="16"/>
      <w:vertAlign w:val="subscript"/>
    </w:rPr>
  </w:style>
  <w:style w:type="character" w:customStyle="1" w:styleId="Superscript">
    <w:name w:val="Superscript"/>
    <w:basedOn w:val="DefaultParagraphFont"/>
    <w:rsid w:val="00A376CD"/>
    <w:rPr>
      <w:sz w:val="16"/>
      <w:vertAlign w:val="superscript"/>
    </w:rPr>
  </w:style>
  <w:style w:type="character" w:customStyle="1" w:styleId="Symbols">
    <w:name w:val="Symbols"/>
    <w:basedOn w:val="DefaultParagraphFont"/>
    <w:rsid w:val="00A376CD"/>
    <w:rPr>
      <w:rFonts w:ascii="Symbol" w:hAnsi="Symbol"/>
    </w:rPr>
  </w:style>
  <w:style w:type="character" w:customStyle="1" w:styleId="MenuOptions">
    <w:name w:val="Menu Options"/>
    <w:basedOn w:val="DefaultParagraphFont"/>
    <w:rsid w:val="00A376CD"/>
    <w:rPr>
      <w:rFonts w:ascii="Arial Narrow" w:hAnsi="Arial Narrow"/>
      <w:smallCaps/>
    </w:rPr>
  </w:style>
  <w:style w:type="character" w:customStyle="1" w:styleId="Buttons">
    <w:name w:val="Buttons"/>
    <w:basedOn w:val="DefaultParagraphFont"/>
    <w:rsid w:val="00A376CD"/>
    <w:rPr>
      <w:b/>
    </w:rPr>
  </w:style>
  <w:style w:type="character" w:customStyle="1" w:styleId="Underlined">
    <w:name w:val="Underlined"/>
    <w:basedOn w:val="DefaultParagraphFont"/>
    <w:rsid w:val="00A376CD"/>
    <w:rPr>
      <w:u w:val="single"/>
    </w:rPr>
  </w:style>
  <w:style w:type="paragraph" w:customStyle="1" w:styleId="TableBodyTextRight">
    <w:name w:val="Table Body Text Right"/>
    <w:basedOn w:val="TableBodyText"/>
    <w:rsid w:val="00A376CD"/>
    <w:pPr>
      <w:widowControl w:val="0"/>
      <w:autoSpaceDE w:val="0"/>
      <w:autoSpaceDN w:val="0"/>
      <w:adjustRightInd w:val="0"/>
      <w:jc w:val="right"/>
    </w:pPr>
    <w:rPr>
      <w:rFonts w:cs="Arial"/>
      <w:szCs w:val="18"/>
    </w:rPr>
  </w:style>
  <w:style w:type="paragraph" w:customStyle="1" w:styleId="CopyrightText">
    <w:name w:val="Copyright Text"/>
    <w:basedOn w:val="BodyText"/>
    <w:rsid w:val="00A376CD"/>
    <w:rPr>
      <w:sz w:val="18"/>
    </w:rPr>
  </w:style>
  <w:style w:type="paragraph" w:customStyle="1" w:styleId="BodySmallRight">
    <w:name w:val="Body Small Right"/>
    <w:basedOn w:val="BodyTextRight"/>
    <w:rsid w:val="00A376CD"/>
    <w:rPr>
      <w:sz w:val="18"/>
      <w:szCs w:val="18"/>
    </w:rPr>
  </w:style>
  <w:style w:type="paragraph" w:customStyle="1" w:styleId="MarginEdition">
    <w:name w:val="Margin Edition"/>
    <w:basedOn w:val="MarginNote"/>
    <w:rsid w:val="00A376CD"/>
    <w:pPr>
      <w:spacing w:before="0" w:after="0"/>
    </w:pPr>
    <w:rPr>
      <w:rFonts w:ascii="Times New Roman" w:hAnsi="Times New Roman"/>
      <w:color w:val="999999"/>
    </w:rPr>
  </w:style>
  <w:style w:type="paragraph" w:customStyle="1" w:styleId="Spacer">
    <w:name w:val="Spacer"/>
    <w:basedOn w:val="Normal"/>
    <w:rsid w:val="00A376CD"/>
    <w:rPr>
      <w:sz w:val="2"/>
      <w:szCs w:val="2"/>
    </w:rPr>
  </w:style>
  <w:style w:type="character" w:customStyle="1" w:styleId="Small">
    <w:name w:val="Small"/>
    <w:basedOn w:val="DefaultParagraphFont"/>
    <w:rsid w:val="00A376CD"/>
    <w:rPr>
      <w:sz w:val="16"/>
    </w:rPr>
  </w:style>
  <w:style w:type="paragraph" w:customStyle="1" w:styleId="WideTable">
    <w:name w:val="Wide Table"/>
    <w:basedOn w:val="Normal"/>
    <w:rsid w:val="00A376CD"/>
    <w:pPr>
      <w:ind w:left="-1418"/>
    </w:pPr>
    <w:rPr>
      <w:sz w:val="2"/>
      <w:szCs w:val="2"/>
    </w:rPr>
  </w:style>
  <w:style w:type="character" w:styleId="PageNumber">
    <w:name w:val="page number"/>
    <w:basedOn w:val="DefaultParagraphFont"/>
    <w:rsid w:val="00A376CD"/>
  </w:style>
  <w:style w:type="paragraph" w:styleId="Quote">
    <w:name w:val="Quote"/>
    <w:basedOn w:val="Heading1"/>
    <w:link w:val="QuoteChar"/>
    <w:qFormat/>
    <w:rsid w:val="00A376CD"/>
    <w:rPr>
      <w:b w:val="0"/>
      <w:sz w:val="72"/>
      <w:szCs w:val="72"/>
      <w:lang w:val="en-NZ"/>
    </w:rPr>
  </w:style>
  <w:style w:type="character" w:customStyle="1" w:styleId="QuoteChar">
    <w:name w:val="Quote Char"/>
    <w:basedOn w:val="DefaultParagraphFont"/>
    <w:link w:val="Quote"/>
    <w:rsid w:val="00A37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6CD"/>
    <w:pPr>
      <w:pageBreakBefore/>
    </w:pPr>
  </w:style>
  <w:style w:type="paragraph" w:customStyle="1" w:styleId="Border">
    <w:name w:val="Border"/>
    <w:basedOn w:val="Normal"/>
    <w:qFormat/>
    <w:rsid w:val="00A37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6CD"/>
    <w:rPr>
      <w:b/>
      <w:bCs/>
      <w:i/>
      <w:iCs/>
      <w:color w:val="auto"/>
    </w:rPr>
  </w:style>
  <w:style w:type="paragraph" w:styleId="IntenseQuote">
    <w:name w:val="Intense Quote"/>
    <w:basedOn w:val="Normal"/>
    <w:next w:val="Normal"/>
    <w:link w:val="IntenseQuoteChar"/>
    <w:uiPriority w:val="30"/>
    <w:qFormat/>
    <w:rsid w:val="00A37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6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6CD"/>
    <w:rPr>
      <w:smallCaps/>
      <w:color w:val="auto"/>
      <w:u w:val="single"/>
    </w:rPr>
  </w:style>
  <w:style w:type="character" w:styleId="IntenseReference">
    <w:name w:val="Intense Reference"/>
    <w:basedOn w:val="DefaultParagraphFont"/>
    <w:uiPriority w:val="32"/>
    <w:qFormat/>
    <w:rsid w:val="00A376CD"/>
    <w:rPr>
      <w:b/>
      <w:bCs/>
      <w:smallCaps/>
      <w:color w:val="auto"/>
      <w:spacing w:val="5"/>
      <w:u w:val="single"/>
    </w:rPr>
  </w:style>
  <w:style w:type="paragraph" w:customStyle="1" w:styleId="2ColumnHeading">
    <w:name w:val="2Column Heading"/>
    <w:basedOn w:val="BodyText"/>
    <w:qFormat/>
    <w:rsid w:val="00A376CD"/>
    <w:pPr>
      <w:spacing w:after="60"/>
      <w:ind w:left="-2268"/>
    </w:pPr>
    <w:rPr>
      <w:b/>
    </w:rPr>
  </w:style>
  <w:style w:type="paragraph" w:customStyle="1" w:styleId="Heading1TOC">
    <w:name w:val="Heading1 TOC"/>
    <w:basedOn w:val="Normal"/>
    <w:qFormat/>
    <w:rsid w:val="00A376CD"/>
    <w:pPr>
      <w:spacing w:before="240" w:after="120"/>
    </w:pPr>
    <w:rPr>
      <w:rFonts w:ascii="Times New Roman" w:hAnsi="Times New Roman"/>
      <w:b/>
      <w:sz w:val="32"/>
    </w:rPr>
  </w:style>
  <w:style w:type="paragraph" w:customStyle="1" w:styleId="Heading2TOC">
    <w:name w:val="Heading2 TOC"/>
    <w:basedOn w:val="Normal"/>
    <w:qFormat/>
    <w:rsid w:val="00A376CD"/>
    <w:pPr>
      <w:spacing w:before="240" w:after="60"/>
    </w:pPr>
    <w:rPr>
      <w:rFonts w:ascii="Times New Roman" w:hAnsi="Times New Roman"/>
      <w:b/>
      <w:sz w:val="28"/>
    </w:rPr>
  </w:style>
  <w:style w:type="character" w:customStyle="1" w:styleId="Underline">
    <w:name w:val="Underline"/>
    <w:basedOn w:val="DefaultParagraphFont"/>
    <w:qFormat/>
    <w:rsid w:val="00A376CD"/>
    <w:rPr>
      <w:u w:val="single"/>
    </w:rPr>
  </w:style>
  <w:style w:type="paragraph" w:styleId="BalloonText">
    <w:name w:val="Balloon Text"/>
    <w:basedOn w:val="Normal"/>
    <w:link w:val="BalloonTextChar"/>
    <w:rsid w:val="00A376CD"/>
    <w:rPr>
      <w:rFonts w:ascii="Tahoma" w:hAnsi="Tahoma" w:cs="Tahoma"/>
      <w:sz w:val="16"/>
      <w:szCs w:val="16"/>
    </w:rPr>
  </w:style>
  <w:style w:type="character" w:customStyle="1" w:styleId="BalloonTextChar">
    <w:name w:val="Balloon Text Char"/>
    <w:basedOn w:val="DefaultParagraphFont"/>
    <w:link w:val="BalloonText"/>
    <w:rsid w:val="00A376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6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76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6CD"/>
    <w:rPr>
      <w:b/>
      <w:color w:val="660033"/>
      <w:spacing w:val="0"/>
    </w:rPr>
  </w:style>
  <w:style w:type="paragraph" w:customStyle="1" w:styleId="Nameditemlist">
    <w:name w:val="Named item list"/>
    <w:basedOn w:val="BodyText"/>
    <w:qFormat/>
    <w:rsid w:val="00A376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1428</Words>
  <Characters>8599</Characters>
  <Application>Microsoft Office Word</Application>
  <DocSecurity>0</DocSecurity>
  <Lines>303</Lines>
  <Paragraphs>165</Paragraphs>
  <ScaleCrop>false</ScaleCrop>
  <Company>Author-it Software Corporation Ltd.</Company>
  <LinksUpToDate>false</LinksUpToDate>
  <CharactersWithSpaces>9951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CPPWMT3063A Apply safe operational practices when vehicles contact overhead wires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2012-10-05T14:09:00Z</dcterms:created>
  <dcterms:modified xsi:type="dcterms:W3CDTF">2012-10-05T14:09:00Z</dcterms:modified>
</cp:coreProperties>
</file>