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D53" w:rsidP="00064D53">
      <w:pPr>
        <w:pStyle w:val="Title"/>
      </w:pPr>
      <w:bookmarkStart w:id="0" w:name="_GoBack"/>
      <w:bookmarkEnd w:id="0"/>
      <w:r>
        <w:fldChar w:fldCharType="begin"/>
      </w:r>
      <w:r>
        <w:instrText xml:space="preserve"> TITLE   \* MERGEFORMAT </w:instrText>
      </w:r>
      <w:r>
        <w:fldChar w:fldCharType="separate"/>
      </w:r>
      <w:r>
        <w:t>CPPSPS4011A Comply with regulatory requirements for swimming pool and spa servicing</w:t>
      </w:r>
      <w:r>
        <w:fldChar w:fldCharType="end"/>
      </w:r>
    </w:p>
    <w:p w:rsidR="00064D53" w:rsidP="00064D53">
      <w:pPr>
        <w:pStyle w:val="Version"/>
        <w:sectPr w:rsidSect="006719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19A2" w:rsidP="006719A2">
      <w:pPr>
        <w:pStyle w:val="SuperHeading"/>
      </w:pPr>
      <w:r w:rsidRPr="006719A2">
        <w:t>CPPSPS4011A Comply with regulatory requirements for swimming pool and spa servicing</w:t>
      </w:r>
    </w:p>
    <w:p w:rsidR="00000000" w:rsidRPr="006719A2" w:rsidP="006719A2">
      <w:pPr>
        <w:pStyle w:val="Heading1"/>
      </w:pPr>
      <w:bookmarkStart w:id="1" w:name="O_517316"/>
      <w:bookmarkEnd w:id="1"/>
      <w:r w:rsidRPr="006719A2">
        <w:t>Modification History</w:t>
      </w:r>
    </w:p>
    <w:tbl>
      <w:tblPr>
        <w:tblW w:w="9354" w:type="dxa"/>
        <w:tblLayout w:type="fixed"/>
        <w:tblCellMar>
          <w:left w:w="62" w:type="dxa"/>
          <w:right w:w="62" w:type="dxa"/>
        </w:tblCellMar>
        <w:tblLook w:val="0000"/>
      </w:tblPr>
      <w:tblGrid>
        <w:gridCol w:w="2592"/>
        <w:gridCol w:w="6762"/>
      </w:tblGrid>
      <w:tr w:rsidTr="006719A2">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6719A2" w:rsidP="006719A2">
            <w:pPr>
              <w:pStyle w:val="BodyText"/>
            </w:pPr>
            <w:r w:rsidRPr="006719A2">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6719A2">
            <w:pPr>
              <w:pStyle w:val="BodyText"/>
              <w:rPr>
                <w:lang w:val="en-NZ"/>
              </w:rPr>
            </w:pPr>
            <w:r w:rsidRPr="006719A2">
              <w:rPr>
                <w:rStyle w:val="SpecialBold"/>
              </w:rPr>
              <w:t>Comments</w:t>
            </w:r>
          </w:p>
        </w:tc>
      </w:tr>
      <w:tr w:rsidTr="006719A2">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6719A2">
            <w:pPr>
              <w:pStyle w:val="BodyText"/>
              <w:rPr>
                <w:lang w:val="en-NZ"/>
              </w:rPr>
            </w:pPr>
            <w:r w:rsidRPr="006719A2">
              <w:t>1</w:t>
            </w:r>
          </w:p>
        </w:tc>
        <w:tc>
          <w:tcPr>
            <w:tcW w:w="6762" w:type="dxa"/>
            <w:tcBorders>
              <w:top w:val="nil"/>
              <w:left w:val="nil"/>
              <w:bottom w:val="nil"/>
              <w:right w:val="nil"/>
            </w:tcBorders>
            <w:tcMar>
              <w:top w:w="0" w:type="dxa"/>
              <w:left w:w="62" w:type="dxa"/>
              <w:bottom w:w="0" w:type="dxa"/>
              <w:right w:w="62" w:type="dxa"/>
            </w:tcMar>
          </w:tcPr>
          <w:p w:rsidR="00000000" w:rsidRPr="006719A2" w:rsidP="006719A2">
            <w:pPr>
              <w:pStyle w:val="BodyText"/>
            </w:pPr>
            <w:r w:rsidRPr="006719A2">
              <w:t>This version first released with CPP07 Property Services Training Package Version 13.</w:t>
            </w:r>
          </w:p>
        </w:tc>
      </w:tr>
    </w:tbl>
    <w:p w:rsidR="00000000" w:rsidRPr="006719A2" w:rsidP="006719A2">
      <w:pPr>
        <w:pStyle w:val="BodyText"/>
      </w:pPr>
    </w:p>
    <w:p w:rsidR="00000000" w:rsidRPr="006719A2" w:rsidP="006719A2">
      <w:pPr>
        <w:pStyle w:val="AllowPageBreak"/>
      </w:pPr>
    </w:p>
    <w:p w:rsidR="00000000" w:rsidRPr="006719A2" w:rsidP="006719A2">
      <w:pPr>
        <w:pStyle w:val="Heading1"/>
      </w:pPr>
      <w:bookmarkStart w:id="2" w:name="O_517328"/>
      <w:bookmarkEnd w:id="2"/>
      <w:r w:rsidRPr="006719A2">
        <w:t>Unit Descriptor</w:t>
      </w:r>
    </w:p>
    <w:p w:rsidR="00064D53" w:rsidP="006719A2">
      <w:pPr>
        <w:pStyle w:val="BodyText"/>
      </w:pPr>
      <w:r w:rsidRPr="006719A2">
        <w:t>This unit of competency specifies the outcomes required to meet the regulatory requirements associated with swimming pool and spa servicing. It involves identifying relevant regulatory requirements, complying with regulatory requirements wh</w:t>
      </w:r>
      <w:r w:rsidRPr="006719A2">
        <w:t>en servicing swimming pools and spas, and dealing with incidents of non-compliance.</w:t>
      </w:r>
    </w:p>
    <w:p w:rsidR="00064D53" w:rsidP="006719A2">
      <w:pPr>
        <w:pStyle w:val="BodyText"/>
      </w:pPr>
    </w:p>
    <w:p w:rsidR="00000000" w:rsidRPr="006719A2" w:rsidP="006719A2">
      <w:pPr>
        <w:pStyle w:val="Heading1"/>
      </w:pPr>
      <w:bookmarkStart w:id="3" w:name="O_517327"/>
      <w:bookmarkEnd w:id="3"/>
      <w:r w:rsidRPr="006719A2">
        <w:t>Application of the Unit</w:t>
      </w:r>
    </w:p>
    <w:p w:rsidR="00064D53" w:rsidP="006719A2">
      <w:pPr>
        <w:pStyle w:val="BodyText"/>
      </w:pPr>
      <w:r w:rsidRPr="006719A2">
        <w:t>This unit of competency supports the work of swimming pool and spa technicians engaged in servicing domestic, commercial and publi</w:t>
      </w:r>
      <w:r w:rsidRPr="006719A2">
        <w:t>c swimming pools and spas.</w:t>
      </w:r>
    </w:p>
    <w:p w:rsidR="00064D53" w:rsidP="006719A2">
      <w:pPr>
        <w:pStyle w:val="BodyText"/>
      </w:pPr>
    </w:p>
    <w:p w:rsidR="00000000" w:rsidRPr="006719A2" w:rsidP="006719A2">
      <w:pPr>
        <w:pStyle w:val="Heading1"/>
      </w:pPr>
      <w:bookmarkStart w:id="4" w:name="O_517326"/>
      <w:bookmarkEnd w:id="4"/>
      <w:r w:rsidRPr="006719A2">
        <w:t>Licensing/Regulatory Information</w:t>
      </w:r>
    </w:p>
    <w:p w:rsidR="00064D53" w:rsidP="006719A2">
      <w:pPr>
        <w:pStyle w:val="BodyText"/>
      </w:pPr>
      <w:r w:rsidRPr="006719A2">
        <w:t>No licensing, legislative, regulatory or certification requirements apply to this unit at the time of endorsement.</w:t>
      </w:r>
    </w:p>
    <w:p w:rsidR="00064D53" w:rsidP="006719A2">
      <w:pPr>
        <w:pStyle w:val="BodyText"/>
      </w:pPr>
    </w:p>
    <w:p w:rsidR="00000000" w:rsidRPr="006719A2" w:rsidP="006719A2">
      <w:pPr>
        <w:pStyle w:val="Heading1"/>
      </w:pPr>
      <w:bookmarkStart w:id="5" w:name="O_517325"/>
      <w:bookmarkEnd w:id="5"/>
      <w:r w:rsidRPr="006719A2">
        <w:t>Pre-Requisites</w:t>
      </w:r>
    </w:p>
    <w:p w:rsidR="00000000" w:rsidRPr="006719A2" w:rsidP="006719A2">
      <w:pPr>
        <w:pStyle w:val="BodyText"/>
      </w:pPr>
      <w:r w:rsidRPr="006719A2">
        <w:t>Nil</w:t>
      </w:r>
    </w:p>
    <w:p w:rsidR="00000000" w:rsidRPr="006719A2" w:rsidP="006719A2">
      <w:pPr>
        <w:pStyle w:val="AllowPageBreak"/>
      </w:pPr>
    </w:p>
    <w:p w:rsidR="00000000" w:rsidRPr="006719A2" w:rsidP="006719A2">
      <w:pPr>
        <w:pStyle w:val="Heading1"/>
      </w:pPr>
      <w:bookmarkStart w:id="6" w:name="O_517324"/>
      <w:bookmarkEnd w:id="6"/>
      <w:r w:rsidRPr="006719A2">
        <w:t>Employability Skills Information</w:t>
      </w:r>
    </w:p>
    <w:p w:rsidR="00000000" w:rsidRPr="006719A2" w:rsidP="006719A2">
      <w:pPr>
        <w:pStyle w:val="BodyText"/>
      </w:pPr>
      <w:r w:rsidRPr="006719A2">
        <w:t>This unit contains employability skills.</w:t>
      </w:r>
    </w:p>
    <w:p w:rsidR="00000000" w:rsidRPr="006719A2" w:rsidP="006719A2">
      <w:pPr>
        <w:pStyle w:val="AllowPageBreak"/>
      </w:pPr>
    </w:p>
    <w:p w:rsidR="00000000" w:rsidRPr="006719A2" w:rsidP="006719A2">
      <w:pPr>
        <w:pStyle w:val="Heading1"/>
      </w:pPr>
      <w:bookmarkStart w:id="7" w:name="O_517323"/>
      <w:bookmarkEnd w:id="7"/>
      <w:r w:rsidRPr="006719A2">
        <w:t>Elements and Performance Criteria Pre-Content</w:t>
      </w:r>
    </w:p>
    <w:tbl>
      <w:tblPr>
        <w:tblW w:w="0" w:type="auto"/>
        <w:tblLayout w:type="fixed"/>
        <w:tblCellMar>
          <w:left w:w="62" w:type="dxa"/>
          <w:right w:w="62" w:type="dxa"/>
        </w:tblCellMar>
        <w:tblLook w:val="0000"/>
      </w:tblPr>
      <w:tblGrid>
        <w:gridCol w:w="2838"/>
        <w:gridCol w:w="5842"/>
      </w:tblGrid>
      <w:tr w:rsidTr="006719A2">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6719A2">
            <w:pPr>
              <w:pStyle w:val="BodyText"/>
              <w:rPr>
                <w:lang w:val="en-NZ"/>
              </w:rPr>
            </w:pPr>
            <w:r w:rsidRPr="006719A2">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6719A2" w:rsidP="006719A2">
            <w:pPr>
              <w:pStyle w:val="BodyText"/>
            </w:pPr>
            <w:r w:rsidRPr="006719A2">
              <w:t>Performance criteria describe the required performanc</w:t>
            </w:r>
            <w:r w:rsidRPr="006719A2">
              <w:t xml:space="preserve">e needed to demonstrate achievement of the element. Where </w:t>
            </w:r>
            <w:r w:rsidRPr="006719A2">
              <w:rPr>
                <w:rStyle w:val="BoldandItalics"/>
              </w:rPr>
              <w:t>bold italicised</w:t>
            </w:r>
            <w:r w:rsidRPr="006719A2">
              <w:t xml:space="preserve"> text is used, further information is detailed in the required skills and knowledge and/or the range statement. Assessment of performance is to be consistent with the evidence guide.</w:t>
            </w:r>
          </w:p>
        </w:tc>
      </w:tr>
    </w:tbl>
    <w:p w:rsidR="00000000" w:rsidRPr="006719A2" w:rsidP="006719A2">
      <w:pPr>
        <w:pStyle w:val="BodyText"/>
      </w:pPr>
    </w:p>
    <w:p w:rsidR="00000000" w:rsidRPr="006719A2" w:rsidP="006719A2">
      <w:pPr>
        <w:pStyle w:val="AllowPageBreak"/>
      </w:pPr>
    </w:p>
    <w:p w:rsidR="00000000" w:rsidRPr="006719A2" w:rsidP="006719A2">
      <w:pPr>
        <w:pStyle w:val="Heading1"/>
      </w:pPr>
      <w:bookmarkStart w:id="8" w:name="O_517322"/>
      <w:bookmarkEnd w:id="8"/>
      <w:r w:rsidRPr="006719A2">
        <w:t>Elements and Performance Criteria</w:t>
      </w:r>
    </w:p>
    <w:p w:rsidR="00000000" w:rsidRPr="006719A2" w:rsidP="006719A2">
      <w:pPr>
        <w:pStyle w:val="BodyText"/>
      </w:pPr>
    </w:p>
    <w:tbl>
      <w:tblPr>
        <w:tblW w:w="0" w:type="auto"/>
        <w:tblLayout w:type="fixed"/>
        <w:tblCellMar>
          <w:left w:w="62" w:type="dxa"/>
          <w:right w:w="62" w:type="dxa"/>
        </w:tblCellMar>
        <w:tblLook w:val="0000"/>
      </w:tblPr>
      <w:tblGrid>
        <w:gridCol w:w="678"/>
        <w:gridCol w:w="1962"/>
        <w:gridCol w:w="770"/>
        <w:gridCol w:w="5610"/>
      </w:tblGrid>
      <w:tr w:rsidTr="006719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719A2" w:rsidP="006719A2">
            <w:pPr>
              <w:pStyle w:val="BodyText"/>
            </w:pPr>
            <w:r w:rsidRPr="006719A2">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6719A2">
            <w:pPr>
              <w:pStyle w:val="BodyText"/>
              <w:rPr>
                <w:lang w:val="en-NZ"/>
              </w:rPr>
            </w:pPr>
            <w:r w:rsidRPr="006719A2">
              <w:rPr>
                <w:rStyle w:val="SpecialBold"/>
              </w:rPr>
              <w:t>Identify regulatory requirements.</w:t>
            </w:r>
          </w:p>
        </w:tc>
        <w:tc>
          <w:tcPr>
            <w:tcW w:w="770" w:type="dxa"/>
            <w:tcBorders>
              <w:top w:val="nil"/>
              <w:left w:val="nil"/>
              <w:bottom w:val="nil"/>
              <w:right w:val="nil"/>
            </w:tcBorders>
            <w:tcMar>
              <w:top w:w="0" w:type="dxa"/>
              <w:left w:w="62" w:type="dxa"/>
              <w:bottom w:w="0" w:type="dxa"/>
              <w:right w:w="62" w:type="dxa"/>
            </w:tcMar>
          </w:tcPr>
          <w:p w:rsidR="00000000" w:rsidP="006719A2">
            <w:pPr>
              <w:pStyle w:val="BodyText"/>
              <w:rPr>
                <w:lang w:val="en-NZ"/>
              </w:rPr>
            </w:pPr>
            <w:r w:rsidRPr="006719A2">
              <w:t>1.1</w:t>
            </w:r>
          </w:p>
        </w:tc>
        <w:tc>
          <w:tcPr>
            <w:tcW w:w="5610" w:type="dxa"/>
            <w:tcBorders>
              <w:top w:val="nil"/>
              <w:left w:val="nil"/>
              <w:bottom w:val="nil"/>
              <w:right w:val="nil"/>
            </w:tcBorders>
            <w:tcMar>
              <w:top w:w="0" w:type="dxa"/>
              <w:left w:w="62" w:type="dxa"/>
              <w:bottom w:w="0" w:type="dxa"/>
              <w:right w:w="62" w:type="dxa"/>
            </w:tcMar>
          </w:tcPr>
          <w:p w:rsidR="00000000" w:rsidP="006719A2">
            <w:pPr>
              <w:pStyle w:val="BodyText"/>
              <w:rPr>
                <w:lang w:val="en-NZ"/>
              </w:rPr>
            </w:pPr>
            <w:r w:rsidRPr="006719A2">
              <w:t xml:space="preserve">Current, comprehensive information on </w:t>
            </w:r>
            <w:r w:rsidRPr="006719A2">
              <w:rPr>
                <w:rStyle w:val="BoldandItalics"/>
              </w:rPr>
              <w:t xml:space="preserve">legislative and regulatory requirements </w:t>
            </w:r>
            <w:r w:rsidRPr="006719A2">
              <w:t>applicable to swimming pool and spa servicing is accessed.</w:t>
            </w:r>
          </w:p>
        </w:tc>
      </w:tr>
      <w:tr w:rsidTr="006719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19A2">
            <w:pPr>
              <w:pStyle w:val="BodyText"/>
              <w:rPr>
                <w:lang w:val="en-NZ"/>
              </w:rPr>
            </w:pPr>
            <w:r w:rsidRPr="006719A2">
              <w:t>1.2</w:t>
            </w:r>
          </w:p>
        </w:tc>
        <w:tc>
          <w:tcPr>
            <w:tcW w:w="5610" w:type="dxa"/>
            <w:tcBorders>
              <w:top w:val="nil"/>
              <w:left w:val="nil"/>
              <w:bottom w:val="nil"/>
              <w:right w:val="nil"/>
            </w:tcBorders>
            <w:tcMar>
              <w:top w:w="0" w:type="dxa"/>
              <w:left w:w="62" w:type="dxa"/>
              <w:bottom w:w="0" w:type="dxa"/>
              <w:right w:w="62" w:type="dxa"/>
            </w:tcMar>
          </w:tcPr>
          <w:p w:rsidR="00000000" w:rsidRPr="006719A2" w:rsidP="006719A2">
            <w:pPr>
              <w:pStyle w:val="BodyText"/>
            </w:pPr>
            <w:r w:rsidRPr="006719A2">
              <w:t xml:space="preserve">Legislative and regulatory requirements are clarified and confirmed with </w:t>
            </w:r>
            <w:r w:rsidRPr="006719A2">
              <w:rPr>
                <w:rStyle w:val="BoldandItalics"/>
              </w:rPr>
              <w:t xml:space="preserve">relevant personnel </w:t>
            </w:r>
            <w:r w:rsidRPr="006719A2">
              <w:t>to ensure accuracy and consistency of interpretation and application.</w:t>
            </w:r>
          </w:p>
        </w:tc>
      </w:tr>
    </w:tbl>
    <w:p w:rsidR="00000000" w:rsidRPr="006719A2" w:rsidP="006719A2">
      <w:pPr>
        <w:pStyle w:val="BodyText"/>
      </w:pPr>
    </w:p>
    <w:tbl>
      <w:tblPr>
        <w:tblW w:w="0" w:type="auto"/>
        <w:tblLayout w:type="fixed"/>
        <w:tblCellMar>
          <w:left w:w="62" w:type="dxa"/>
          <w:right w:w="62" w:type="dxa"/>
        </w:tblCellMar>
        <w:tblLook w:val="0000"/>
      </w:tblPr>
      <w:tblGrid>
        <w:gridCol w:w="678"/>
        <w:gridCol w:w="1962"/>
        <w:gridCol w:w="770"/>
        <w:gridCol w:w="5610"/>
      </w:tblGrid>
      <w:tr w:rsidTr="006719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719A2" w:rsidP="006719A2">
            <w:pPr>
              <w:pStyle w:val="BodyText"/>
            </w:pPr>
            <w:r w:rsidRPr="006719A2">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6719A2">
            <w:pPr>
              <w:pStyle w:val="BodyText"/>
              <w:rPr>
                <w:lang w:val="en-NZ"/>
              </w:rPr>
            </w:pPr>
            <w:r w:rsidRPr="006719A2">
              <w:rPr>
                <w:rStyle w:val="SpecialBold"/>
              </w:rPr>
              <w:t>Monitor personal awareness of regulatory requirements.</w:t>
            </w:r>
          </w:p>
        </w:tc>
        <w:tc>
          <w:tcPr>
            <w:tcW w:w="770" w:type="dxa"/>
            <w:tcBorders>
              <w:top w:val="nil"/>
              <w:left w:val="nil"/>
              <w:bottom w:val="nil"/>
              <w:right w:val="nil"/>
            </w:tcBorders>
            <w:tcMar>
              <w:top w:w="0" w:type="dxa"/>
              <w:left w:w="62" w:type="dxa"/>
              <w:bottom w:w="0" w:type="dxa"/>
              <w:right w:w="62" w:type="dxa"/>
            </w:tcMar>
          </w:tcPr>
          <w:p w:rsidR="00000000" w:rsidRPr="006719A2" w:rsidP="006719A2">
            <w:pPr>
              <w:pStyle w:val="BodyText"/>
            </w:pPr>
            <w:r w:rsidRPr="006719A2">
              <w:t>2.1</w:t>
            </w:r>
          </w:p>
        </w:tc>
        <w:tc>
          <w:tcPr>
            <w:tcW w:w="5610" w:type="dxa"/>
            <w:tcBorders>
              <w:top w:val="nil"/>
              <w:left w:val="nil"/>
              <w:bottom w:val="nil"/>
              <w:right w:val="nil"/>
            </w:tcBorders>
            <w:tcMar>
              <w:top w:w="0" w:type="dxa"/>
              <w:left w:w="62" w:type="dxa"/>
              <w:bottom w:w="0" w:type="dxa"/>
              <w:right w:w="62" w:type="dxa"/>
            </w:tcMar>
          </w:tcPr>
          <w:p w:rsidR="00000000" w:rsidP="006719A2">
            <w:pPr>
              <w:pStyle w:val="BodyText"/>
              <w:rPr>
                <w:lang w:val="en-NZ"/>
              </w:rPr>
            </w:pPr>
            <w:r w:rsidRPr="006719A2">
              <w:rPr>
                <w:rStyle w:val="BoldandItalics"/>
              </w:rPr>
              <w:t>Work duties and responsibilitie</w:t>
            </w:r>
            <w:r w:rsidRPr="006719A2">
              <w:rPr>
                <w:rStyle w:val="BoldandItalics"/>
              </w:rPr>
              <w:t>s</w:t>
            </w:r>
            <w:r w:rsidRPr="006719A2">
              <w:t xml:space="preserve"> are performed in line with legislative, regulatory and enterprise requirements.</w:t>
            </w:r>
          </w:p>
        </w:tc>
      </w:tr>
      <w:tr w:rsidTr="006719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19A2">
            <w:pPr>
              <w:pStyle w:val="BodyText"/>
              <w:rPr>
                <w:lang w:val="en-NZ"/>
              </w:rPr>
            </w:pPr>
            <w:r w:rsidRPr="006719A2">
              <w:t>2.2</w:t>
            </w:r>
          </w:p>
        </w:tc>
        <w:tc>
          <w:tcPr>
            <w:tcW w:w="5610" w:type="dxa"/>
            <w:tcBorders>
              <w:top w:val="nil"/>
              <w:left w:val="nil"/>
              <w:bottom w:val="nil"/>
              <w:right w:val="nil"/>
            </w:tcBorders>
            <w:tcMar>
              <w:top w:w="0" w:type="dxa"/>
              <w:left w:w="62" w:type="dxa"/>
              <w:bottom w:w="0" w:type="dxa"/>
              <w:right w:w="62" w:type="dxa"/>
            </w:tcMar>
          </w:tcPr>
          <w:p w:rsidR="00000000" w:rsidP="006719A2">
            <w:pPr>
              <w:pStyle w:val="BodyText"/>
              <w:rPr>
                <w:lang w:val="en-NZ"/>
              </w:rPr>
            </w:pPr>
            <w:r w:rsidRPr="006719A2">
              <w:t>Personal performance is evaluated and feedback is sought from others to ensure compliance with legislative, regulatory and enterprise requirements.</w:t>
            </w:r>
          </w:p>
        </w:tc>
      </w:tr>
      <w:tr w:rsidTr="006719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19A2">
            <w:pPr>
              <w:pStyle w:val="BodyText"/>
              <w:rPr>
                <w:lang w:val="en-NZ"/>
              </w:rPr>
            </w:pPr>
            <w:r w:rsidRPr="006719A2">
              <w:t>2.3</w:t>
            </w:r>
          </w:p>
        </w:tc>
        <w:tc>
          <w:tcPr>
            <w:tcW w:w="5610" w:type="dxa"/>
            <w:tcBorders>
              <w:top w:val="nil"/>
              <w:left w:val="nil"/>
              <w:bottom w:val="nil"/>
              <w:right w:val="nil"/>
            </w:tcBorders>
            <w:tcMar>
              <w:top w:w="0" w:type="dxa"/>
              <w:left w:w="62" w:type="dxa"/>
              <w:bottom w:w="0" w:type="dxa"/>
              <w:right w:w="62" w:type="dxa"/>
            </w:tcMar>
          </w:tcPr>
          <w:p w:rsidR="00000000" w:rsidRPr="006719A2" w:rsidP="006719A2">
            <w:pPr>
              <w:pStyle w:val="BodyText"/>
            </w:pPr>
            <w:r w:rsidRPr="006719A2">
              <w:t>Process for monitoring changes to legislative and regulatory requirements that impact on own job role and workplace is identified and maintained in line with enterprise policy and procedures.</w:t>
            </w:r>
          </w:p>
        </w:tc>
      </w:tr>
    </w:tbl>
    <w:p w:rsidR="00000000" w:rsidRPr="006719A2" w:rsidP="006719A2">
      <w:pPr>
        <w:pStyle w:val="BodyText"/>
      </w:pPr>
    </w:p>
    <w:tbl>
      <w:tblPr>
        <w:tblW w:w="0" w:type="auto"/>
        <w:tblLayout w:type="fixed"/>
        <w:tblCellMar>
          <w:left w:w="62" w:type="dxa"/>
          <w:right w:w="62" w:type="dxa"/>
        </w:tblCellMar>
        <w:tblLook w:val="0000"/>
      </w:tblPr>
      <w:tblGrid>
        <w:gridCol w:w="678"/>
        <w:gridCol w:w="1962"/>
        <w:gridCol w:w="770"/>
        <w:gridCol w:w="5610"/>
      </w:tblGrid>
      <w:tr w:rsidTr="006719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719A2" w:rsidP="006719A2">
            <w:pPr>
              <w:pStyle w:val="BodyText"/>
            </w:pPr>
            <w:r w:rsidRPr="006719A2">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6719A2">
            <w:pPr>
              <w:pStyle w:val="BodyText"/>
              <w:rPr>
                <w:lang w:val="en-NZ"/>
              </w:rPr>
            </w:pPr>
            <w:r w:rsidRPr="006719A2">
              <w:rPr>
                <w:rStyle w:val="SpecialBold"/>
              </w:rPr>
              <w:t>Respond to incidents of non-compliance with regulatory requi</w:t>
            </w:r>
            <w:r w:rsidRPr="006719A2">
              <w:rPr>
                <w:rStyle w:val="SpecialBold"/>
              </w:rPr>
              <w:t>rements.</w:t>
            </w:r>
          </w:p>
        </w:tc>
        <w:tc>
          <w:tcPr>
            <w:tcW w:w="770" w:type="dxa"/>
            <w:tcBorders>
              <w:top w:val="nil"/>
              <w:left w:val="nil"/>
              <w:bottom w:val="nil"/>
              <w:right w:val="nil"/>
            </w:tcBorders>
            <w:tcMar>
              <w:top w:w="0" w:type="dxa"/>
              <w:left w:w="62" w:type="dxa"/>
              <w:bottom w:w="0" w:type="dxa"/>
              <w:right w:w="62" w:type="dxa"/>
            </w:tcMar>
          </w:tcPr>
          <w:p w:rsidR="00000000" w:rsidRPr="006719A2" w:rsidP="006719A2">
            <w:pPr>
              <w:pStyle w:val="BodyText"/>
            </w:pPr>
            <w:r w:rsidRPr="006719A2">
              <w:t>3.1</w:t>
            </w:r>
          </w:p>
        </w:tc>
        <w:tc>
          <w:tcPr>
            <w:tcW w:w="5610" w:type="dxa"/>
            <w:tcBorders>
              <w:top w:val="nil"/>
              <w:left w:val="nil"/>
              <w:bottom w:val="nil"/>
              <w:right w:val="nil"/>
            </w:tcBorders>
            <w:tcMar>
              <w:top w:w="0" w:type="dxa"/>
              <w:left w:w="62" w:type="dxa"/>
              <w:bottom w:w="0" w:type="dxa"/>
              <w:right w:w="62" w:type="dxa"/>
            </w:tcMar>
          </w:tcPr>
          <w:p w:rsidR="00000000" w:rsidP="006719A2">
            <w:pPr>
              <w:pStyle w:val="BodyText"/>
              <w:rPr>
                <w:lang w:val="en-NZ"/>
              </w:rPr>
            </w:pPr>
            <w:r w:rsidRPr="006719A2">
              <w:rPr>
                <w:rStyle w:val="BoldandItalics"/>
              </w:rPr>
              <w:t>Breaches of regulatory framework</w:t>
            </w:r>
            <w:r w:rsidRPr="006719A2">
              <w:t xml:space="preserve"> are handled in line with enterprise policy and procedures.</w:t>
            </w:r>
          </w:p>
        </w:tc>
      </w:tr>
      <w:tr w:rsidTr="006719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19A2" w:rsidP="006719A2">
            <w:pPr>
              <w:pStyle w:val="BodyText"/>
            </w:pPr>
            <w:r w:rsidRPr="006719A2">
              <w:t>3.2</w:t>
            </w:r>
          </w:p>
        </w:tc>
        <w:tc>
          <w:tcPr>
            <w:tcW w:w="5610" w:type="dxa"/>
            <w:tcBorders>
              <w:top w:val="nil"/>
              <w:left w:val="nil"/>
              <w:bottom w:val="nil"/>
              <w:right w:val="nil"/>
            </w:tcBorders>
            <w:tcMar>
              <w:top w:w="0" w:type="dxa"/>
              <w:left w:w="62" w:type="dxa"/>
              <w:bottom w:w="0" w:type="dxa"/>
              <w:right w:w="62" w:type="dxa"/>
            </w:tcMar>
          </w:tcPr>
          <w:p w:rsidR="00000000" w:rsidRPr="006719A2" w:rsidP="006719A2">
            <w:pPr>
              <w:pStyle w:val="BodyText"/>
            </w:pPr>
            <w:r w:rsidRPr="006719A2">
              <w:rPr>
                <w:rStyle w:val="BoldandItalics"/>
              </w:rPr>
              <w:t>Inadequacies in workplace procedures</w:t>
            </w:r>
            <w:r w:rsidRPr="006719A2">
              <w:t xml:space="preserve"> that may contribute to non-compliance with regulatory framework </w:t>
            </w:r>
            <w:r w:rsidRPr="006719A2">
              <w:t>are handled in line with enterprise policy and procedures.</w:t>
            </w:r>
          </w:p>
        </w:tc>
      </w:tr>
    </w:tbl>
    <w:p w:rsidR="00064D53" w:rsidP="006719A2">
      <w:pPr>
        <w:pStyle w:val="BodyText"/>
      </w:pPr>
    </w:p>
    <w:p w:rsidR="00064D53" w:rsidP="006719A2">
      <w:pPr>
        <w:pStyle w:val="BodyText"/>
      </w:pPr>
    </w:p>
    <w:p w:rsidR="00000000" w:rsidRPr="006719A2" w:rsidP="006719A2">
      <w:pPr>
        <w:pStyle w:val="Heading1"/>
      </w:pPr>
      <w:bookmarkStart w:id="9" w:name="O_517321"/>
      <w:bookmarkEnd w:id="9"/>
      <w:r w:rsidRPr="006719A2">
        <w:t>Required Skills and Knowledge</w:t>
      </w:r>
    </w:p>
    <w:tbl>
      <w:tblPr>
        <w:tblW w:w="9462" w:type="dxa"/>
        <w:tblLayout w:type="fixed"/>
        <w:tblCellMar>
          <w:left w:w="62" w:type="dxa"/>
          <w:right w:w="62" w:type="dxa"/>
        </w:tblCellMar>
        <w:tblLook w:val="0000"/>
      </w:tblPr>
      <w:tblGrid>
        <w:gridCol w:w="9462"/>
      </w:tblGrid>
      <w:tr w:rsidTr="006719A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719A2">
            <w:pPr>
              <w:pStyle w:val="BodyText"/>
              <w:rPr>
                <w:lang w:val="en-NZ"/>
              </w:rPr>
            </w:pPr>
            <w:r w:rsidRPr="006719A2">
              <w:t>This section describes the skills and knowledge required for this unit.</w:t>
            </w:r>
          </w:p>
        </w:tc>
      </w:tr>
      <w:tr w:rsidTr="006719A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719A2">
            <w:pPr>
              <w:pStyle w:val="BodyText"/>
              <w:rPr>
                <w:lang w:val="en-NZ"/>
              </w:rPr>
            </w:pPr>
            <w:r w:rsidRPr="006719A2">
              <w:rPr>
                <w:rStyle w:val="SpecialBold"/>
              </w:rPr>
              <w:t>Required skills</w:t>
            </w:r>
          </w:p>
        </w:tc>
      </w:tr>
      <w:tr w:rsidTr="006719A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719A2" w:rsidP="006719A2">
            <w:pPr>
              <w:pStyle w:val="ListBullet"/>
            </w:pPr>
            <w:r w:rsidRPr="006719A2">
              <w:t>communication skills to interact with others about compl</w:t>
            </w:r>
            <w:r w:rsidRPr="006719A2">
              <w:t>ex information, such as legislation and regulatory requirements impacting on swimming pool and spa servicing</w:t>
            </w:r>
          </w:p>
          <w:p w:rsidR="00000000" w:rsidRPr="006719A2" w:rsidP="006719A2">
            <w:pPr>
              <w:pStyle w:val="ListBullet"/>
            </w:pPr>
            <w:r w:rsidRPr="006719A2">
              <w:t>data analysis skills to interpret and extract data from codes of practice, legislation and regulations relevant to swimming pool and spa servicing</w:t>
            </w:r>
          </w:p>
          <w:p w:rsidR="00000000" w:rsidRPr="006719A2" w:rsidP="006719A2">
            <w:pPr>
              <w:pStyle w:val="ListBullet"/>
            </w:pPr>
            <w:r w:rsidRPr="006719A2">
              <w:t>decision-making and problem-solving skills to check compliance with key aspects of the regulatory framework impacting on swimming pool and spa servicing</w:t>
            </w:r>
          </w:p>
          <w:p w:rsidR="00000000" w:rsidRPr="006719A2" w:rsidP="006719A2">
            <w:pPr>
              <w:pStyle w:val="ListBullet"/>
            </w:pPr>
            <w:r w:rsidRPr="006719A2">
              <w:t>literacy skills to:</w:t>
            </w:r>
          </w:p>
          <w:p w:rsidR="00000000" w:rsidRPr="006719A2" w:rsidP="006719A2">
            <w:pPr>
              <w:pStyle w:val="ListBullet2"/>
            </w:pPr>
            <w:r w:rsidRPr="006719A2">
              <w:t>read and interpret a variety of texts, including legislation, regulations and code</w:t>
            </w:r>
            <w:r w:rsidRPr="006719A2">
              <w:t>s of practice</w:t>
            </w:r>
          </w:p>
          <w:p w:rsidR="00000000" w:rsidRPr="006719A2" w:rsidP="006719A2">
            <w:pPr>
              <w:pStyle w:val="ListBullet2"/>
            </w:pPr>
            <w:r w:rsidRPr="006719A2">
              <w:t>generate business correspondence and prepare reports</w:t>
            </w:r>
          </w:p>
          <w:p w:rsidR="00000000" w:rsidRPr="006719A2" w:rsidP="006719A2">
            <w:pPr>
              <w:pStyle w:val="ListBullet2"/>
            </w:pPr>
            <w:r w:rsidRPr="006719A2">
              <w:t>complete standard forms</w:t>
            </w:r>
          </w:p>
          <w:p w:rsidR="00000000" w:rsidRPr="006719A2" w:rsidP="006719A2">
            <w:pPr>
              <w:pStyle w:val="ListBullet"/>
            </w:pPr>
            <w:r w:rsidRPr="006719A2">
              <w:t>research skills to identify and locate information relevant to the regulatory requirements impacting on swimming pool and spa servicing</w:t>
            </w:r>
          </w:p>
          <w:p w:rsidR="00000000" w:rsidRPr="006719A2" w:rsidP="006719A2">
            <w:pPr>
              <w:pStyle w:val="ListBullet"/>
            </w:pPr>
            <w:r w:rsidRPr="006719A2">
              <w:t xml:space="preserve">technology skills to access </w:t>
            </w:r>
            <w:r w:rsidRPr="006719A2">
              <w:t>online sources of information relevant to the legislative and regulatory requirements impacting on swimming pool and spa servicing</w:t>
            </w:r>
          </w:p>
          <w:p w:rsidR="00000000" w:rsidRPr="006719A2" w:rsidP="006719A2">
            <w:pPr>
              <w:pStyle w:val="BodyText"/>
            </w:pPr>
          </w:p>
          <w:p w:rsidR="00000000" w:rsidRPr="006719A2" w:rsidP="006719A2">
            <w:pPr>
              <w:pStyle w:val="BodyText"/>
            </w:pPr>
            <w:r w:rsidRPr="006719A2">
              <w:rPr>
                <w:rStyle w:val="SpecialBold"/>
              </w:rPr>
              <w:t>Required knowledge</w:t>
            </w:r>
          </w:p>
          <w:p w:rsidR="00000000" w:rsidRPr="006719A2" w:rsidP="006719A2">
            <w:pPr>
              <w:pStyle w:val="ListBullet"/>
            </w:pPr>
            <w:r w:rsidRPr="006719A2">
              <w:t>Australian Competition and Consumer Commission product safety guidelines</w:t>
            </w:r>
          </w:p>
          <w:p w:rsidR="00000000" w:rsidRPr="006719A2" w:rsidP="006719A2">
            <w:pPr>
              <w:pStyle w:val="ListBullet"/>
            </w:pPr>
            <w:r w:rsidRPr="006719A2">
              <w:t>building codes, including Natio</w:t>
            </w:r>
            <w:r w:rsidRPr="006719A2">
              <w:t>nal Construction Code information on:</w:t>
            </w:r>
          </w:p>
          <w:p w:rsidR="00000000" w:rsidRPr="006719A2" w:rsidP="006719A2">
            <w:pPr>
              <w:pStyle w:val="ListBullet2"/>
            </w:pPr>
            <w:r w:rsidRPr="006719A2">
              <w:t>swimming pool and spa features and accessories</w:t>
            </w:r>
          </w:p>
          <w:p w:rsidR="00000000" w:rsidRPr="006719A2" w:rsidP="006719A2">
            <w:pPr>
              <w:pStyle w:val="ListBullet2"/>
            </w:pPr>
            <w:r w:rsidRPr="006719A2">
              <w:t>swimming pool and spa safety</w:t>
            </w:r>
          </w:p>
          <w:p w:rsidR="00000000" w:rsidRPr="006719A2" w:rsidP="006719A2">
            <w:pPr>
              <w:pStyle w:val="ListBullet"/>
            </w:pPr>
            <w:r w:rsidRPr="006719A2">
              <w:t xml:space="preserve">commonwealth, state or territory, and local government legislation and regulations, </w:t>
            </w:r>
            <w:r w:rsidRPr="006719A2">
              <w:t>and Australian standards impacting on swimming pool and spa servicing related to:</w:t>
            </w:r>
          </w:p>
          <w:p w:rsidR="00000000" w:rsidRPr="006719A2" w:rsidP="006719A2">
            <w:pPr>
              <w:pStyle w:val="ListBullet2"/>
            </w:pPr>
            <w:r w:rsidRPr="006719A2">
              <w:t>anti-discrimination and equal opportunity</w:t>
            </w:r>
          </w:p>
          <w:p w:rsidR="00000000" w:rsidRPr="006719A2" w:rsidP="006719A2">
            <w:pPr>
              <w:pStyle w:val="ListBullet2"/>
            </w:pPr>
            <w:r w:rsidRPr="006719A2">
              <w:t>consumer protection, fair trading and trade practices</w:t>
            </w:r>
          </w:p>
          <w:p w:rsidR="00000000" w:rsidRPr="006719A2" w:rsidP="006719A2">
            <w:pPr>
              <w:pStyle w:val="ListBullet2"/>
            </w:pPr>
            <w:r w:rsidRPr="006719A2">
              <w:t>employment and industrial relations</w:t>
            </w:r>
          </w:p>
          <w:p w:rsidR="00000000" w:rsidRPr="006719A2" w:rsidP="006719A2">
            <w:pPr>
              <w:pStyle w:val="ListBullet2"/>
            </w:pPr>
            <w:r w:rsidRPr="006719A2">
              <w:t>environment protection</w:t>
            </w:r>
          </w:p>
          <w:p w:rsidR="00000000" w:rsidRPr="006719A2" w:rsidP="006719A2">
            <w:pPr>
              <w:pStyle w:val="ListBullet2"/>
            </w:pPr>
            <w:r w:rsidRPr="006719A2">
              <w:t>environmental heal</w:t>
            </w:r>
            <w:r w:rsidRPr="006719A2">
              <w:t>th</w:t>
            </w:r>
          </w:p>
          <w:p w:rsidR="00000000" w:rsidRPr="006719A2" w:rsidP="006719A2">
            <w:pPr>
              <w:pStyle w:val="ListBullet2"/>
            </w:pPr>
            <w:r w:rsidRPr="006719A2">
              <w:t>work health and safety (WHS)</w:t>
            </w:r>
          </w:p>
          <w:p w:rsidR="00000000" w:rsidRPr="006719A2" w:rsidP="006719A2">
            <w:pPr>
              <w:pStyle w:val="ListBullet2"/>
            </w:pPr>
            <w:r w:rsidRPr="006719A2">
              <w:t>privacy</w:t>
            </w:r>
          </w:p>
          <w:p w:rsidR="00000000" w:rsidRPr="006719A2" w:rsidP="006719A2">
            <w:pPr>
              <w:pStyle w:val="ListBullet2"/>
            </w:pPr>
            <w:r w:rsidRPr="006719A2">
              <w:t>swimming pools and spas</w:t>
            </w:r>
          </w:p>
          <w:p w:rsidR="00000000" w:rsidRPr="006719A2" w:rsidP="006719A2">
            <w:pPr>
              <w:pStyle w:val="ListBullet2"/>
            </w:pPr>
            <w:r w:rsidRPr="006719A2">
              <w:t>swimming pool and spa safety barriers</w:t>
            </w:r>
          </w:p>
          <w:p w:rsidR="00000000" w:rsidRPr="006719A2" w:rsidP="006719A2">
            <w:pPr>
              <w:pStyle w:val="ListBullet"/>
            </w:pPr>
            <w:r w:rsidRPr="006719A2">
              <w:t>organisational policies and procedures for ensuring compliance with legislation and regulatory framework</w:t>
            </w:r>
          </w:p>
          <w:p w:rsidR="00000000" w:rsidRPr="006719A2" w:rsidP="006719A2">
            <w:pPr>
              <w:pStyle w:val="ListBullet"/>
            </w:pPr>
            <w:r w:rsidRPr="006719A2">
              <w:t>organisational process for maintaining up-to-date knowledge of legislation and regulatory framework</w:t>
            </w:r>
          </w:p>
          <w:p w:rsidR="00000000" w:rsidRPr="006719A2" w:rsidP="006719A2">
            <w:pPr>
              <w:pStyle w:val="ListBullet"/>
            </w:pPr>
            <w:r w:rsidRPr="006719A2">
              <w:t>relevant bodies with carriage and enforcement responsibilities for legislation and regulatory framework</w:t>
            </w:r>
          </w:p>
          <w:p w:rsidR="00000000" w:rsidRPr="006719A2" w:rsidP="006719A2">
            <w:pPr>
              <w:pStyle w:val="ListBullet"/>
            </w:pPr>
            <w:r w:rsidRPr="006719A2">
              <w:t>variance in legislation and regulatory frameworks ac</w:t>
            </w:r>
            <w:r w:rsidRPr="006719A2">
              <w:t>ross jurisdictions</w:t>
            </w:r>
          </w:p>
        </w:tc>
      </w:tr>
    </w:tbl>
    <w:p w:rsidR="00000000" w:rsidRPr="006719A2" w:rsidP="006719A2">
      <w:pPr>
        <w:pStyle w:val="BodyText"/>
      </w:pPr>
    </w:p>
    <w:p w:rsidR="00000000" w:rsidRPr="006719A2" w:rsidP="006719A2">
      <w:pPr>
        <w:pStyle w:val="AllowPageBreak"/>
      </w:pPr>
    </w:p>
    <w:p w:rsidR="00000000" w:rsidRPr="006719A2" w:rsidP="006719A2">
      <w:pPr>
        <w:pStyle w:val="Heading1"/>
      </w:pPr>
      <w:bookmarkStart w:id="10" w:name="O_517320"/>
      <w:bookmarkEnd w:id="10"/>
      <w:r w:rsidRPr="006719A2">
        <w:t>Evidence Guide</w:t>
      </w:r>
    </w:p>
    <w:p w:rsidR="00000000" w:rsidRPr="006719A2" w:rsidP="006719A2">
      <w:pPr>
        <w:pStyle w:val="BodyText"/>
      </w:pPr>
    </w:p>
    <w:tbl>
      <w:tblPr>
        <w:tblW w:w="9462" w:type="dxa"/>
        <w:tblLayout w:type="fixed"/>
        <w:tblCellMar>
          <w:left w:w="62" w:type="dxa"/>
          <w:right w:w="62" w:type="dxa"/>
        </w:tblCellMar>
        <w:tblLook w:val="0000"/>
      </w:tblPr>
      <w:tblGrid>
        <w:gridCol w:w="2694"/>
        <w:gridCol w:w="6768"/>
      </w:tblGrid>
      <w:tr w:rsidTr="006719A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719A2">
            <w:pPr>
              <w:pStyle w:val="BodyText"/>
              <w:rPr>
                <w:lang w:val="en-NZ"/>
              </w:rPr>
            </w:pPr>
            <w:r w:rsidRPr="006719A2">
              <w:t>The evidence guide provides advice on assessment and must be read in conjunction with the performance criteria, required skills and knowledge, range statement and the Assessment Guidelines for the Train</w:t>
            </w:r>
            <w:r w:rsidRPr="006719A2">
              <w:t>ing Package.</w:t>
            </w:r>
          </w:p>
        </w:tc>
      </w:tr>
      <w:tr w:rsidTr="006719A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9A2">
            <w:pPr>
              <w:pStyle w:val="BodyText"/>
              <w:rPr>
                <w:lang w:val="en-NZ"/>
              </w:rPr>
            </w:pPr>
            <w:r w:rsidRPr="006719A2">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9A2">
            <w:pPr>
              <w:pStyle w:val="BodyText"/>
              <w:rPr>
                <w:lang w:val="en-NZ"/>
              </w:rPr>
            </w:pPr>
            <w:r w:rsidRPr="006719A2">
              <w:t>This unit of competency could be assessed by identifying and complying with the regulatory, legislative and organisational requirements that apply to swimming pool and spa servicing.</w:t>
            </w:r>
          </w:p>
        </w:tc>
      </w:tr>
      <w:tr w:rsidTr="006719A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9A2">
            <w:pPr>
              <w:pStyle w:val="BodyText"/>
              <w:rPr>
                <w:lang w:val="en-NZ"/>
              </w:rPr>
            </w:pPr>
            <w:r w:rsidRPr="006719A2">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19A2" w:rsidP="006719A2">
            <w:pPr>
              <w:pStyle w:val="BodyText"/>
            </w:pPr>
            <w:r w:rsidRPr="006719A2">
              <w:t>A person should demonstrate the ability to:</w:t>
            </w:r>
          </w:p>
          <w:p w:rsidR="00000000" w:rsidRPr="006719A2" w:rsidP="006719A2">
            <w:pPr>
              <w:pStyle w:val="ListBullet"/>
            </w:pPr>
            <w:r w:rsidRPr="006719A2">
              <w:t>identify the legislative and regulatory requirements applicable to swimming pool and spa servicing</w:t>
            </w:r>
          </w:p>
          <w:p w:rsidR="00000000" w:rsidRPr="006719A2" w:rsidP="006719A2">
            <w:pPr>
              <w:pStyle w:val="ListBullet"/>
            </w:pPr>
            <w:r w:rsidRPr="006719A2">
              <w:t>demonstrate complia</w:t>
            </w:r>
            <w:r w:rsidRPr="006719A2">
              <w:t>nce with relevant legislative, regulatory and organisational requirements when undertaking swimming pool and spa servicing</w:t>
            </w:r>
          </w:p>
          <w:p w:rsidR="00000000" w:rsidRPr="006719A2" w:rsidP="006719A2">
            <w:pPr>
              <w:pStyle w:val="ListBullet"/>
            </w:pPr>
            <w:r w:rsidRPr="006719A2">
              <w:t>implement procedures for monitoring changes to legislative and regulatory requirements applicable to swimming pool and spa technician</w:t>
            </w:r>
            <w:r w:rsidRPr="006719A2">
              <w:t>s</w:t>
            </w:r>
          </w:p>
          <w:p w:rsidR="00000000" w:rsidP="006719A2">
            <w:pPr>
              <w:pStyle w:val="ListBullet"/>
              <w:rPr>
                <w:lang w:val="en-NZ"/>
              </w:rPr>
            </w:pPr>
            <w:r w:rsidRPr="006719A2">
              <w:t>implement procedures for responding to incidents of non-compliance with regulatory requirements applicable to swimming pool and spa technicians.</w:t>
            </w:r>
          </w:p>
        </w:tc>
      </w:tr>
      <w:tr w:rsidTr="006719A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9A2">
            <w:pPr>
              <w:pStyle w:val="BodyText"/>
              <w:rPr>
                <w:lang w:val="en-NZ"/>
              </w:rPr>
            </w:pPr>
            <w:r w:rsidRPr="006719A2">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19A2" w:rsidP="006719A2">
            <w:pPr>
              <w:pStyle w:val="BodyText"/>
            </w:pPr>
            <w:r w:rsidRPr="006719A2">
              <w:t>Assessment of esse</w:t>
            </w:r>
            <w:r w:rsidRPr="006719A2">
              <w:t>ntial underpinning knowledge may be conducted in an off-site context and is to comply with relevant regulatory and Australian Standards’ requirements.</w:t>
            </w:r>
          </w:p>
          <w:p w:rsidR="00000000" w:rsidRPr="006719A2" w:rsidP="006719A2">
            <w:pPr>
              <w:pStyle w:val="BodyText"/>
            </w:pPr>
            <w:r w:rsidRPr="006719A2">
              <w:t>Resource implications for assessment include:</w:t>
            </w:r>
          </w:p>
          <w:p w:rsidR="00000000" w:rsidRPr="006719A2" w:rsidP="006719A2">
            <w:pPr>
              <w:pStyle w:val="ListBullet"/>
            </w:pPr>
            <w:r w:rsidRPr="006719A2">
              <w:t>relevant codes, standards and government regulations</w:t>
            </w:r>
          </w:p>
          <w:p w:rsidR="00000000" w:rsidRPr="006719A2" w:rsidP="006719A2">
            <w:pPr>
              <w:pStyle w:val="ListBullet"/>
            </w:pPr>
            <w:r w:rsidRPr="006719A2">
              <w:t>compu</w:t>
            </w:r>
            <w:r w:rsidRPr="006719A2">
              <w:t>ter equipment suitable for accessing information on the regulatory framework applicable to swimming pool and spa servicing</w:t>
            </w:r>
          </w:p>
          <w:p w:rsidR="00000000" w:rsidRPr="006719A2" w:rsidP="006719A2">
            <w:pPr>
              <w:pStyle w:val="ListBullet"/>
            </w:pPr>
            <w:r w:rsidRPr="006719A2">
              <w:t>a technical reference library with current versions of:</w:t>
            </w:r>
          </w:p>
          <w:p w:rsidR="00000000" w:rsidRPr="006719A2" w:rsidP="006719A2">
            <w:pPr>
              <w:pStyle w:val="ListBullet2"/>
            </w:pPr>
            <w:r w:rsidRPr="006719A2">
              <w:t>Australian Competition and Consumer Commission product safety guidelines</w:t>
            </w:r>
          </w:p>
          <w:p w:rsidR="00000000" w:rsidRPr="006719A2" w:rsidP="006719A2">
            <w:pPr>
              <w:pStyle w:val="ListBullet2"/>
            </w:pPr>
            <w:r w:rsidRPr="006719A2">
              <w:t>Australian standards</w:t>
            </w:r>
          </w:p>
          <w:p w:rsidR="00000000" w:rsidRPr="006719A2" w:rsidP="006719A2">
            <w:pPr>
              <w:pStyle w:val="ListBullet2"/>
            </w:pPr>
            <w:r w:rsidRPr="006719A2">
              <w:t>National Construction Code</w:t>
            </w:r>
          </w:p>
          <w:p w:rsidR="00000000" w:rsidP="006719A2">
            <w:pPr>
              <w:pStyle w:val="ListBullet2"/>
              <w:rPr>
                <w:lang w:val="en-NZ"/>
              </w:rPr>
            </w:pPr>
            <w:r w:rsidRPr="006719A2">
              <w:t xml:space="preserve">relevant commonwealth, state or territory, and local government legislation and regulations. </w:t>
            </w:r>
          </w:p>
        </w:tc>
      </w:tr>
      <w:tr w:rsidTr="006719A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9A2">
            <w:pPr>
              <w:pStyle w:val="BodyText"/>
              <w:rPr>
                <w:lang w:val="en-NZ"/>
              </w:rPr>
            </w:pPr>
            <w:r w:rsidRPr="006719A2">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19A2" w:rsidP="006719A2">
            <w:pPr>
              <w:pStyle w:val="BodyText"/>
            </w:pPr>
            <w:r w:rsidRPr="006719A2">
              <w:t>Assessment methods must:</w:t>
            </w:r>
          </w:p>
          <w:p w:rsidR="00000000" w:rsidRPr="006719A2" w:rsidP="006719A2">
            <w:pPr>
              <w:pStyle w:val="ListBullet"/>
            </w:pPr>
            <w:r w:rsidRPr="006719A2">
              <w:t>satisfy the endorsed Assessment Guidelines of the CPP07 Property S</w:t>
            </w:r>
            <w:r w:rsidRPr="006719A2">
              <w:t>ervices Training Package</w:t>
            </w:r>
          </w:p>
          <w:p w:rsidR="00000000" w:rsidRPr="006719A2" w:rsidP="006719A2">
            <w:pPr>
              <w:pStyle w:val="ListBullet"/>
            </w:pPr>
            <w:r w:rsidRPr="006719A2">
              <w:t>include direct observation of tasks in real or simulated work conditions, with questioning to confirm the ability to consistently identify and correctly interpret the essential underpinning knowledge required for practical application</w:t>
            </w:r>
          </w:p>
          <w:p w:rsidR="00000000" w:rsidRPr="006719A2" w:rsidP="006719A2">
            <w:pPr>
              <w:pStyle w:val="ListBullet"/>
            </w:pPr>
            <w:r w:rsidRPr="006719A2">
              <w:t>reinforce the integra</w:t>
            </w:r>
            <w:r w:rsidRPr="006719A2">
              <w:t>tion of employability skills with workplace tasks and job roles</w:t>
            </w:r>
          </w:p>
          <w:p w:rsidR="00000000" w:rsidRPr="006719A2" w:rsidP="006719A2">
            <w:pPr>
              <w:pStyle w:val="ListBullet"/>
            </w:pPr>
            <w:r w:rsidRPr="006719A2">
              <w:t>confirm that competency is verified and able to be transferred to other circumstances and environments.</w:t>
            </w:r>
          </w:p>
          <w:p w:rsidR="00000000" w:rsidP="006719A2">
            <w:pPr>
              <w:pStyle w:val="BodyText"/>
              <w:rPr>
                <w:lang w:val="en-NZ"/>
              </w:rPr>
            </w:pPr>
            <w:r w:rsidRPr="006719A2">
              <w:t>This unit could be assessed on its own or in combination with other units relevant to th</w:t>
            </w:r>
            <w:r w:rsidRPr="006719A2">
              <w:t>e job function.</w:t>
            </w:r>
          </w:p>
        </w:tc>
      </w:tr>
      <w:tr w:rsidTr="006719A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9A2">
            <w:pPr>
              <w:pStyle w:val="BodyText"/>
              <w:rPr>
                <w:lang w:val="en-NZ"/>
              </w:rPr>
            </w:pPr>
            <w:r w:rsidRPr="006719A2">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19A2" w:rsidP="006719A2">
            <w:pPr>
              <w:pStyle w:val="BodyText"/>
            </w:pPr>
            <w:r w:rsidRPr="006719A2">
              <w:t>Reasonable adjustments for people with disabilities must be made to assessment processes where required. This could include access to modified equipment and other physical resources, and the provision of</w:t>
            </w:r>
            <w:r w:rsidRPr="006719A2">
              <w:t xml:space="preserve"> </w:t>
            </w:r>
            <w:r w:rsidRPr="006719A2">
              <w:t>appropriate assessment support.</w:t>
            </w:r>
          </w:p>
          <w:p w:rsidR="00000000" w:rsidRPr="006719A2" w:rsidP="006719A2">
            <w:pPr>
              <w:pStyle w:val="BodyText"/>
            </w:pPr>
            <w:r w:rsidRPr="006719A2">
              <w:t>Assessment processes and techniques should, as far as is practical, take into account the language, literacy and numeracy capacity of the candidate in relation to the competency being assessed.</w:t>
            </w:r>
          </w:p>
        </w:tc>
      </w:tr>
    </w:tbl>
    <w:p w:rsidR="00064D53" w:rsidP="006719A2">
      <w:pPr>
        <w:pStyle w:val="BodyText"/>
      </w:pPr>
    </w:p>
    <w:p w:rsidR="00064D53" w:rsidP="006719A2">
      <w:pPr>
        <w:pStyle w:val="BodyText"/>
      </w:pPr>
    </w:p>
    <w:p w:rsidR="00000000" w:rsidRPr="006719A2" w:rsidP="006719A2">
      <w:pPr>
        <w:pStyle w:val="Heading1"/>
      </w:pPr>
      <w:bookmarkStart w:id="11" w:name="O_517319"/>
      <w:bookmarkEnd w:id="11"/>
      <w:r w:rsidRPr="006719A2">
        <w:t>Range Sta</w:t>
      </w:r>
      <w:r w:rsidRPr="006719A2">
        <w:t>tement</w:t>
      </w:r>
    </w:p>
    <w:tbl>
      <w:tblPr>
        <w:tblW w:w="9462" w:type="dxa"/>
        <w:tblLayout w:type="fixed"/>
        <w:tblCellMar>
          <w:left w:w="62" w:type="dxa"/>
          <w:right w:w="62" w:type="dxa"/>
        </w:tblCellMar>
        <w:tblLook w:val="0000"/>
      </w:tblPr>
      <w:tblGrid>
        <w:gridCol w:w="2694"/>
        <w:gridCol w:w="6768"/>
      </w:tblGrid>
      <w:tr w:rsidTr="006719A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719A2">
            <w:pPr>
              <w:pStyle w:val="BodyText"/>
              <w:rPr>
                <w:lang w:val="en-NZ"/>
              </w:rPr>
            </w:pPr>
            <w:r w:rsidRPr="006719A2">
              <w:t xml:space="preserve">The range statement relates to the unit of competency as a whole. It allows for different work environments and situations that may affect performance. </w:t>
            </w:r>
            <w:r w:rsidRPr="006719A2">
              <w:rPr>
                <w:rStyle w:val="BoldandItalics"/>
              </w:rPr>
              <w:t>Bold italicised</w:t>
            </w:r>
            <w:r w:rsidRPr="006719A2">
              <w:t xml:space="preserve"> wording, if used in the performance criteria, is detailed below. Essential operat</w:t>
            </w:r>
            <w:r w:rsidRPr="006719A2">
              <w:t>ing conditions that may be present with training and assessment (depending on the work situation, needs of the candidate, accessibility of the item, and local industry and regional contexts) may also be included.</w:t>
            </w:r>
          </w:p>
        </w:tc>
      </w:tr>
      <w:tr w:rsidTr="006719A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9A2">
            <w:pPr>
              <w:pStyle w:val="BodyText"/>
              <w:rPr>
                <w:lang w:val="en-NZ"/>
              </w:rPr>
            </w:pPr>
            <w:r w:rsidRPr="006719A2">
              <w:rPr>
                <w:rStyle w:val="BoldandItalics"/>
              </w:rPr>
              <w:t xml:space="preserve">Legislative and regulatory requirements </w:t>
            </w:r>
            <w:r w:rsidRPr="006719A2">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19A2" w:rsidP="006719A2">
            <w:pPr>
              <w:pStyle w:val="ListBullet"/>
            </w:pPr>
            <w:r w:rsidRPr="006719A2">
              <w:t>Australian Competition and Consumer Commission product safety guidelines</w:t>
            </w:r>
          </w:p>
          <w:p w:rsidR="00000000" w:rsidRPr="006719A2" w:rsidP="006719A2">
            <w:pPr>
              <w:pStyle w:val="ListBullet"/>
            </w:pPr>
            <w:r w:rsidRPr="006719A2">
              <w:t>Australian standards</w:t>
            </w:r>
          </w:p>
          <w:p w:rsidR="00000000" w:rsidRPr="006719A2" w:rsidP="006719A2">
            <w:pPr>
              <w:pStyle w:val="ListBullet"/>
            </w:pPr>
            <w:r w:rsidRPr="006719A2">
              <w:t>building codes, including National Construction Code</w:t>
            </w:r>
          </w:p>
          <w:p w:rsidR="00000000" w:rsidRPr="006719A2" w:rsidP="006719A2">
            <w:pPr>
              <w:pStyle w:val="ListBullet"/>
            </w:pPr>
            <w:r w:rsidRPr="006719A2">
              <w:t>commonwealth, state or territory, and local government legislation and regulations impacting on</w:t>
            </w:r>
            <w:r w:rsidRPr="006719A2">
              <w:t xml:space="preserve"> swimming pool and spa servicing related to:</w:t>
            </w:r>
          </w:p>
          <w:p w:rsidR="00000000" w:rsidRPr="006719A2" w:rsidP="006719A2">
            <w:pPr>
              <w:pStyle w:val="ListBullet2"/>
            </w:pPr>
            <w:r w:rsidRPr="006719A2">
              <w:t>anti-discrimination and equal opportunity</w:t>
            </w:r>
          </w:p>
          <w:p w:rsidR="00000000" w:rsidRPr="006719A2" w:rsidP="006719A2">
            <w:pPr>
              <w:pStyle w:val="ListBullet2"/>
            </w:pPr>
            <w:r w:rsidRPr="006719A2">
              <w:t>chemicals</w:t>
            </w:r>
          </w:p>
          <w:p w:rsidR="00000000" w:rsidRPr="006719A2" w:rsidP="006719A2">
            <w:pPr>
              <w:pStyle w:val="ListBullet2"/>
            </w:pPr>
            <w:r w:rsidRPr="006719A2">
              <w:t>consumer protection, fair trading and trade practices</w:t>
            </w:r>
          </w:p>
          <w:p w:rsidR="00000000" w:rsidRPr="006719A2" w:rsidP="006719A2">
            <w:pPr>
              <w:pStyle w:val="ListBullet2"/>
            </w:pPr>
            <w:r w:rsidRPr="006719A2">
              <w:t>contracts</w:t>
            </w:r>
          </w:p>
          <w:p w:rsidR="00000000" w:rsidRPr="006719A2" w:rsidP="006719A2">
            <w:pPr>
              <w:pStyle w:val="ListBullet2"/>
            </w:pPr>
            <w:r w:rsidRPr="006719A2">
              <w:t>dangerous goods</w:t>
            </w:r>
          </w:p>
          <w:p w:rsidR="00000000" w:rsidRPr="006719A2" w:rsidP="006719A2">
            <w:pPr>
              <w:pStyle w:val="ListBullet2"/>
            </w:pPr>
            <w:r w:rsidRPr="006719A2">
              <w:t>employment and industrial relations</w:t>
            </w:r>
          </w:p>
          <w:p w:rsidR="00000000" w:rsidRPr="006719A2" w:rsidP="006719A2">
            <w:pPr>
              <w:pStyle w:val="ListBullet2"/>
            </w:pPr>
            <w:r w:rsidRPr="006719A2">
              <w:t>environment protection</w:t>
            </w:r>
          </w:p>
          <w:p w:rsidR="00000000" w:rsidRPr="006719A2" w:rsidP="006719A2">
            <w:pPr>
              <w:pStyle w:val="ListBullet2"/>
            </w:pPr>
            <w:r w:rsidRPr="006719A2">
              <w:t>environmental health</w:t>
            </w:r>
          </w:p>
          <w:p w:rsidR="00000000" w:rsidRPr="006719A2" w:rsidP="006719A2">
            <w:pPr>
              <w:pStyle w:val="ListBullet2"/>
            </w:pPr>
            <w:r w:rsidRPr="006719A2">
              <w:t>WHS</w:t>
            </w:r>
          </w:p>
          <w:p w:rsidR="00000000" w:rsidRPr="006719A2" w:rsidP="006719A2">
            <w:pPr>
              <w:pStyle w:val="ListBullet2"/>
            </w:pPr>
            <w:r w:rsidRPr="006719A2">
              <w:t>privacy</w:t>
            </w:r>
          </w:p>
          <w:p w:rsidR="00000000" w:rsidRPr="006719A2" w:rsidP="006719A2">
            <w:pPr>
              <w:pStyle w:val="ListBullet2"/>
            </w:pPr>
            <w:r w:rsidRPr="006719A2">
              <w:t>swimming pools and spas</w:t>
            </w:r>
          </w:p>
          <w:p w:rsidR="00000000" w:rsidP="006719A2">
            <w:pPr>
              <w:pStyle w:val="ListBullet2"/>
              <w:rPr>
                <w:lang w:val="en-NZ"/>
              </w:rPr>
            </w:pPr>
            <w:r w:rsidRPr="006719A2">
              <w:t>swimming pool and spa barriers.</w:t>
            </w:r>
          </w:p>
        </w:tc>
      </w:tr>
      <w:tr w:rsidTr="006719A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9A2">
            <w:pPr>
              <w:pStyle w:val="BodyText"/>
              <w:rPr>
                <w:lang w:val="en-NZ"/>
              </w:rPr>
            </w:pPr>
            <w:r w:rsidRPr="006719A2">
              <w:rPr>
                <w:rStyle w:val="BoldandItalics"/>
              </w:rPr>
              <w:t xml:space="preserve">Relevant personnel </w:t>
            </w:r>
            <w:r w:rsidRPr="006719A2">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19A2" w:rsidP="006719A2">
            <w:pPr>
              <w:pStyle w:val="ListBullet"/>
            </w:pPr>
            <w:r w:rsidRPr="006719A2">
              <w:t>business owner</w:t>
            </w:r>
          </w:p>
          <w:p w:rsidR="00000000" w:rsidRPr="006719A2" w:rsidP="006719A2">
            <w:pPr>
              <w:pStyle w:val="ListBullet"/>
            </w:pPr>
            <w:r w:rsidRPr="006719A2">
              <w:t>professional associations</w:t>
            </w:r>
          </w:p>
          <w:p w:rsidR="00000000" w:rsidRPr="006719A2" w:rsidP="006719A2">
            <w:pPr>
              <w:pStyle w:val="ListBullet"/>
            </w:pPr>
            <w:r w:rsidRPr="006719A2">
              <w:t>regulatory bodies</w:t>
            </w:r>
          </w:p>
          <w:p w:rsidR="00000000" w:rsidRPr="006719A2" w:rsidP="006719A2">
            <w:pPr>
              <w:pStyle w:val="ListBullet"/>
            </w:pPr>
            <w:r w:rsidRPr="006719A2">
              <w:t>supervisors</w:t>
            </w:r>
          </w:p>
          <w:p w:rsidR="00000000" w:rsidP="006719A2">
            <w:pPr>
              <w:pStyle w:val="ListBullet"/>
              <w:rPr>
                <w:lang w:val="en-NZ"/>
              </w:rPr>
            </w:pPr>
            <w:r w:rsidRPr="006719A2">
              <w:t>work colleagues.</w:t>
            </w:r>
          </w:p>
        </w:tc>
      </w:tr>
      <w:tr w:rsidTr="006719A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9A2">
            <w:pPr>
              <w:pStyle w:val="BodyText"/>
              <w:rPr>
                <w:lang w:val="en-NZ"/>
              </w:rPr>
            </w:pPr>
            <w:r w:rsidRPr="006719A2">
              <w:rPr>
                <w:rStyle w:val="BoldandItalics"/>
              </w:rPr>
              <w:t>Work duties and responsibilities</w:t>
            </w:r>
            <w:r w:rsidRPr="006719A2">
              <w:rPr>
                <w:rStyle w:val="Emphasis"/>
              </w:rPr>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19A2" w:rsidP="006719A2">
            <w:pPr>
              <w:pStyle w:val="ListBullet"/>
            </w:pPr>
            <w:r w:rsidRPr="006719A2">
              <w:t>cash handling</w:t>
            </w:r>
          </w:p>
          <w:p w:rsidR="00000000" w:rsidRPr="006719A2" w:rsidP="006719A2">
            <w:pPr>
              <w:pStyle w:val="ListBullet"/>
            </w:pPr>
            <w:r w:rsidRPr="006719A2">
              <w:t>chemicals:</w:t>
            </w:r>
          </w:p>
          <w:p w:rsidR="00000000" w:rsidRPr="006719A2" w:rsidP="006719A2">
            <w:pPr>
              <w:pStyle w:val="ListBullet2"/>
            </w:pPr>
            <w:r w:rsidRPr="006719A2">
              <w:t>handling</w:t>
            </w:r>
          </w:p>
          <w:p w:rsidR="00000000" w:rsidRPr="006719A2" w:rsidP="006719A2">
            <w:pPr>
              <w:pStyle w:val="ListBullet2"/>
            </w:pPr>
            <w:r w:rsidRPr="006719A2">
              <w:t>use</w:t>
            </w:r>
          </w:p>
          <w:p w:rsidR="00000000" w:rsidRPr="006719A2" w:rsidP="006719A2">
            <w:pPr>
              <w:pStyle w:val="ListBullet2"/>
            </w:pPr>
            <w:r w:rsidRPr="006719A2">
              <w:t>safety</w:t>
            </w:r>
          </w:p>
          <w:p w:rsidR="00000000" w:rsidRPr="006719A2" w:rsidP="006719A2">
            <w:pPr>
              <w:pStyle w:val="ListBullet2"/>
            </w:pPr>
            <w:r w:rsidRPr="006719A2">
              <w:t>transport</w:t>
            </w:r>
          </w:p>
          <w:p w:rsidR="00000000" w:rsidRPr="006719A2" w:rsidP="006719A2">
            <w:pPr>
              <w:pStyle w:val="ListBullet"/>
            </w:pPr>
            <w:r w:rsidRPr="006719A2">
              <w:t>completion of documentation requirements</w:t>
            </w:r>
          </w:p>
          <w:p w:rsidR="00000000" w:rsidRPr="006719A2" w:rsidP="006719A2">
            <w:pPr>
              <w:pStyle w:val="ListBullet"/>
            </w:pPr>
            <w:r w:rsidRPr="006719A2">
              <w:t>customer service</w:t>
            </w:r>
          </w:p>
          <w:p w:rsidR="00000000" w:rsidRPr="006719A2" w:rsidP="006719A2">
            <w:pPr>
              <w:pStyle w:val="ListBullet"/>
            </w:pPr>
            <w:r w:rsidRPr="006719A2">
              <w:t>duty of care</w:t>
            </w:r>
          </w:p>
          <w:p w:rsidR="00000000" w:rsidRPr="006719A2" w:rsidP="006719A2">
            <w:pPr>
              <w:pStyle w:val="ListBullet"/>
            </w:pPr>
            <w:r w:rsidRPr="006719A2">
              <w:t>environmental health</w:t>
            </w:r>
          </w:p>
          <w:p w:rsidR="00000000" w:rsidRPr="006719A2" w:rsidP="006719A2">
            <w:pPr>
              <w:pStyle w:val="ListBullet"/>
            </w:pPr>
            <w:r w:rsidRPr="006719A2">
              <w:t>WHS</w:t>
            </w:r>
          </w:p>
          <w:p w:rsidR="00000000" w:rsidRPr="006719A2" w:rsidP="006719A2">
            <w:pPr>
              <w:pStyle w:val="ListBullet"/>
            </w:pPr>
            <w:r w:rsidRPr="006719A2">
              <w:t>provision of swimming pool and spa servicing and repair</w:t>
            </w:r>
          </w:p>
          <w:p w:rsidR="00000000" w:rsidRPr="006719A2" w:rsidP="006719A2">
            <w:pPr>
              <w:pStyle w:val="ListBullet"/>
            </w:pPr>
            <w:r w:rsidRPr="006719A2">
              <w:t>risk mitigation</w:t>
            </w:r>
          </w:p>
          <w:p w:rsidR="00000000" w:rsidRPr="006719A2" w:rsidP="006719A2">
            <w:pPr>
              <w:pStyle w:val="ListBullet"/>
            </w:pPr>
            <w:r w:rsidRPr="006719A2">
              <w:t>sustainability</w:t>
            </w:r>
          </w:p>
          <w:p w:rsidR="00000000" w:rsidRPr="006719A2" w:rsidP="006719A2">
            <w:pPr>
              <w:pStyle w:val="ListBullet"/>
            </w:pPr>
            <w:r w:rsidRPr="006719A2">
              <w:t>transport</w:t>
            </w:r>
          </w:p>
          <w:p w:rsidR="00000000" w:rsidP="006719A2">
            <w:pPr>
              <w:pStyle w:val="ListBullet"/>
              <w:rPr>
                <w:lang w:val="en-NZ"/>
              </w:rPr>
            </w:pPr>
            <w:r w:rsidRPr="006719A2">
              <w:t>waste disposal.</w:t>
            </w:r>
          </w:p>
        </w:tc>
      </w:tr>
      <w:tr w:rsidTr="006719A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9A2">
            <w:pPr>
              <w:pStyle w:val="BodyText"/>
              <w:rPr>
                <w:lang w:val="en-NZ"/>
              </w:rPr>
            </w:pPr>
            <w:r w:rsidRPr="006719A2">
              <w:rPr>
                <w:rStyle w:val="BoldandItalics"/>
              </w:rPr>
              <w:t>Breaches of regulatory framework</w:t>
            </w:r>
            <w:r w:rsidRPr="006719A2">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19A2" w:rsidP="006719A2">
            <w:pPr>
              <w:pStyle w:val="ListBullet"/>
            </w:pPr>
            <w:r w:rsidRPr="006719A2">
              <w:t>intentional or unintentional breaches by staff or supervisor</w:t>
            </w:r>
          </w:p>
          <w:p w:rsidR="00000000" w:rsidP="006719A2">
            <w:pPr>
              <w:pStyle w:val="ListBullet"/>
              <w:rPr>
                <w:lang w:val="en-NZ"/>
              </w:rPr>
            </w:pPr>
            <w:r w:rsidRPr="006719A2">
              <w:t>negligence.</w:t>
            </w:r>
          </w:p>
        </w:tc>
      </w:tr>
      <w:tr w:rsidTr="006719A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9A2">
            <w:pPr>
              <w:pStyle w:val="BodyText"/>
              <w:rPr>
                <w:lang w:val="en-NZ"/>
              </w:rPr>
            </w:pPr>
            <w:r w:rsidRPr="006719A2">
              <w:rPr>
                <w:rStyle w:val="BoldandItalics"/>
              </w:rPr>
              <w:t>Inadequacies in workplace procedures</w:t>
            </w:r>
            <w:r w:rsidRPr="006719A2">
              <w:rPr>
                <w:rStyle w:val="Emphasis"/>
              </w:rPr>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19A2" w:rsidP="006719A2">
            <w:pPr>
              <w:pStyle w:val="ListBullet"/>
            </w:pPr>
            <w:r w:rsidRPr="006719A2">
              <w:t>inadequate resources available</w:t>
            </w:r>
          </w:p>
          <w:p w:rsidR="00000000" w:rsidRPr="006719A2" w:rsidP="006719A2">
            <w:pPr>
              <w:pStyle w:val="ListBullet"/>
            </w:pPr>
            <w:r w:rsidRPr="006719A2">
              <w:t>invalid policies and procedures due to changes in regulations, work environment or legislation</w:t>
            </w:r>
          </w:p>
          <w:p w:rsidR="00000000" w:rsidRPr="006719A2" w:rsidP="006719A2">
            <w:pPr>
              <w:pStyle w:val="ListBullet"/>
            </w:pPr>
            <w:r w:rsidRPr="006719A2">
              <w:t xml:space="preserve">lack of training to support understanding and compliance with </w:t>
            </w:r>
            <w:r w:rsidRPr="006719A2">
              <w:t>procedures</w:t>
            </w:r>
          </w:p>
          <w:p w:rsidR="00000000" w:rsidRPr="006719A2" w:rsidP="006719A2">
            <w:pPr>
              <w:pStyle w:val="ListBullet"/>
            </w:pPr>
            <w:r w:rsidRPr="006719A2">
              <w:t>unrealistic procedures that reduce capacity to comply with regulations</w:t>
            </w:r>
          </w:p>
          <w:p w:rsidR="00000000" w:rsidRPr="006719A2" w:rsidP="006719A2">
            <w:pPr>
              <w:pStyle w:val="ListBullet"/>
            </w:pPr>
            <w:r w:rsidRPr="006719A2">
              <w:t>unsuitable timefr</w:t>
            </w:r>
            <w:r w:rsidRPr="006719A2">
              <w:t>ames for completion of tasks.</w:t>
            </w:r>
          </w:p>
        </w:tc>
      </w:tr>
    </w:tbl>
    <w:p w:rsidR="00000000" w:rsidRPr="006719A2" w:rsidP="006719A2">
      <w:pPr>
        <w:pStyle w:val="BodyText"/>
      </w:pPr>
    </w:p>
    <w:p w:rsidR="00000000" w:rsidRPr="006719A2" w:rsidP="006719A2">
      <w:pPr>
        <w:pStyle w:val="AllowPageBreak"/>
      </w:pPr>
    </w:p>
    <w:p w:rsidR="00000000" w:rsidRPr="006719A2" w:rsidP="006719A2">
      <w:pPr>
        <w:pStyle w:val="Heading1"/>
      </w:pPr>
      <w:bookmarkStart w:id="12" w:name="O_517318"/>
      <w:bookmarkEnd w:id="12"/>
      <w:r w:rsidRPr="006719A2">
        <w:t>Unit Sector(s)</w:t>
      </w:r>
    </w:p>
    <w:tbl>
      <w:tblPr>
        <w:tblW w:w="9354" w:type="dxa"/>
        <w:tblLayout w:type="fixed"/>
        <w:tblCellMar>
          <w:left w:w="62" w:type="dxa"/>
          <w:right w:w="62" w:type="dxa"/>
        </w:tblCellMar>
        <w:tblLook w:val="0000"/>
      </w:tblPr>
      <w:tblGrid>
        <w:gridCol w:w="2592"/>
        <w:gridCol w:w="6762"/>
      </w:tblGrid>
      <w:tr w:rsidTr="006719A2">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6719A2">
            <w:pPr>
              <w:pStyle w:val="BodyText"/>
              <w:rPr>
                <w:lang w:val="en-NZ"/>
              </w:rPr>
            </w:pPr>
            <w:r w:rsidRPr="006719A2">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6719A2">
            <w:pPr>
              <w:pStyle w:val="BodyText"/>
              <w:rPr>
                <w:lang w:val="en-NZ"/>
              </w:rPr>
            </w:pPr>
          </w:p>
        </w:tc>
      </w:tr>
      <w:tr w:rsidTr="006719A2">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6719A2">
            <w:pPr>
              <w:pStyle w:val="BodyText"/>
              <w:rPr>
                <w:lang w:val="en-NZ"/>
              </w:rPr>
            </w:pPr>
            <w:r w:rsidRPr="006719A2">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6719A2" w:rsidP="006719A2">
            <w:pPr>
              <w:pStyle w:val="BodyText"/>
            </w:pPr>
            <w:r w:rsidRPr="006719A2">
              <w:t>Swimming pools and spas service</w:t>
            </w:r>
          </w:p>
        </w:tc>
      </w:tr>
    </w:tbl>
    <w:p w:rsidR="00000000" w:rsidRPr="006719A2" w:rsidP="006719A2">
      <w:pPr>
        <w:pStyle w:val="BodyText"/>
      </w:pPr>
    </w:p>
    <w:p w:rsidR="00000000" w:rsidRPr="006719A2" w:rsidP="006719A2">
      <w:pPr>
        <w:pStyle w:val="AllowPageBreak"/>
      </w:pPr>
    </w:p>
    <w:p w:rsidR="00000000" w:rsidRPr="006719A2" w:rsidP="006719A2">
      <w:pPr>
        <w:pStyle w:val="Heading1"/>
      </w:pPr>
      <w:bookmarkStart w:id="13" w:name="O_517317"/>
      <w:bookmarkEnd w:id="13"/>
      <w:r w:rsidRPr="006719A2">
        <w:t>Custom Content Section</w:t>
      </w:r>
    </w:p>
    <w:p w:rsidR="00000000" w:rsidRPr="006719A2" w:rsidP="006719A2">
      <w:pPr>
        <w:pStyle w:val="BodyText"/>
      </w:pPr>
      <w:r w:rsidRPr="006719A2">
        <w:t>Not applicable.</w:t>
      </w:r>
    </w:p>
    <w:p w:rsidR="00000000" w:rsidRPr="006719A2" w:rsidP="006719A2"/>
    <w:sectPr w:rsidSect="006719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A2" w:rsidRPr="00064D53" w:rsidP="00064D5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D53" w:rsidP="006719A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64D53" w:rsidP="006719A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64D53" w:rsidP="006719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A2" w:rsidRPr="00064D53" w:rsidP="00064D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D53" w:rsidRPr="002D2AF8" w:rsidP="006719A2">
    <w:pPr>
      <w:pStyle w:val="Header"/>
      <w:framePr w:wrap="around"/>
    </w:pPr>
    <w:r>
      <w:fldChar w:fldCharType="begin"/>
    </w:r>
    <w:r>
      <w:instrText xml:space="preserve"> TITLE   \* MERGEFORMAT </w:instrText>
    </w:r>
    <w:r>
      <w:fldChar w:fldCharType="separate"/>
    </w:r>
    <w:r>
      <w:t>CPPSPS4011A Comply with regulatory requirements for swimming pool and spa servicing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064D53" w:rsidP="006719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F6AD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948F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3872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9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19A2"/>
    <w:pPr>
      <w:spacing w:before="360" w:after="60"/>
      <w:outlineLvl w:val="0"/>
    </w:pPr>
    <w:rPr>
      <w:sz w:val="32"/>
    </w:rPr>
  </w:style>
  <w:style w:type="paragraph" w:styleId="Heading2">
    <w:name w:val="heading 2"/>
    <w:basedOn w:val="HeadingBase"/>
    <w:next w:val="BodyText"/>
    <w:link w:val="Heading2Char"/>
    <w:qFormat/>
    <w:rsid w:val="006719A2"/>
    <w:pPr>
      <w:keepLines/>
      <w:spacing w:before="240" w:after="120"/>
      <w:outlineLvl w:val="1"/>
    </w:pPr>
    <w:rPr>
      <w:sz w:val="28"/>
      <w:szCs w:val="40"/>
    </w:rPr>
  </w:style>
  <w:style w:type="paragraph" w:styleId="Heading3">
    <w:name w:val="heading 3"/>
    <w:basedOn w:val="HeadingBase"/>
    <w:next w:val="BodyText"/>
    <w:link w:val="Heading3Char"/>
    <w:qFormat/>
    <w:rsid w:val="006719A2"/>
    <w:pPr>
      <w:spacing w:before="180" w:after="120"/>
      <w:outlineLvl w:val="2"/>
    </w:pPr>
    <w:rPr>
      <w:spacing w:val="-10"/>
      <w:kern w:val="32"/>
    </w:rPr>
  </w:style>
  <w:style w:type="paragraph" w:styleId="Heading4">
    <w:name w:val="heading 4"/>
    <w:basedOn w:val="HeadingBase"/>
    <w:next w:val="BodyText"/>
    <w:link w:val="Heading4Char"/>
    <w:qFormat/>
    <w:rsid w:val="006719A2"/>
    <w:pPr>
      <w:spacing w:before="160" w:after="120"/>
      <w:outlineLvl w:val="3"/>
    </w:pPr>
    <w:rPr>
      <w:sz w:val="22"/>
    </w:rPr>
  </w:style>
  <w:style w:type="paragraph" w:styleId="Heading5">
    <w:name w:val="heading 5"/>
    <w:basedOn w:val="HeadingBase"/>
    <w:next w:val="Normal"/>
    <w:link w:val="Heading5Char"/>
    <w:qFormat/>
    <w:rsid w:val="006719A2"/>
    <w:pPr>
      <w:spacing w:before="80"/>
      <w:outlineLvl w:val="4"/>
    </w:pPr>
    <w:rPr>
      <w:color w:val="918585"/>
      <w:sz w:val="20"/>
    </w:rPr>
  </w:style>
  <w:style w:type="paragraph" w:styleId="Heading6">
    <w:name w:val="heading 6"/>
    <w:basedOn w:val="HeadingBase"/>
    <w:next w:val="Normal"/>
    <w:link w:val="Heading6Char"/>
    <w:qFormat/>
    <w:rsid w:val="006719A2"/>
    <w:pPr>
      <w:spacing w:before="60"/>
      <w:outlineLvl w:val="5"/>
    </w:pPr>
    <w:rPr>
      <w:color w:val="918585"/>
      <w:sz w:val="20"/>
    </w:rPr>
  </w:style>
  <w:style w:type="paragraph" w:styleId="Heading7">
    <w:name w:val="heading 7"/>
    <w:basedOn w:val="Normal"/>
    <w:next w:val="Normal"/>
    <w:link w:val="Heading7Char"/>
    <w:qFormat/>
    <w:rsid w:val="006719A2"/>
    <w:pPr>
      <w:ind w:left="720"/>
      <w:outlineLvl w:val="6"/>
    </w:pPr>
    <w:rPr>
      <w:i/>
    </w:rPr>
  </w:style>
  <w:style w:type="paragraph" w:styleId="Heading8">
    <w:name w:val="heading 8"/>
    <w:basedOn w:val="Normal"/>
    <w:next w:val="Normal"/>
    <w:link w:val="Heading8Char"/>
    <w:qFormat/>
    <w:rsid w:val="006719A2"/>
    <w:pPr>
      <w:ind w:left="720"/>
      <w:outlineLvl w:val="7"/>
    </w:pPr>
    <w:rPr>
      <w:i/>
    </w:rPr>
  </w:style>
  <w:style w:type="paragraph" w:styleId="Heading9">
    <w:name w:val="heading 9"/>
    <w:basedOn w:val="Normal"/>
    <w:next w:val="Normal"/>
    <w:link w:val="Heading9Char"/>
    <w:qFormat/>
    <w:rsid w:val="006719A2"/>
    <w:pPr>
      <w:ind w:left="720"/>
      <w:outlineLvl w:val="8"/>
    </w:pPr>
    <w:rPr>
      <w:i/>
    </w:rPr>
  </w:style>
  <w:style w:type="character" w:default="1" w:styleId="DefaultParagraphFont">
    <w:name w:val="Default Paragraph Font"/>
    <w:uiPriority w:val="1"/>
    <w:unhideWhenUsed/>
    <w:rsid w:val="006719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9A2"/>
  </w:style>
  <w:style w:type="character" w:customStyle="1" w:styleId="Heading1Char">
    <w:name w:val="Heading 1 Char"/>
    <w:basedOn w:val="DefaultParagraphFont"/>
    <w:link w:val="Heading1"/>
    <w:rsid w:val="006719A2"/>
    <w:rPr>
      <w:rFonts w:ascii="Times New Roman" w:eastAsia="Times New Roman" w:hAnsi="Times New Roman" w:cs="Times New Roman"/>
      <w:b/>
      <w:sz w:val="32"/>
      <w:szCs w:val="20"/>
      <w:lang w:eastAsia="en-US"/>
    </w:rPr>
  </w:style>
  <w:style w:type="paragraph" w:styleId="BodyText">
    <w:name w:val="Body Text"/>
    <w:basedOn w:val="Normal"/>
    <w:link w:val="BodyTextChar"/>
    <w:rsid w:val="006719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19A2"/>
    <w:rPr>
      <w:rFonts w:ascii="Times New Roman" w:eastAsia="Times New Roman" w:hAnsi="Times New Roman" w:cs="Times New Roman"/>
      <w:sz w:val="24"/>
      <w:lang w:eastAsia="en-US"/>
    </w:rPr>
  </w:style>
  <w:style w:type="paragraph" w:styleId="ListBullet">
    <w:name w:val="List Bullet"/>
    <w:basedOn w:val="List"/>
    <w:rsid w:val="006719A2"/>
    <w:pPr>
      <w:numPr>
        <w:numId w:val="13"/>
      </w:numPr>
      <w:tabs>
        <w:tab w:val="clear" w:pos="340"/>
      </w:tabs>
      <w:spacing w:before="40" w:after="40"/>
    </w:pPr>
  </w:style>
  <w:style w:type="character" w:customStyle="1" w:styleId="SpecialBold">
    <w:name w:val="Special Bold"/>
    <w:basedOn w:val="DefaultParagraphFont"/>
    <w:rsid w:val="006719A2"/>
    <w:rPr>
      <w:b/>
      <w:spacing w:val="0"/>
    </w:rPr>
  </w:style>
  <w:style w:type="paragraph" w:styleId="ListBullet2">
    <w:name w:val="List Bullet 2"/>
    <w:basedOn w:val="List2"/>
    <w:rsid w:val="006719A2"/>
    <w:pPr>
      <w:numPr>
        <w:numId w:val="14"/>
      </w:numPr>
      <w:tabs>
        <w:tab w:val="clear" w:pos="680"/>
      </w:tabs>
    </w:pPr>
  </w:style>
  <w:style w:type="character" w:styleId="Emphasis">
    <w:name w:val="Emphasis"/>
    <w:basedOn w:val="DefaultParagraphFont"/>
    <w:qFormat/>
    <w:rsid w:val="006719A2"/>
    <w:rPr>
      <w:i/>
    </w:rPr>
  </w:style>
  <w:style w:type="paragraph" w:customStyle="1" w:styleId="SuperHeading">
    <w:name w:val="SuperHeading"/>
    <w:basedOn w:val="Normal"/>
    <w:rsid w:val="006719A2"/>
    <w:pPr>
      <w:spacing w:before="240" w:after="120"/>
      <w:outlineLvl w:val="0"/>
    </w:pPr>
    <w:rPr>
      <w:rFonts w:ascii="Times New Roman" w:hAnsi="Times New Roman"/>
      <w:b/>
      <w:sz w:val="32"/>
    </w:rPr>
  </w:style>
  <w:style w:type="paragraph" w:customStyle="1" w:styleId="AllowPageBreak">
    <w:name w:val="AllowPageBreak"/>
    <w:rsid w:val="006719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19A2"/>
    <w:rPr>
      <w:b/>
      <w:i/>
      <w:u w:val="none"/>
    </w:rPr>
  </w:style>
  <w:style w:type="character" w:customStyle="1" w:styleId="Heading2Char">
    <w:name w:val="Heading 2 Char"/>
    <w:basedOn w:val="DefaultParagraphFont"/>
    <w:link w:val="Heading2"/>
    <w:rsid w:val="006719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9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9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9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9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9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19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19A2"/>
    <w:rPr>
      <w:rFonts w:ascii="Courier New" w:eastAsia="Times New Roman" w:hAnsi="Courier New" w:cs="Times New Roman"/>
      <w:i/>
      <w:szCs w:val="20"/>
      <w:lang w:eastAsia="en-US"/>
    </w:rPr>
  </w:style>
  <w:style w:type="paragraph" w:customStyle="1" w:styleId="HeadingBase">
    <w:name w:val="Heading Base"/>
    <w:rsid w:val="006719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9A2"/>
    <w:pPr>
      <w:tabs>
        <w:tab w:val="right" w:leader="dot" w:pos="9072"/>
      </w:tabs>
      <w:ind w:left="567"/>
    </w:pPr>
    <w:rPr>
      <w:szCs w:val="22"/>
    </w:rPr>
  </w:style>
  <w:style w:type="paragraph" w:customStyle="1" w:styleId="TOCBase">
    <w:name w:val="TOC Base"/>
    <w:rsid w:val="006719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9A2"/>
    <w:pPr>
      <w:tabs>
        <w:tab w:val="right" w:leader="dot" w:pos="9072"/>
      </w:tabs>
      <w:spacing w:before="40" w:after="40"/>
      <w:ind w:left="284"/>
    </w:pPr>
    <w:rPr>
      <w:rFonts w:ascii="Times New Roman" w:hAnsi="Times New Roman"/>
    </w:rPr>
  </w:style>
  <w:style w:type="paragraph" w:styleId="TOC1">
    <w:name w:val="toc 1"/>
    <w:basedOn w:val="TOCBase"/>
    <w:next w:val="Normal"/>
    <w:rsid w:val="006719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19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9A2"/>
    <w:rPr>
      <w:rFonts w:ascii="Times New Roman" w:eastAsia="Times New Roman" w:hAnsi="Times New Roman" w:cs="Times New Roman"/>
      <w:sz w:val="16"/>
      <w:lang w:eastAsia="en-US"/>
    </w:rPr>
  </w:style>
  <w:style w:type="paragraph" w:styleId="Title">
    <w:name w:val="Title"/>
    <w:basedOn w:val="HeadingBase"/>
    <w:link w:val="TitleChar"/>
    <w:qFormat/>
    <w:rsid w:val="006719A2"/>
    <w:pPr>
      <w:spacing w:before="5040"/>
      <w:jc w:val="center"/>
    </w:pPr>
    <w:rPr>
      <w:sz w:val="48"/>
      <w:szCs w:val="72"/>
      <w:lang w:val="en-US"/>
    </w:rPr>
  </w:style>
  <w:style w:type="character" w:customStyle="1" w:styleId="TitleChar">
    <w:name w:val="Title Char"/>
    <w:basedOn w:val="DefaultParagraphFont"/>
    <w:link w:val="Title"/>
    <w:rsid w:val="006719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9A2"/>
    <w:pPr>
      <w:tabs>
        <w:tab w:val="left" w:pos="3600"/>
        <w:tab w:val="left" w:pos="3958"/>
      </w:tabs>
    </w:pPr>
  </w:style>
  <w:style w:type="paragraph" w:styleId="List">
    <w:name w:val="List"/>
    <w:basedOn w:val="BodyText"/>
    <w:next w:val="BodyText"/>
    <w:rsid w:val="006719A2"/>
    <w:pPr>
      <w:tabs>
        <w:tab w:val="left" w:pos="340"/>
      </w:tabs>
      <w:spacing w:before="60" w:after="60"/>
      <w:ind w:left="340" w:hanging="340"/>
    </w:pPr>
  </w:style>
  <w:style w:type="paragraph" w:customStyle="1" w:styleId="Note">
    <w:name w:val="Note"/>
    <w:basedOn w:val="BodyText"/>
    <w:rsid w:val="006719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19A2"/>
    <w:pPr>
      <w:framePr w:wrap="auto" w:hAnchor="text" w:y="6049"/>
    </w:pPr>
    <w:rPr>
      <w:color w:val="000000"/>
      <w:sz w:val="40"/>
    </w:rPr>
  </w:style>
  <w:style w:type="paragraph" w:customStyle="1" w:styleId="TOCTitle">
    <w:name w:val="TOCTitle"/>
    <w:basedOn w:val="Heading1"/>
    <w:rsid w:val="006719A2"/>
    <w:pPr>
      <w:spacing w:after="240"/>
      <w:jc w:val="center"/>
      <w:outlineLvl w:val="9"/>
    </w:pPr>
    <w:rPr>
      <w:caps/>
    </w:rPr>
  </w:style>
  <w:style w:type="paragraph" w:customStyle="1" w:styleId="Version">
    <w:name w:val="Version"/>
    <w:rsid w:val="006719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19A2"/>
    <w:pPr>
      <w:keepNext w:val="0"/>
      <w:tabs>
        <w:tab w:val="right" w:pos="4176"/>
      </w:tabs>
      <w:ind w:left="198" w:hanging="198"/>
    </w:pPr>
    <w:rPr>
      <w:rFonts w:ascii="Garamond" w:hAnsi="Garamond"/>
    </w:rPr>
  </w:style>
  <w:style w:type="paragraph" w:styleId="IndexHeading">
    <w:name w:val="index heading"/>
    <w:basedOn w:val="Normal"/>
    <w:next w:val="Index1"/>
    <w:semiHidden/>
    <w:rsid w:val="006719A2"/>
    <w:pPr>
      <w:spacing w:before="120" w:after="120"/>
    </w:pPr>
    <w:rPr>
      <w:rFonts w:ascii="Arial" w:hAnsi="Arial"/>
      <w:b/>
      <w:color w:val="918585"/>
      <w:sz w:val="24"/>
    </w:rPr>
  </w:style>
  <w:style w:type="paragraph" w:styleId="Header">
    <w:name w:val="header"/>
    <w:basedOn w:val="Normal"/>
    <w:link w:val="HeaderChar"/>
    <w:rsid w:val="006719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9A2"/>
    <w:rPr>
      <w:rFonts w:ascii="Times New Roman" w:eastAsia="Times New Roman" w:hAnsi="Times New Roman" w:cs="Times New Roman"/>
      <w:sz w:val="16"/>
      <w:szCs w:val="20"/>
      <w:lang w:val="en-GB" w:eastAsia="en-US"/>
    </w:rPr>
  </w:style>
  <w:style w:type="paragraph" w:customStyle="1" w:styleId="Chapter">
    <w:name w:val="Chapter"/>
    <w:basedOn w:val="Normal"/>
    <w:rsid w:val="006719A2"/>
    <w:pPr>
      <w:spacing w:before="240"/>
    </w:pPr>
    <w:rPr>
      <w:rFonts w:ascii="Times New Roman" w:hAnsi="Times New Roman"/>
      <w:smallCaps/>
      <w:spacing w:val="80"/>
      <w:sz w:val="28"/>
    </w:rPr>
  </w:style>
  <w:style w:type="paragraph" w:customStyle="1" w:styleId="InChapter">
    <w:name w:val="InChapter"/>
    <w:basedOn w:val="Heading3"/>
    <w:rsid w:val="006719A2"/>
    <w:pPr>
      <w:spacing w:after="240"/>
      <w:outlineLvl w:val="9"/>
    </w:pPr>
    <w:rPr>
      <w:noProof/>
    </w:rPr>
  </w:style>
  <w:style w:type="paragraph" w:styleId="Index2">
    <w:name w:val="index 2"/>
    <w:basedOn w:val="Normal"/>
    <w:next w:val="Normal"/>
    <w:semiHidden/>
    <w:rsid w:val="006719A2"/>
    <w:pPr>
      <w:tabs>
        <w:tab w:val="right" w:pos="4176"/>
      </w:tabs>
      <w:ind w:left="568" w:hanging="284"/>
    </w:pPr>
    <w:rPr>
      <w:rFonts w:ascii="Garamond" w:hAnsi="Garamond"/>
    </w:rPr>
  </w:style>
  <w:style w:type="paragraph" w:customStyle="1" w:styleId="Byline">
    <w:name w:val="Byline"/>
    <w:rsid w:val="006719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9A2"/>
    <w:pPr>
      <w:tabs>
        <w:tab w:val="clear" w:pos="3600"/>
        <w:tab w:val="clear" w:pos="3958"/>
      </w:tabs>
      <w:jc w:val="right"/>
    </w:pPr>
  </w:style>
  <w:style w:type="paragraph" w:styleId="Caption">
    <w:name w:val="caption"/>
    <w:basedOn w:val="BodyText"/>
    <w:next w:val="Normal"/>
    <w:qFormat/>
    <w:rsid w:val="006719A2"/>
    <w:pPr>
      <w:framePr w:w="2268" w:hSpace="181" w:vSpace="181" w:wrap="around" w:vAnchor="text" w:hAnchor="page" w:x="1135" w:y="285" w:anchorLock="1"/>
    </w:pPr>
    <w:rPr>
      <w:i/>
    </w:rPr>
  </w:style>
  <w:style w:type="paragraph" w:customStyle="1" w:styleId="MiniTOCTitle">
    <w:name w:val="MiniTOCTitle"/>
    <w:basedOn w:val="Heading4"/>
    <w:rsid w:val="006719A2"/>
    <w:pPr>
      <w:spacing w:before="240"/>
      <w:outlineLvl w:val="9"/>
    </w:pPr>
    <w:rPr>
      <w:noProof/>
      <w:sz w:val="24"/>
    </w:rPr>
  </w:style>
  <w:style w:type="paragraph" w:customStyle="1" w:styleId="MiniTOCItem">
    <w:name w:val="MiniTOCItem"/>
    <w:basedOn w:val="ListBullet"/>
    <w:rsid w:val="006719A2"/>
    <w:pPr>
      <w:numPr>
        <w:numId w:val="0"/>
      </w:numPr>
      <w:tabs>
        <w:tab w:val="right" w:leader="dot" w:pos="6521"/>
      </w:tabs>
      <w:spacing w:before="0" w:after="0"/>
    </w:pPr>
  </w:style>
  <w:style w:type="paragraph" w:customStyle="1" w:styleId="TOFTitle">
    <w:name w:val="TOFTitle"/>
    <w:basedOn w:val="TOCTitle"/>
    <w:rsid w:val="006719A2"/>
  </w:style>
  <w:style w:type="paragraph" w:styleId="TableofFigures">
    <w:name w:val="table of figures"/>
    <w:basedOn w:val="Normal"/>
    <w:next w:val="Normal"/>
    <w:semiHidden/>
    <w:rsid w:val="006719A2"/>
    <w:pPr>
      <w:tabs>
        <w:tab w:val="right" w:leader="dot" w:pos="9072"/>
      </w:tabs>
      <w:ind w:left="970" w:hanging="403"/>
    </w:pPr>
    <w:rPr>
      <w:rFonts w:ascii="Times New Roman" w:hAnsi="Times New Roman"/>
      <w:b/>
    </w:rPr>
  </w:style>
  <w:style w:type="paragraph" w:styleId="ListNumber">
    <w:name w:val="List Number"/>
    <w:basedOn w:val="List"/>
    <w:rsid w:val="006719A2"/>
    <w:pPr>
      <w:numPr>
        <w:numId w:val="11"/>
      </w:numPr>
    </w:pPr>
  </w:style>
  <w:style w:type="character" w:customStyle="1" w:styleId="WingdingSymbols">
    <w:name w:val="Wingding Symbols"/>
    <w:rsid w:val="006719A2"/>
    <w:rPr>
      <w:rFonts w:ascii="Wingdings" w:hAnsi="Wingdings"/>
    </w:rPr>
  </w:style>
  <w:style w:type="paragraph" w:customStyle="1" w:styleId="TableHeading">
    <w:name w:val="Table Heading"/>
    <w:basedOn w:val="HeadingBase"/>
    <w:rsid w:val="006719A2"/>
    <w:pPr>
      <w:keepLines/>
      <w:pBdr>
        <w:bottom w:val="single" w:sz="6" w:space="1" w:color="918585"/>
      </w:pBdr>
      <w:spacing w:before="240"/>
    </w:pPr>
  </w:style>
  <w:style w:type="character" w:customStyle="1" w:styleId="HotSpot">
    <w:name w:val="HotSpot"/>
    <w:rsid w:val="006719A2"/>
    <w:rPr>
      <w:color w:val="0033CC"/>
      <w:u w:val="none"/>
    </w:rPr>
  </w:style>
  <w:style w:type="paragraph" w:customStyle="1" w:styleId="BodyTextRight">
    <w:name w:val="Body Text Right"/>
    <w:basedOn w:val="BodyText"/>
    <w:rsid w:val="006719A2"/>
    <w:pPr>
      <w:spacing w:before="0" w:after="0"/>
      <w:jc w:val="right"/>
    </w:pPr>
  </w:style>
  <w:style w:type="paragraph" w:styleId="Index3">
    <w:name w:val="index 3"/>
    <w:basedOn w:val="ListNumber2"/>
    <w:next w:val="Normal"/>
    <w:semiHidden/>
    <w:rsid w:val="006719A2"/>
    <w:pPr>
      <w:numPr>
        <w:numId w:val="0"/>
      </w:numPr>
      <w:tabs>
        <w:tab w:val="right" w:leader="dot" w:pos="4176"/>
      </w:tabs>
    </w:pPr>
  </w:style>
  <w:style w:type="paragraph" w:styleId="ListNumber2">
    <w:name w:val="List Number 2"/>
    <w:basedOn w:val="List2"/>
    <w:rsid w:val="006719A2"/>
    <w:pPr>
      <w:numPr>
        <w:numId w:val="10"/>
      </w:numPr>
      <w:tabs>
        <w:tab w:val="clear" w:pos="1060"/>
      </w:tabs>
    </w:pPr>
  </w:style>
  <w:style w:type="paragraph" w:customStyle="1" w:styleId="MarginNote">
    <w:name w:val="Margin Note"/>
    <w:basedOn w:val="BodyText"/>
    <w:rsid w:val="006719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9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9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19A2"/>
    <w:rPr>
      <w:sz w:val="32"/>
    </w:rPr>
  </w:style>
  <w:style w:type="paragraph" w:customStyle="1" w:styleId="HeadingProcedure">
    <w:name w:val="Heading Procedure"/>
    <w:basedOn w:val="HeadingBase"/>
    <w:next w:val="Normal"/>
    <w:rsid w:val="006719A2"/>
    <w:pPr>
      <w:tabs>
        <w:tab w:val="left" w:pos="0"/>
      </w:tabs>
      <w:spacing w:before="120" w:after="60"/>
    </w:pPr>
    <w:rPr>
      <w:i/>
      <w:color w:val="918585"/>
      <w:sz w:val="22"/>
    </w:rPr>
  </w:style>
  <w:style w:type="paragraph" w:customStyle="1" w:styleId="TableBodyText">
    <w:name w:val="Table Body Text"/>
    <w:basedOn w:val="BodyText"/>
    <w:rsid w:val="006719A2"/>
    <w:pPr>
      <w:spacing w:before="60" w:after="60"/>
    </w:pPr>
  </w:style>
  <w:style w:type="paragraph" w:styleId="ListContinue">
    <w:name w:val="List Continue"/>
    <w:basedOn w:val="List"/>
    <w:rsid w:val="006719A2"/>
    <w:pPr>
      <w:ind w:firstLine="0"/>
    </w:pPr>
  </w:style>
  <w:style w:type="paragraph" w:customStyle="1" w:styleId="ListNote">
    <w:name w:val="List Note"/>
    <w:basedOn w:val="List"/>
    <w:rsid w:val="006719A2"/>
    <w:pPr>
      <w:pBdr>
        <w:top w:val="single" w:sz="6" w:space="2" w:color="918585"/>
        <w:bottom w:val="single" w:sz="6" w:space="2" w:color="918585"/>
      </w:pBdr>
      <w:tabs>
        <w:tab w:val="left" w:pos="1021"/>
      </w:tabs>
      <w:ind w:firstLine="0"/>
    </w:pPr>
  </w:style>
  <w:style w:type="paragraph" w:customStyle="1" w:styleId="Warning">
    <w:name w:val="Warning"/>
    <w:basedOn w:val="BodyText"/>
    <w:rsid w:val="006719A2"/>
    <w:pPr>
      <w:shd w:val="clear" w:color="auto" w:fill="D9D9D9"/>
      <w:tabs>
        <w:tab w:val="left" w:pos="992"/>
      </w:tabs>
      <w:ind w:left="119" w:right="119"/>
    </w:pPr>
    <w:rPr>
      <w:sz w:val="20"/>
    </w:rPr>
  </w:style>
  <w:style w:type="paragraph" w:customStyle="1" w:styleId="MarginIcons">
    <w:name w:val="Margin Icons"/>
    <w:basedOn w:val="BodyText"/>
    <w:rsid w:val="006719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9A2"/>
    <w:rPr>
      <w:rFonts w:ascii="Courier New" w:hAnsi="Courier New"/>
    </w:rPr>
  </w:style>
  <w:style w:type="paragraph" w:customStyle="1" w:styleId="NoteBullet">
    <w:name w:val="Note Bullet"/>
    <w:basedOn w:val="Note"/>
    <w:rsid w:val="006719A2"/>
    <w:pPr>
      <w:tabs>
        <w:tab w:val="clear" w:pos="680"/>
      </w:tabs>
      <w:spacing w:before="60" w:after="60"/>
    </w:pPr>
  </w:style>
  <w:style w:type="paragraph" w:customStyle="1" w:styleId="SubHeading2">
    <w:name w:val="SubHeading2"/>
    <w:basedOn w:val="HeadingBase"/>
    <w:rsid w:val="006719A2"/>
    <w:pPr>
      <w:spacing w:before="240" w:after="60"/>
    </w:pPr>
    <w:rPr>
      <w:sz w:val="20"/>
    </w:rPr>
  </w:style>
  <w:style w:type="paragraph" w:customStyle="1" w:styleId="SubHeading1">
    <w:name w:val="SubHeading1"/>
    <w:basedOn w:val="HeadingBase"/>
    <w:rsid w:val="006719A2"/>
    <w:pPr>
      <w:spacing w:before="240" w:after="60"/>
    </w:pPr>
    <w:rPr>
      <w:color w:val="918585"/>
      <w:sz w:val="22"/>
    </w:rPr>
  </w:style>
  <w:style w:type="paragraph" w:customStyle="1" w:styleId="SideHeading">
    <w:name w:val="Side Heading"/>
    <w:basedOn w:val="HeadingBase"/>
    <w:rsid w:val="006719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9A2"/>
    <w:pPr>
      <w:numPr>
        <w:numId w:val="12"/>
      </w:numPr>
    </w:pPr>
  </w:style>
  <w:style w:type="paragraph" w:styleId="PlainText">
    <w:name w:val="Plain Text"/>
    <w:basedOn w:val="Normal"/>
    <w:link w:val="PlainTextChar"/>
    <w:rsid w:val="006719A2"/>
    <w:rPr>
      <w:sz w:val="20"/>
    </w:rPr>
  </w:style>
  <w:style w:type="character" w:customStyle="1" w:styleId="PlainTextChar">
    <w:name w:val="Plain Text Char"/>
    <w:basedOn w:val="DefaultParagraphFont"/>
    <w:link w:val="PlainText"/>
    <w:rsid w:val="006719A2"/>
    <w:rPr>
      <w:rFonts w:ascii="Courier New" w:eastAsia="Times New Roman" w:hAnsi="Courier New" w:cs="Times New Roman"/>
      <w:sz w:val="20"/>
      <w:szCs w:val="20"/>
      <w:lang w:eastAsia="en-US"/>
    </w:rPr>
  </w:style>
  <w:style w:type="character" w:customStyle="1" w:styleId="MenuOption">
    <w:name w:val="Menu Option"/>
    <w:basedOn w:val="DefaultParagraphFont"/>
    <w:rsid w:val="006719A2"/>
    <w:rPr>
      <w:b/>
      <w:smallCaps/>
    </w:rPr>
  </w:style>
  <w:style w:type="paragraph" w:customStyle="1" w:styleId="TableListNumber">
    <w:name w:val="Table List Number"/>
    <w:basedOn w:val="ListNumber"/>
    <w:rsid w:val="006719A2"/>
    <w:pPr>
      <w:numPr>
        <w:numId w:val="0"/>
      </w:numPr>
    </w:pPr>
  </w:style>
  <w:style w:type="paragraph" w:styleId="TOC4">
    <w:name w:val="toc 4"/>
    <w:basedOn w:val="TOCBase"/>
    <w:next w:val="Normal"/>
    <w:semiHidden/>
    <w:rsid w:val="006719A2"/>
    <w:pPr>
      <w:tabs>
        <w:tab w:val="right" w:leader="dot" w:pos="9071"/>
      </w:tabs>
      <w:ind w:left="1701"/>
    </w:pPr>
  </w:style>
  <w:style w:type="paragraph" w:customStyle="1" w:styleId="ListAlpha">
    <w:name w:val="List Alpha"/>
    <w:basedOn w:val="List"/>
    <w:rsid w:val="006719A2"/>
    <w:pPr>
      <w:numPr>
        <w:numId w:val="9"/>
      </w:numPr>
    </w:pPr>
  </w:style>
  <w:style w:type="paragraph" w:customStyle="1" w:styleId="ListAlpha2">
    <w:name w:val="List Alpha 2"/>
    <w:basedOn w:val="List2"/>
    <w:rsid w:val="006719A2"/>
    <w:pPr>
      <w:numPr>
        <w:numId w:val="8"/>
      </w:numPr>
    </w:pPr>
  </w:style>
  <w:style w:type="paragraph" w:styleId="List2">
    <w:name w:val="List 2"/>
    <w:basedOn w:val="BodyText"/>
    <w:rsid w:val="006719A2"/>
    <w:pPr>
      <w:tabs>
        <w:tab w:val="left" w:pos="680"/>
      </w:tabs>
      <w:spacing w:before="60" w:after="60"/>
      <w:ind w:left="680" w:hanging="340"/>
    </w:pPr>
  </w:style>
  <w:style w:type="paragraph" w:styleId="List3">
    <w:name w:val="List 3"/>
    <w:basedOn w:val="BodyText"/>
    <w:rsid w:val="006719A2"/>
    <w:pPr>
      <w:tabs>
        <w:tab w:val="left" w:pos="1021"/>
      </w:tabs>
      <w:spacing w:before="60" w:after="60"/>
      <w:ind w:left="1020" w:hanging="340"/>
    </w:pPr>
  </w:style>
  <w:style w:type="paragraph" w:styleId="List4">
    <w:name w:val="List 4"/>
    <w:basedOn w:val="BodyText"/>
    <w:rsid w:val="006719A2"/>
    <w:pPr>
      <w:tabs>
        <w:tab w:val="left" w:pos="1361"/>
      </w:tabs>
      <w:spacing w:before="60" w:after="60"/>
      <w:ind w:left="1361" w:hanging="340"/>
    </w:pPr>
  </w:style>
  <w:style w:type="paragraph" w:styleId="List5">
    <w:name w:val="List 5"/>
    <w:basedOn w:val="BodyText"/>
    <w:rsid w:val="006719A2"/>
    <w:pPr>
      <w:tabs>
        <w:tab w:val="left" w:pos="1701"/>
      </w:tabs>
      <w:spacing w:before="60" w:after="60"/>
      <w:ind w:left="1701" w:hanging="340"/>
    </w:pPr>
  </w:style>
  <w:style w:type="paragraph" w:styleId="ListBullet3">
    <w:name w:val="List Bullet 3"/>
    <w:basedOn w:val="List3"/>
    <w:rsid w:val="006719A2"/>
    <w:pPr>
      <w:numPr>
        <w:numId w:val="15"/>
      </w:numPr>
      <w:tabs>
        <w:tab w:val="clear" w:pos="1021"/>
      </w:tabs>
      <w:ind w:left="1037" w:hanging="357"/>
    </w:pPr>
  </w:style>
  <w:style w:type="paragraph" w:styleId="ListBullet4">
    <w:name w:val="List Bullet 4"/>
    <w:basedOn w:val="List4"/>
    <w:rsid w:val="006719A2"/>
    <w:pPr>
      <w:numPr>
        <w:numId w:val="3"/>
      </w:numPr>
    </w:pPr>
  </w:style>
  <w:style w:type="paragraph" w:styleId="ListBullet5">
    <w:name w:val="List Bullet 5"/>
    <w:basedOn w:val="List5"/>
    <w:rsid w:val="006719A2"/>
    <w:pPr>
      <w:numPr>
        <w:numId w:val="4"/>
      </w:numPr>
    </w:pPr>
  </w:style>
  <w:style w:type="paragraph" w:styleId="ListContinue2">
    <w:name w:val="List Continue 2"/>
    <w:basedOn w:val="List2"/>
    <w:rsid w:val="006719A2"/>
    <w:pPr>
      <w:ind w:firstLine="0"/>
    </w:pPr>
  </w:style>
  <w:style w:type="paragraph" w:styleId="ListContinue3">
    <w:name w:val="List Continue 3"/>
    <w:basedOn w:val="List3"/>
    <w:rsid w:val="006719A2"/>
    <w:pPr>
      <w:ind w:left="1021" w:firstLine="0"/>
    </w:pPr>
  </w:style>
  <w:style w:type="paragraph" w:styleId="ListContinue4">
    <w:name w:val="List Continue 4"/>
    <w:basedOn w:val="List4"/>
    <w:rsid w:val="006719A2"/>
    <w:pPr>
      <w:ind w:firstLine="0"/>
    </w:pPr>
  </w:style>
  <w:style w:type="paragraph" w:styleId="ListContinue5">
    <w:name w:val="List Continue 5"/>
    <w:basedOn w:val="List5"/>
    <w:rsid w:val="006719A2"/>
    <w:pPr>
      <w:ind w:firstLine="0"/>
    </w:pPr>
  </w:style>
  <w:style w:type="paragraph" w:styleId="ListNumber3">
    <w:name w:val="List Number 3"/>
    <w:basedOn w:val="List3"/>
    <w:rsid w:val="006719A2"/>
    <w:pPr>
      <w:numPr>
        <w:numId w:val="5"/>
      </w:numPr>
    </w:pPr>
  </w:style>
  <w:style w:type="paragraph" w:styleId="ListNumber4">
    <w:name w:val="List Number 4"/>
    <w:basedOn w:val="List4"/>
    <w:rsid w:val="006719A2"/>
    <w:pPr>
      <w:numPr>
        <w:numId w:val="6"/>
      </w:numPr>
    </w:pPr>
  </w:style>
  <w:style w:type="paragraph" w:styleId="ListNumber5">
    <w:name w:val="List Number 5"/>
    <w:basedOn w:val="List5"/>
    <w:rsid w:val="006719A2"/>
    <w:pPr>
      <w:numPr>
        <w:numId w:val="7"/>
      </w:numPr>
    </w:pPr>
  </w:style>
  <w:style w:type="paragraph" w:styleId="BlockText">
    <w:name w:val="Block Text"/>
    <w:basedOn w:val="Normal"/>
    <w:rsid w:val="006719A2"/>
    <w:pPr>
      <w:spacing w:after="120"/>
      <w:ind w:left="1440" w:right="1440"/>
    </w:pPr>
  </w:style>
  <w:style w:type="character" w:customStyle="1" w:styleId="Subscript">
    <w:name w:val="Subscript"/>
    <w:basedOn w:val="DefaultParagraphFont"/>
    <w:rsid w:val="006719A2"/>
    <w:rPr>
      <w:sz w:val="16"/>
      <w:vertAlign w:val="subscript"/>
    </w:rPr>
  </w:style>
  <w:style w:type="character" w:customStyle="1" w:styleId="Superscript">
    <w:name w:val="Superscript"/>
    <w:basedOn w:val="DefaultParagraphFont"/>
    <w:rsid w:val="006719A2"/>
    <w:rPr>
      <w:sz w:val="16"/>
      <w:vertAlign w:val="superscript"/>
    </w:rPr>
  </w:style>
  <w:style w:type="character" w:customStyle="1" w:styleId="Symbols">
    <w:name w:val="Symbols"/>
    <w:basedOn w:val="DefaultParagraphFont"/>
    <w:rsid w:val="006719A2"/>
    <w:rPr>
      <w:rFonts w:ascii="Symbol" w:hAnsi="Symbol"/>
    </w:rPr>
  </w:style>
  <w:style w:type="character" w:customStyle="1" w:styleId="MenuOptions">
    <w:name w:val="Menu Options"/>
    <w:basedOn w:val="DefaultParagraphFont"/>
    <w:rsid w:val="006719A2"/>
    <w:rPr>
      <w:rFonts w:ascii="Arial Narrow" w:hAnsi="Arial Narrow"/>
      <w:smallCaps/>
    </w:rPr>
  </w:style>
  <w:style w:type="character" w:customStyle="1" w:styleId="Buttons">
    <w:name w:val="Buttons"/>
    <w:basedOn w:val="DefaultParagraphFont"/>
    <w:rsid w:val="006719A2"/>
    <w:rPr>
      <w:b/>
    </w:rPr>
  </w:style>
  <w:style w:type="character" w:customStyle="1" w:styleId="Underlined">
    <w:name w:val="Underlined"/>
    <w:basedOn w:val="DefaultParagraphFont"/>
    <w:rsid w:val="006719A2"/>
    <w:rPr>
      <w:u w:val="single"/>
    </w:rPr>
  </w:style>
  <w:style w:type="paragraph" w:customStyle="1" w:styleId="TableBodyTextRight">
    <w:name w:val="Table Body Text Right"/>
    <w:basedOn w:val="TableBodyText"/>
    <w:rsid w:val="006719A2"/>
    <w:pPr>
      <w:widowControl w:val="0"/>
      <w:autoSpaceDE w:val="0"/>
      <w:autoSpaceDN w:val="0"/>
      <w:adjustRightInd w:val="0"/>
      <w:jc w:val="right"/>
    </w:pPr>
    <w:rPr>
      <w:rFonts w:cs="Arial"/>
      <w:szCs w:val="18"/>
    </w:rPr>
  </w:style>
  <w:style w:type="paragraph" w:customStyle="1" w:styleId="CopyrightText">
    <w:name w:val="Copyright Text"/>
    <w:basedOn w:val="BodyText"/>
    <w:rsid w:val="006719A2"/>
    <w:rPr>
      <w:sz w:val="18"/>
    </w:rPr>
  </w:style>
  <w:style w:type="paragraph" w:customStyle="1" w:styleId="BodySmallRight">
    <w:name w:val="Body Small Right"/>
    <w:basedOn w:val="BodyTextRight"/>
    <w:rsid w:val="006719A2"/>
    <w:rPr>
      <w:sz w:val="18"/>
      <w:szCs w:val="18"/>
    </w:rPr>
  </w:style>
  <w:style w:type="paragraph" w:customStyle="1" w:styleId="MarginEdition">
    <w:name w:val="Margin Edition"/>
    <w:basedOn w:val="MarginNote"/>
    <w:rsid w:val="006719A2"/>
    <w:pPr>
      <w:spacing w:before="0" w:after="0"/>
    </w:pPr>
    <w:rPr>
      <w:rFonts w:ascii="Times New Roman" w:hAnsi="Times New Roman"/>
      <w:color w:val="999999"/>
    </w:rPr>
  </w:style>
  <w:style w:type="paragraph" w:customStyle="1" w:styleId="Spacer">
    <w:name w:val="Spacer"/>
    <w:basedOn w:val="Normal"/>
    <w:rsid w:val="006719A2"/>
    <w:rPr>
      <w:sz w:val="2"/>
      <w:szCs w:val="2"/>
    </w:rPr>
  </w:style>
  <w:style w:type="character" w:customStyle="1" w:styleId="Small">
    <w:name w:val="Small"/>
    <w:basedOn w:val="DefaultParagraphFont"/>
    <w:rsid w:val="006719A2"/>
    <w:rPr>
      <w:sz w:val="16"/>
    </w:rPr>
  </w:style>
  <w:style w:type="paragraph" w:customStyle="1" w:styleId="WideTable">
    <w:name w:val="Wide Table"/>
    <w:basedOn w:val="Normal"/>
    <w:rsid w:val="006719A2"/>
    <w:pPr>
      <w:ind w:left="-1418"/>
    </w:pPr>
    <w:rPr>
      <w:sz w:val="2"/>
      <w:szCs w:val="2"/>
    </w:rPr>
  </w:style>
  <w:style w:type="character" w:styleId="PageNumber">
    <w:name w:val="page number"/>
    <w:basedOn w:val="DefaultParagraphFont"/>
    <w:rsid w:val="006719A2"/>
  </w:style>
  <w:style w:type="paragraph" w:styleId="Quote">
    <w:name w:val="Quote"/>
    <w:basedOn w:val="Heading1"/>
    <w:link w:val="QuoteChar"/>
    <w:qFormat/>
    <w:rsid w:val="006719A2"/>
    <w:rPr>
      <w:b w:val="0"/>
      <w:sz w:val="72"/>
      <w:szCs w:val="72"/>
      <w:lang w:val="en-NZ"/>
    </w:rPr>
  </w:style>
  <w:style w:type="character" w:customStyle="1" w:styleId="QuoteChar">
    <w:name w:val="Quote Char"/>
    <w:basedOn w:val="DefaultParagraphFont"/>
    <w:link w:val="Quote"/>
    <w:rsid w:val="006719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9A2"/>
    <w:pPr>
      <w:pageBreakBefore/>
    </w:pPr>
  </w:style>
  <w:style w:type="paragraph" w:customStyle="1" w:styleId="Border">
    <w:name w:val="Border"/>
    <w:basedOn w:val="Normal"/>
    <w:qFormat/>
    <w:rsid w:val="006719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9A2"/>
    <w:rPr>
      <w:b/>
      <w:bCs/>
      <w:i/>
      <w:iCs/>
      <w:color w:val="auto"/>
    </w:rPr>
  </w:style>
  <w:style w:type="paragraph" w:styleId="IntenseQuote">
    <w:name w:val="Intense Quote"/>
    <w:basedOn w:val="Normal"/>
    <w:next w:val="Normal"/>
    <w:link w:val="IntenseQuoteChar"/>
    <w:uiPriority w:val="30"/>
    <w:qFormat/>
    <w:rsid w:val="006719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9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19A2"/>
    <w:rPr>
      <w:smallCaps/>
      <w:color w:val="auto"/>
      <w:u w:val="single"/>
    </w:rPr>
  </w:style>
  <w:style w:type="character" w:styleId="IntenseReference">
    <w:name w:val="Intense Reference"/>
    <w:basedOn w:val="DefaultParagraphFont"/>
    <w:uiPriority w:val="32"/>
    <w:qFormat/>
    <w:rsid w:val="006719A2"/>
    <w:rPr>
      <w:b/>
      <w:bCs/>
      <w:smallCaps/>
      <w:color w:val="auto"/>
      <w:spacing w:val="5"/>
      <w:u w:val="single"/>
    </w:rPr>
  </w:style>
  <w:style w:type="paragraph" w:customStyle="1" w:styleId="2ColumnHeading">
    <w:name w:val="2Column Heading"/>
    <w:basedOn w:val="BodyText"/>
    <w:qFormat/>
    <w:rsid w:val="006719A2"/>
    <w:pPr>
      <w:spacing w:after="60"/>
      <w:ind w:left="-2268"/>
    </w:pPr>
    <w:rPr>
      <w:b/>
    </w:rPr>
  </w:style>
  <w:style w:type="paragraph" w:customStyle="1" w:styleId="Heading1TOC">
    <w:name w:val="Heading1 TOC"/>
    <w:basedOn w:val="Normal"/>
    <w:qFormat/>
    <w:rsid w:val="006719A2"/>
    <w:pPr>
      <w:spacing w:before="240" w:after="120"/>
    </w:pPr>
    <w:rPr>
      <w:rFonts w:ascii="Times New Roman" w:hAnsi="Times New Roman"/>
      <w:b/>
      <w:sz w:val="32"/>
    </w:rPr>
  </w:style>
  <w:style w:type="paragraph" w:customStyle="1" w:styleId="Heading2TOC">
    <w:name w:val="Heading2 TOC"/>
    <w:basedOn w:val="Normal"/>
    <w:qFormat/>
    <w:rsid w:val="006719A2"/>
    <w:pPr>
      <w:spacing w:before="240" w:after="60"/>
    </w:pPr>
    <w:rPr>
      <w:rFonts w:ascii="Times New Roman" w:hAnsi="Times New Roman"/>
      <w:b/>
      <w:sz w:val="28"/>
    </w:rPr>
  </w:style>
  <w:style w:type="character" w:customStyle="1" w:styleId="Underline">
    <w:name w:val="Underline"/>
    <w:basedOn w:val="DefaultParagraphFont"/>
    <w:qFormat/>
    <w:rsid w:val="006719A2"/>
    <w:rPr>
      <w:u w:val="single"/>
    </w:rPr>
  </w:style>
  <w:style w:type="paragraph" w:styleId="BalloonText">
    <w:name w:val="Balloon Text"/>
    <w:basedOn w:val="Normal"/>
    <w:link w:val="BalloonTextChar"/>
    <w:rsid w:val="006719A2"/>
    <w:rPr>
      <w:rFonts w:ascii="Tahoma" w:hAnsi="Tahoma" w:cs="Tahoma"/>
      <w:sz w:val="16"/>
      <w:szCs w:val="16"/>
    </w:rPr>
  </w:style>
  <w:style w:type="character" w:customStyle="1" w:styleId="BalloonTextChar">
    <w:name w:val="Balloon Text Char"/>
    <w:basedOn w:val="DefaultParagraphFont"/>
    <w:link w:val="BalloonText"/>
    <w:rsid w:val="006719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19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19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19A2"/>
    <w:rPr>
      <w:b/>
      <w:color w:val="660033"/>
      <w:spacing w:val="0"/>
    </w:rPr>
  </w:style>
  <w:style w:type="paragraph" w:customStyle="1" w:styleId="Nameditemlist">
    <w:name w:val="Named item list"/>
    <w:basedOn w:val="BodyText"/>
    <w:qFormat/>
    <w:rsid w:val="006719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1316</Words>
  <Characters>8686</Characters>
  <Application>Microsoft Office Word</Application>
  <DocSecurity>0</DocSecurity>
  <Lines>295</Lines>
  <Paragraphs>160</Paragraphs>
  <ScaleCrop>false</ScaleCrop>
  <Company>Author-it Software Corporation Ltd.</Company>
  <LinksUpToDate>false</LinksUpToDate>
  <CharactersWithSpaces>9928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CPPSPS4011A Comply with regulatory requirements for swimming pool and spa servicing</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2013-01-28T00:18:00Z</dcterms:created>
  <dcterms:modified xsi:type="dcterms:W3CDTF">2013-01-28T00:18:00Z</dcterms:modified>
</cp:coreProperties>
</file>