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4BFB" w:rsidP="007D4BFB">
      <w:pPr>
        <w:pStyle w:val="Title"/>
      </w:pPr>
      <w:r>
        <w:fldChar w:fldCharType="begin"/>
      </w:r>
      <w:r>
        <w:instrText xml:space="preserve"> TITLE   \* MERGEFORMAT </w:instrText>
      </w:r>
      <w:r>
        <w:fldChar w:fldCharType="separate"/>
      </w:r>
      <w:r>
        <w:t>CPPSIS6044A Manage GIS data</w:t>
      </w:r>
      <w:r>
        <w:fldChar w:fldCharType="end"/>
      </w:r>
    </w:p>
    <w:p w:rsidR="007D4BFB" w:rsidP="007D4BFB">
      <w:pPr>
        <w:pStyle w:val="Version"/>
        <w:sectPr w:rsidSect="00BC0D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0DC1" w:rsidP="00BC0DC1">
      <w:pPr>
        <w:pStyle w:val="SuperHeading"/>
      </w:pPr>
      <w:r w:rsidRPr="00BC0DC1">
        <w:t>CPPSIS6044A Manage GIS data</w:t>
      </w:r>
    </w:p>
    <w:p w:rsidR="00000000" w:rsidRPr="00BC0DC1" w:rsidP="00BC0DC1">
      <w:pPr>
        <w:pStyle w:val="Heading1"/>
      </w:pPr>
      <w:bookmarkStart w:id="1" w:name="O_510235"/>
      <w:bookmarkEnd w:id="1"/>
      <w:r w:rsidRPr="00BC0DC1">
        <w:t>Modification History</w:t>
      </w:r>
    </w:p>
    <w:tbl>
      <w:tblPr>
        <w:tblW w:w="0" w:type="auto"/>
        <w:tblLayout w:type="fixed"/>
        <w:tblCellMar>
          <w:left w:w="62" w:type="dxa"/>
          <w:right w:w="62" w:type="dxa"/>
        </w:tblCellMar>
        <w:tblLook w:val="0000"/>
      </w:tblPr>
      <w:tblGrid>
        <w:gridCol w:w="2572"/>
        <w:gridCol w:w="6421"/>
      </w:tblGrid>
      <w:tr w:rsidTr="00BC0DC1">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RPr="00BC0DC1" w:rsidP="00BC0DC1">
            <w:pPr>
              <w:pStyle w:val="BodyText"/>
            </w:pPr>
            <w:r w:rsidRPr="00BC0DC1">
              <w:rPr>
                <w:rStyle w:val="SpecialBold"/>
              </w:rPr>
              <w:t>Version</w:t>
            </w:r>
          </w:p>
        </w:tc>
        <w:tc>
          <w:tcPr>
            <w:tcW w:w="6421" w:type="dxa"/>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rPr>
                <w:rStyle w:val="SpecialBold"/>
              </w:rPr>
              <w:t>Comment</w:t>
            </w:r>
          </w:p>
        </w:tc>
      </w:tr>
      <w:tr w:rsidTr="00BC0DC1">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t>1</w:t>
            </w:r>
          </w:p>
        </w:tc>
        <w:tc>
          <w:tcPr>
            <w:tcW w:w="6421" w:type="dxa"/>
            <w:tcBorders>
              <w:top w:val="nil"/>
              <w:left w:val="nil"/>
              <w:bottom w:val="nil"/>
              <w:right w:val="nil"/>
            </w:tcBorders>
            <w:tcMar>
              <w:top w:w="0" w:type="dxa"/>
              <w:left w:w="62" w:type="dxa"/>
              <w:bottom w:w="0" w:type="dxa"/>
              <w:right w:w="62" w:type="dxa"/>
            </w:tcMar>
          </w:tcPr>
          <w:p w:rsidR="00000000" w:rsidRPr="00BC0DC1" w:rsidP="00BC0DC1">
            <w:pPr>
              <w:pStyle w:val="BodyText"/>
            </w:pPr>
            <w:r w:rsidRPr="00BC0DC1">
              <w:t>This version first released with CPP07 Property Services Training Package Version 12.</w:t>
            </w:r>
          </w:p>
        </w:tc>
      </w:tr>
    </w:tbl>
    <w:p w:rsidR="00000000" w:rsidRPr="00BC0DC1" w:rsidP="00BC0DC1">
      <w:pPr>
        <w:pStyle w:val="BodyText"/>
      </w:pPr>
    </w:p>
    <w:p w:rsidR="00000000" w:rsidRPr="00BC0DC1" w:rsidP="00BC0DC1">
      <w:pPr>
        <w:pStyle w:val="AllowPageBreak"/>
      </w:pPr>
    </w:p>
    <w:p w:rsidR="00000000" w:rsidRPr="00BC0DC1" w:rsidP="00BC0DC1">
      <w:pPr>
        <w:pStyle w:val="Heading1"/>
      </w:pPr>
      <w:bookmarkStart w:id="2" w:name="O_510233"/>
      <w:bookmarkEnd w:id="2"/>
      <w:r w:rsidRPr="00BC0DC1">
        <w:t>Unit Descriptor</w:t>
      </w:r>
    </w:p>
    <w:p w:rsidR="007D4BFB" w:rsidP="00BC0DC1">
      <w:pPr>
        <w:pStyle w:val="BodyText"/>
      </w:pPr>
      <w:r w:rsidRPr="00BC0DC1">
        <w:t>This unit of competency specifies the outcomes required to capture, store, validate and upgrade</w:t>
      </w:r>
      <w:r w:rsidRPr="00BC0DC1">
        <w:t xml:space="preserve"> geographic information data and systems, and to ensure their integrity for specified outcomes.</w:t>
      </w:r>
    </w:p>
    <w:p w:rsidR="007D4BFB" w:rsidP="00BC0DC1">
      <w:pPr>
        <w:pStyle w:val="BodyText"/>
      </w:pPr>
    </w:p>
    <w:p w:rsidR="00000000" w:rsidRPr="00BC0DC1" w:rsidP="00BC0DC1">
      <w:pPr>
        <w:pStyle w:val="Heading1"/>
      </w:pPr>
      <w:bookmarkStart w:id="3" w:name="O_510222"/>
      <w:bookmarkEnd w:id="3"/>
      <w:r w:rsidRPr="00BC0DC1">
        <w:t>Application of the Unit</w:t>
      </w:r>
    </w:p>
    <w:p w:rsidR="00000000" w:rsidRPr="00BC0DC1" w:rsidP="00BC0DC1">
      <w:pPr>
        <w:pStyle w:val="BodyText"/>
      </w:pPr>
      <w:r w:rsidRPr="00BC0DC1">
        <w:t xml:space="preserve">This unit of competency supports the application of planning, organising, monitoring, problem-solving, error analysis </w:t>
      </w:r>
      <w:r w:rsidRPr="00BC0DC1">
        <w:t>and accuracy; designing and interpreting technical documentation; and a practical understanding of technology. The skills and knowledge acquired on completion of this unit would support the needs of employees in surveying and spatial information services (</w:t>
      </w:r>
      <w:r w:rsidRPr="00BC0DC1">
        <w:t>SSIS).</w:t>
      </w:r>
    </w:p>
    <w:p w:rsidR="00000000" w:rsidRPr="00BC0DC1" w:rsidP="00BC0DC1">
      <w:pPr>
        <w:pStyle w:val="AllowPageBreak"/>
      </w:pPr>
    </w:p>
    <w:p w:rsidR="00000000" w:rsidRPr="00BC0DC1" w:rsidP="00BC0DC1">
      <w:pPr>
        <w:pStyle w:val="Heading1"/>
      </w:pPr>
      <w:bookmarkStart w:id="4" w:name="O_510229"/>
      <w:bookmarkEnd w:id="4"/>
      <w:r w:rsidRPr="00BC0DC1">
        <w:t>Licensing/Regulatory Information</w:t>
      </w:r>
    </w:p>
    <w:p w:rsidR="00000000" w:rsidRPr="00BC0DC1" w:rsidP="00BC0DC1">
      <w:pPr>
        <w:pStyle w:val="BodyText"/>
      </w:pPr>
      <w:r w:rsidRPr="00BC0DC1">
        <w:t>No licensing, legislative and regulatory requirements apply to this unit at the time of endorsement.</w:t>
      </w:r>
    </w:p>
    <w:p w:rsidR="00000000" w:rsidRPr="00BC0DC1" w:rsidP="00BC0DC1">
      <w:pPr>
        <w:pStyle w:val="AllowPageBreak"/>
      </w:pPr>
    </w:p>
    <w:p w:rsidR="00000000" w:rsidRPr="00BC0DC1" w:rsidP="00BC0DC1">
      <w:pPr>
        <w:pStyle w:val="Heading1"/>
      </w:pPr>
      <w:bookmarkStart w:id="5" w:name="O_510230"/>
      <w:bookmarkEnd w:id="5"/>
      <w:r w:rsidRPr="00BC0DC1">
        <w:t>Pre-Requisites</w:t>
      </w:r>
    </w:p>
    <w:p w:rsidR="00000000" w:rsidRPr="00BC0DC1" w:rsidP="00BC0DC1">
      <w:pPr>
        <w:pStyle w:val="BodyText"/>
      </w:pPr>
      <w:r w:rsidRPr="00BC0DC1">
        <w:t>Nil</w:t>
      </w:r>
    </w:p>
    <w:p w:rsidR="00000000" w:rsidRPr="00BC0DC1" w:rsidP="00BC0DC1">
      <w:pPr>
        <w:pStyle w:val="AllowPageBreak"/>
      </w:pPr>
    </w:p>
    <w:p w:rsidR="00000000" w:rsidRPr="00BC0DC1" w:rsidP="00BC0DC1">
      <w:pPr>
        <w:pStyle w:val="Heading1"/>
      </w:pPr>
      <w:bookmarkStart w:id="6" w:name="O_510226"/>
      <w:bookmarkEnd w:id="6"/>
      <w:r w:rsidRPr="00BC0DC1">
        <w:t>Employability Skills Information</w:t>
      </w:r>
    </w:p>
    <w:p w:rsidR="00000000" w:rsidRPr="00BC0DC1" w:rsidP="00BC0DC1">
      <w:pPr>
        <w:pStyle w:val="BodyText"/>
      </w:pPr>
      <w:r w:rsidRPr="00BC0DC1">
        <w:t>This unit contains employability skills.</w:t>
      </w:r>
    </w:p>
    <w:p w:rsidR="00000000" w:rsidRPr="00BC0DC1" w:rsidP="00BC0DC1">
      <w:pPr>
        <w:pStyle w:val="AllowPageBreak"/>
      </w:pPr>
    </w:p>
    <w:p w:rsidR="00000000" w:rsidRPr="00BC0DC1" w:rsidP="00BC0DC1">
      <w:pPr>
        <w:pStyle w:val="Heading1"/>
      </w:pPr>
      <w:bookmarkStart w:id="7" w:name="O_510225"/>
      <w:bookmarkEnd w:id="7"/>
      <w:r w:rsidRPr="00BC0DC1">
        <w:t>Elements and Performance Criteria Pre-Content</w:t>
      </w:r>
    </w:p>
    <w:tbl>
      <w:tblPr>
        <w:tblW w:w="0" w:type="auto"/>
        <w:tblLayout w:type="fixed"/>
        <w:tblCellMar>
          <w:left w:w="62" w:type="dxa"/>
          <w:right w:w="62" w:type="dxa"/>
        </w:tblCellMar>
        <w:tblLook w:val="0000"/>
      </w:tblPr>
      <w:tblGrid>
        <w:gridCol w:w="2838"/>
        <w:gridCol w:w="5842"/>
      </w:tblGrid>
      <w:tr w:rsidTr="00BC0DC1">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BC0DC1" w:rsidP="00BC0DC1">
            <w:pPr>
              <w:pStyle w:val="BodyText"/>
            </w:pPr>
            <w:r w:rsidRPr="00BC0DC1">
              <w:t>Performance criteria describe the required performance needed to demonstrate achieveme</w:t>
            </w:r>
            <w:r w:rsidRPr="00BC0DC1">
              <w:t>nt of the element. Where</w:t>
            </w:r>
            <w:r w:rsidRPr="00BC0DC1">
              <w:rPr>
                <w:rStyle w:val="BoldandItalics"/>
              </w:rPr>
              <w:t xml:space="preserve"> bold italicised</w:t>
            </w:r>
            <w:r w:rsidRPr="00BC0DC1">
              <w:t xml:space="preserve"> text is used, further information is detailed in the required skills and knowledge and/or the range statement. Assessment of performance is to be consistent with the evidence guide.</w:t>
            </w:r>
          </w:p>
        </w:tc>
      </w:tr>
    </w:tbl>
    <w:p w:rsidR="00000000" w:rsidRPr="00BC0DC1" w:rsidP="00BC0DC1">
      <w:pPr>
        <w:pStyle w:val="BodyText"/>
      </w:pPr>
    </w:p>
    <w:p w:rsidR="00000000" w:rsidRPr="00BC0DC1" w:rsidP="00BC0DC1">
      <w:pPr>
        <w:pStyle w:val="AllowPageBreak"/>
      </w:pPr>
    </w:p>
    <w:p w:rsidR="00000000" w:rsidRPr="00BC0DC1" w:rsidP="00BC0DC1">
      <w:pPr>
        <w:pStyle w:val="Heading1"/>
      </w:pPr>
      <w:bookmarkStart w:id="8" w:name="O_510224"/>
      <w:bookmarkEnd w:id="8"/>
      <w:r w:rsidRPr="00BC0DC1">
        <w:t>Elements and P</w:t>
      </w:r>
      <w:r w:rsidRPr="00BC0DC1">
        <w:t>erformance Criteria</w:t>
      </w:r>
    </w:p>
    <w:p w:rsidR="00000000" w:rsidRPr="00BC0DC1" w:rsidP="00BC0DC1">
      <w:pPr>
        <w:pStyle w:val="BodyText"/>
      </w:pPr>
    </w:p>
    <w:tbl>
      <w:tblPr>
        <w:tblW w:w="0" w:type="auto"/>
        <w:tblLayout w:type="fixed"/>
        <w:tblCellMar>
          <w:left w:w="62" w:type="dxa"/>
          <w:right w:w="62" w:type="dxa"/>
        </w:tblCellMar>
        <w:tblLook w:val="0000"/>
      </w:tblPr>
      <w:tblGrid>
        <w:gridCol w:w="678"/>
        <w:gridCol w:w="1962"/>
        <w:gridCol w:w="770"/>
        <w:gridCol w:w="5610"/>
      </w:tblGrid>
      <w:tr w:rsidTr="00BC0D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t>1</w:t>
            </w:r>
          </w:p>
        </w:tc>
        <w:tc>
          <w:tcPr>
            <w:tcW w:w="1962" w:type="dxa"/>
            <w:vMerge w:val="restart"/>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t>Determine data requirements.</w:t>
            </w:r>
          </w:p>
        </w:tc>
        <w:tc>
          <w:tcPr>
            <w:tcW w:w="770" w:type="dxa"/>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t>1.1</w:t>
            </w:r>
          </w:p>
        </w:tc>
        <w:tc>
          <w:tcPr>
            <w:tcW w:w="5610" w:type="dxa"/>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t>Organisational needs are identified in consultation with functional areas of an organisation.</w:t>
            </w:r>
          </w:p>
        </w:tc>
      </w:tr>
      <w:tr w:rsidTr="00BC0D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C0DC1" w:rsidP="00BC0DC1">
            <w:pPr>
              <w:pStyle w:val="BodyText"/>
            </w:pPr>
            <w:r w:rsidRPr="00BC0DC1">
              <w:t>1.2</w:t>
            </w:r>
          </w:p>
        </w:tc>
        <w:tc>
          <w:tcPr>
            <w:tcW w:w="5610" w:type="dxa"/>
            <w:tcBorders>
              <w:top w:val="nil"/>
              <w:left w:val="nil"/>
              <w:bottom w:val="nil"/>
              <w:right w:val="nil"/>
            </w:tcBorders>
            <w:tcMar>
              <w:top w:w="0" w:type="dxa"/>
              <w:left w:w="62" w:type="dxa"/>
              <w:bottom w:w="0" w:type="dxa"/>
              <w:right w:w="62" w:type="dxa"/>
            </w:tcMar>
          </w:tcPr>
          <w:p w:rsidR="00000000" w:rsidRPr="00BC0DC1" w:rsidP="00BC0DC1">
            <w:pPr>
              <w:pStyle w:val="BodyText"/>
            </w:pPr>
            <w:r w:rsidRPr="00BC0DC1">
              <w:rPr>
                <w:rStyle w:val="BoldandItalics"/>
              </w:rPr>
              <w:t>Data</w:t>
            </w:r>
            <w:r w:rsidRPr="00BC0DC1">
              <w:t xml:space="preserve"> requirements are defined according to organisational and </w:t>
            </w:r>
            <w:r w:rsidRPr="00BC0DC1">
              <w:rPr>
                <w:rStyle w:val="BoldandItalics"/>
              </w:rPr>
              <w:t>end user</w:t>
            </w:r>
            <w:r w:rsidRPr="00BC0DC1">
              <w:t xml:space="preserve"> needs and </w:t>
            </w:r>
            <w:r w:rsidRPr="00BC0DC1">
              <w:rPr>
                <w:rStyle w:val="BoldandItalics"/>
              </w:rPr>
              <w:t>industry standards</w:t>
            </w:r>
            <w:r w:rsidRPr="00BC0DC1">
              <w:t xml:space="preserve">. </w:t>
            </w:r>
          </w:p>
        </w:tc>
      </w:tr>
    </w:tbl>
    <w:p w:rsidR="00000000" w:rsidRPr="00BC0DC1" w:rsidP="00BC0DC1">
      <w:pPr>
        <w:pStyle w:val="BodyText"/>
      </w:pPr>
    </w:p>
    <w:tbl>
      <w:tblPr>
        <w:tblW w:w="0" w:type="auto"/>
        <w:tblLayout w:type="fixed"/>
        <w:tblCellMar>
          <w:left w:w="62" w:type="dxa"/>
          <w:right w:w="62" w:type="dxa"/>
        </w:tblCellMar>
        <w:tblLook w:val="0000"/>
      </w:tblPr>
      <w:tblGrid>
        <w:gridCol w:w="678"/>
        <w:gridCol w:w="1962"/>
        <w:gridCol w:w="770"/>
        <w:gridCol w:w="5610"/>
      </w:tblGrid>
      <w:tr w:rsidTr="00BC0D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t>2</w:t>
            </w:r>
          </w:p>
        </w:tc>
        <w:tc>
          <w:tcPr>
            <w:tcW w:w="1962" w:type="dxa"/>
            <w:vMerge w:val="restart"/>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t>Implement data standards.</w:t>
            </w:r>
          </w:p>
        </w:tc>
        <w:tc>
          <w:tcPr>
            <w:tcW w:w="770" w:type="dxa"/>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t>2.1</w:t>
            </w:r>
          </w:p>
        </w:tc>
        <w:tc>
          <w:tcPr>
            <w:tcW w:w="5610" w:type="dxa"/>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t xml:space="preserve">Appropriate </w:t>
            </w:r>
            <w:r w:rsidRPr="00BC0DC1">
              <w:rPr>
                <w:rStyle w:val="BoldandItalics"/>
              </w:rPr>
              <w:t>data standards</w:t>
            </w:r>
            <w:r w:rsidRPr="00BC0DC1">
              <w:t xml:space="preserve"> are implemented consistent with industry standards.</w:t>
            </w:r>
          </w:p>
        </w:tc>
      </w:tr>
      <w:tr w:rsidTr="00BC0D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t>2.2</w:t>
            </w:r>
          </w:p>
        </w:tc>
        <w:tc>
          <w:tcPr>
            <w:tcW w:w="5610" w:type="dxa"/>
            <w:tcBorders>
              <w:top w:val="nil"/>
              <w:left w:val="nil"/>
              <w:bottom w:val="nil"/>
              <w:right w:val="nil"/>
            </w:tcBorders>
            <w:tcMar>
              <w:top w:w="0" w:type="dxa"/>
              <w:left w:w="62" w:type="dxa"/>
              <w:bottom w:w="0" w:type="dxa"/>
              <w:right w:w="62" w:type="dxa"/>
            </w:tcMar>
          </w:tcPr>
          <w:p w:rsidR="00000000" w:rsidRPr="00BC0DC1" w:rsidP="00BC0DC1">
            <w:pPr>
              <w:pStyle w:val="BodyText"/>
            </w:pPr>
            <w:r w:rsidRPr="00BC0DC1">
              <w:t>Opportunities for continuing improvement are investigated, assessed and implemented.</w:t>
            </w:r>
          </w:p>
        </w:tc>
      </w:tr>
    </w:tbl>
    <w:p w:rsidR="00000000" w:rsidRPr="00BC0DC1" w:rsidP="00BC0DC1">
      <w:pPr>
        <w:pStyle w:val="BodyText"/>
      </w:pPr>
    </w:p>
    <w:tbl>
      <w:tblPr>
        <w:tblW w:w="0" w:type="auto"/>
        <w:tblLayout w:type="fixed"/>
        <w:tblCellMar>
          <w:left w:w="62" w:type="dxa"/>
          <w:right w:w="62" w:type="dxa"/>
        </w:tblCellMar>
        <w:tblLook w:val="0000"/>
      </w:tblPr>
      <w:tblGrid>
        <w:gridCol w:w="678"/>
        <w:gridCol w:w="1962"/>
        <w:gridCol w:w="770"/>
        <w:gridCol w:w="5610"/>
      </w:tblGrid>
      <w:tr w:rsidTr="00BC0D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t>3</w:t>
            </w:r>
          </w:p>
        </w:tc>
        <w:tc>
          <w:tcPr>
            <w:tcW w:w="1962" w:type="dxa"/>
            <w:vMerge w:val="restart"/>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t>Coordinate data capture and conversion.</w:t>
            </w:r>
          </w:p>
        </w:tc>
        <w:tc>
          <w:tcPr>
            <w:tcW w:w="770" w:type="dxa"/>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t>3.1</w:t>
            </w:r>
          </w:p>
        </w:tc>
        <w:tc>
          <w:tcPr>
            <w:tcW w:w="5610" w:type="dxa"/>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t xml:space="preserve">Data acquisition strategies are developed to meet defined requirements, and appropriate information is accessed from </w:t>
            </w:r>
            <w:r w:rsidRPr="00BC0DC1">
              <w:rPr>
                <w:rStyle w:val="BoldandItalics"/>
              </w:rPr>
              <w:t>internal and external sources and networks</w:t>
            </w:r>
            <w:r w:rsidRPr="00BC0DC1">
              <w:t>.</w:t>
            </w:r>
          </w:p>
        </w:tc>
      </w:tr>
      <w:tr w:rsidTr="00BC0D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t>3.2</w:t>
            </w:r>
          </w:p>
        </w:tc>
        <w:tc>
          <w:tcPr>
            <w:tcW w:w="5610" w:type="dxa"/>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t xml:space="preserve">Range of </w:t>
            </w:r>
            <w:r w:rsidRPr="00BC0DC1">
              <w:rPr>
                <w:rStyle w:val="BoldandItalics"/>
              </w:rPr>
              <w:t xml:space="preserve">data input technologies </w:t>
            </w:r>
            <w:r w:rsidRPr="00BC0DC1">
              <w:t>for data acquisition is used.</w:t>
            </w:r>
          </w:p>
        </w:tc>
      </w:tr>
      <w:tr w:rsidTr="00BC0D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t>3.3</w:t>
            </w:r>
          </w:p>
        </w:tc>
        <w:tc>
          <w:tcPr>
            <w:tcW w:w="5610" w:type="dxa"/>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t>Data is converted using appropriate technical interfaces.</w:t>
            </w:r>
          </w:p>
        </w:tc>
      </w:tr>
      <w:tr w:rsidTr="00BC0D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t>3.4</w:t>
            </w:r>
          </w:p>
        </w:tc>
        <w:tc>
          <w:tcPr>
            <w:tcW w:w="5610" w:type="dxa"/>
            <w:tcBorders>
              <w:top w:val="nil"/>
              <w:left w:val="nil"/>
              <w:bottom w:val="nil"/>
              <w:right w:val="nil"/>
            </w:tcBorders>
            <w:tcMar>
              <w:top w:w="0" w:type="dxa"/>
              <w:left w:w="62" w:type="dxa"/>
              <w:bottom w:w="0" w:type="dxa"/>
              <w:right w:w="62" w:type="dxa"/>
            </w:tcMar>
          </w:tcPr>
          <w:p w:rsidR="00000000" w:rsidRPr="00BC0DC1" w:rsidP="00BC0DC1">
            <w:pPr>
              <w:pStyle w:val="BodyText"/>
            </w:pPr>
            <w:r w:rsidRPr="00BC0DC1">
              <w:t>Effects of spatial and temporal resolution of the information content of remote-sensed data are taken into account in assessing the data.</w:t>
            </w:r>
          </w:p>
        </w:tc>
      </w:tr>
    </w:tbl>
    <w:p w:rsidR="00000000" w:rsidRPr="00BC0DC1" w:rsidP="00BC0DC1">
      <w:pPr>
        <w:pStyle w:val="BodyText"/>
      </w:pPr>
    </w:p>
    <w:tbl>
      <w:tblPr>
        <w:tblW w:w="0" w:type="auto"/>
        <w:tblLayout w:type="fixed"/>
        <w:tblCellMar>
          <w:left w:w="62" w:type="dxa"/>
          <w:right w:w="62" w:type="dxa"/>
        </w:tblCellMar>
        <w:tblLook w:val="0000"/>
      </w:tblPr>
      <w:tblGrid>
        <w:gridCol w:w="678"/>
        <w:gridCol w:w="1962"/>
        <w:gridCol w:w="770"/>
        <w:gridCol w:w="5610"/>
      </w:tblGrid>
      <w:tr w:rsidTr="00BC0D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t>4</w:t>
            </w:r>
          </w:p>
        </w:tc>
        <w:tc>
          <w:tcPr>
            <w:tcW w:w="1962" w:type="dxa"/>
            <w:vMerge w:val="restart"/>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t xml:space="preserve">Implement data maintenance and validation </w:t>
            </w:r>
            <w:r w:rsidRPr="00BC0DC1">
              <w:t>procedu</w:t>
            </w:r>
            <w:r w:rsidRPr="00BC0DC1">
              <w:t>res.</w:t>
            </w:r>
          </w:p>
        </w:tc>
        <w:tc>
          <w:tcPr>
            <w:tcW w:w="770" w:type="dxa"/>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t>4.1</w:t>
            </w:r>
          </w:p>
        </w:tc>
        <w:tc>
          <w:tcPr>
            <w:tcW w:w="5610" w:type="dxa"/>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t>Routines for data validation and maintenance are developed and implemented.</w:t>
            </w:r>
          </w:p>
        </w:tc>
      </w:tr>
      <w:tr w:rsidTr="00BC0D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t>4.2</w:t>
            </w:r>
          </w:p>
        </w:tc>
        <w:tc>
          <w:tcPr>
            <w:tcW w:w="5610" w:type="dxa"/>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t xml:space="preserve">Versions of data and related systems are documented to </w:t>
            </w:r>
            <w:r w:rsidRPr="00BC0DC1">
              <w:t>ensure reliable historical tracking and accessibility.</w:t>
            </w:r>
          </w:p>
        </w:tc>
      </w:tr>
      <w:tr w:rsidTr="00BC0D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t>4.3</w:t>
            </w:r>
          </w:p>
        </w:tc>
        <w:tc>
          <w:tcPr>
            <w:tcW w:w="5610" w:type="dxa"/>
            <w:tcBorders>
              <w:top w:val="nil"/>
              <w:left w:val="nil"/>
              <w:bottom w:val="nil"/>
              <w:right w:val="nil"/>
            </w:tcBorders>
            <w:tcMar>
              <w:top w:w="0" w:type="dxa"/>
              <w:left w:w="62" w:type="dxa"/>
              <w:bottom w:w="0" w:type="dxa"/>
              <w:right w:w="62" w:type="dxa"/>
            </w:tcMar>
          </w:tcPr>
          <w:p w:rsidR="00000000" w:rsidRPr="00BC0DC1" w:rsidP="00BC0DC1">
            <w:pPr>
              <w:pStyle w:val="BodyText"/>
            </w:pPr>
            <w:r w:rsidRPr="00BC0DC1">
              <w:t>Appropriate data is collated into one system for transfer and integration into other systems.</w:t>
            </w:r>
          </w:p>
        </w:tc>
      </w:tr>
    </w:tbl>
    <w:p w:rsidR="00000000" w:rsidRPr="00BC0DC1" w:rsidP="00BC0DC1">
      <w:pPr>
        <w:pStyle w:val="BodyText"/>
      </w:pPr>
    </w:p>
    <w:tbl>
      <w:tblPr>
        <w:tblW w:w="0" w:type="auto"/>
        <w:tblLayout w:type="fixed"/>
        <w:tblCellMar>
          <w:left w:w="62" w:type="dxa"/>
          <w:right w:w="62" w:type="dxa"/>
        </w:tblCellMar>
        <w:tblLook w:val="0000"/>
      </w:tblPr>
      <w:tblGrid>
        <w:gridCol w:w="678"/>
        <w:gridCol w:w="1962"/>
        <w:gridCol w:w="770"/>
        <w:gridCol w:w="5610"/>
      </w:tblGrid>
      <w:tr w:rsidTr="00BC0D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t>5</w:t>
            </w:r>
          </w:p>
        </w:tc>
        <w:tc>
          <w:tcPr>
            <w:tcW w:w="1962" w:type="dxa"/>
            <w:vMerge w:val="restart"/>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t>Develop and implement data quality and security assurance procedures.</w:t>
            </w:r>
          </w:p>
        </w:tc>
        <w:tc>
          <w:tcPr>
            <w:tcW w:w="770" w:type="dxa"/>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t>5.1</w:t>
            </w:r>
          </w:p>
        </w:tc>
        <w:tc>
          <w:tcPr>
            <w:tcW w:w="5610" w:type="dxa"/>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t>Quality procedures for data acquisition, storage and supply are developed and implem</w:t>
            </w:r>
            <w:r w:rsidRPr="00BC0DC1">
              <w:t>ented.</w:t>
            </w:r>
          </w:p>
        </w:tc>
      </w:tr>
      <w:tr w:rsidTr="00BC0D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t>5.2</w:t>
            </w:r>
          </w:p>
        </w:tc>
        <w:tc>
          <w:tcPr>
            <w:tcW w:w="5610" w:type="dxa"/>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t>Meta-data standards are developed and implemented in line with industry best practice.</w:t>
            </w:r>
          </w:p>
        </w:tc>
      </w:tr>
      <w:tr w:rsidTr="00BC0D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t>5.3</w:t>
            </w:r>
          </w:p>
        </w:tc>
        <w:tc>
          <w:tcPr>
            <w:tcW w:w="5610" w:type="dxa"/>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t>Regular audits of data quality are preformed and followed up with appropriate advice.</w:t>
            </w:r>
          </w:p>
        </w:tc>
      </w:tr>
      <w:tr w:rsidTr="00BC0D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t>5.4</w:t>
            </w:r>
          </w:p>
        </w:tc>
        <w:tc>
          <w:tcPr>
            <w:tcW w:w="5610" w:type="dxa"/>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t>Systems for archiving and backing up the data resource are implemented.</w:t>
            </w:r>
          </w:p>
        </w:tc>
      </w:tr>
      <w:tr w:rsidTr="00BC0D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BC0DC1">
            <w:pPr>
              <w:pStyle w:val="BodyText"/>
              <w:rPr>
                <w:lang w:val="en-NZ"/>
              </w:rPr>
            </w:pPr>
          </w:p>
        </w:tc>
      </w:tr>
      <w:tr w:rsidTr="00BC0D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t>6</w:t>
            </w:r>
          </w:p>
        </w:tc>
        <w:tc>
          <w:tcPr>
            <w:tcW w:w="1962" w:type="dxa"/>
            <w:vMerge w:val="restart"/>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t>Provide input into organisational systems development.</w:t>
            </w:r>
          </w:p>
        </w:tc>
        <w:tc>
          <w:tcPr>
            <w:tcW w:w="770" w:type="dxa"/>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t>6.1</w:t>
            </w:r>
          </w:p>
        </w:tc>
        <w:tc>
          <w:tcPr>
            <w:tcW w:w="5610" w:type="dxa"/>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t>Timely advice and forecasting of data storage capacity, processing capability and other requirements are provided to ensure organisational geographic information system (GIS) requirements are recognised and considered.</w:t>
            </w:r>
          </w:p>
        </w:tc>
      </w:tr>
      <w:tr w:rsidTr="00BC0D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t>6.2</w:t>
            </w:r>
          </w:p>
        </w:tc>
        <w:tc>
          <w:tcPr>
            <w:tcW w:w="5610" w:type="dxa"/>
            <w:tcBorders>
              <w:top w:val="nil"/>
              <w:left w:val="nil"/>
              <w:bottom w:val="nil"/>
              <w:right w:val="nil"/>
            </w:tcBorders>
            <w:tcMar>
              <w:top w:w="0" w:type="dxa"/>
              <w:left w:w="62" w:type="dxa"/>
              <w:bottom w:w="0" w:type="dxa"/>
              <w:right w:w="62" w:type="dxa"/>
            </w:tcMar>
          </w:tcPr>
          <w:p w:rsidR="00000000" w:rsidRPr="00BC0DC1" w:rsidP="00BC0DC1">
            <w:pPr>
              <w:pStyle w:val="BodyText"/>
            </w:pPr>
            <w:r w:rsidRPr="00BC0DC1">
              <w:t>Input is provided to considera</w:t>
            </w:r>
            <w:r w:rsidRPr="00BC0DC1">
              <w:t>tion of new, upgraded or maintained GIS in the organisation.</w:t>
            </w:r>
          </w:p>
        </w:tc>
      </w:tr>
    </w:tbl>
    <w:p w:rsidR="007D4BFB" w:rsidP="00BC0DC1">
      <w:pPr>
        <w:pStyle w:val="BodyText"/>
      </w:pPr>
    </w:p>
    <w:p w:rsidR="007D4BFB" w:rsidP="00BC0DC1">
      <w:pPr>
        <w:pStyle w:val="BodyText"/>
      </w:pPr>
    </w:p>
    <w:p w:rsidR="00000000" w:rsidRPr="00BC0DC1" w:rsidP="00BC0DC1">
      <w:pPr>
        <w:pStyle w:val="Heading1"/>
      </w:pPr>
      <w:bookmarkStart w:id="9" w:name="O_510232"/>
      <w:bookmarkEnd w:id="9"/>
      <w:r w:rsidRPr="00BC0DC1">
        <w:t>Required Skills and Knowledge</w:t>
      </w:r>
    </w:p>
    <w:tbl>
      <w:tblPr>
        <w:tblW w:w="0" w:type="auto"/>
        <w:tblLayout w:type="fixed"/>
        <w:tblCellMar>
          <w:left w:w="62" w:type="dxa"/>
          <w:right w:w="62" w:type="dxa"/>
        </w:tblCellMar>
        <w:tblLook w:val="0000"/>
      </w:tblPr>
      <w:tblGrid>
        <w:gridCol w:w="9112"/>
      </w:tblGrid>
      <w:tr w:rsidTr="00BC0DC1">
        <w:tblPrEx>
          <w:tblW w:w="0" w:type="auto"/>
          <w:tblLayout w:type="fixed"/>
          <w:tblCellMar>
            <w:left w:w="62" w:type="dxa"/>
            <w:right w:w="62" w:type="dxa"/>
          </w:tblCellMar>
          <w:tblLook w:val="0000"/>
        </w:tblPrEx>
        <w:tc>
          <w:tcPr>
            <w:tcW w:w="9112" w:type="dxa"/>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t>This section describes the essential skills and knowledge and their level, required for this unit.</w:t>
            </w:r>
          </w:p>
        </w:tc>
      </w:tr>
      <w:tr w:rsidTr="00BC0DC1">
        <w:tblPrEx>
          <w:tblW w:w="0" w:type="auto"/>
          <w:tblLayout w:type="fixed"/>
          <w:tblCellMar>
            <w:left w:w="62" w:type="dxa"/>
            <w:right w:w="62" w:type="dxa"/>
          </w:tblCellMar>
          <w:tblLook w:val="0000"/>
        </w:tblPrEx>
        <w:tc>
          <w:tcPr>
            <w:tcW w:w="9112" w:type="dxa"/>
            <w:tcBorders>
              <w:top w:val="nil"/>
              <w:left w:val="nil"/>
              <w:bottom w:val="nil"/>
              <w:right w:val="nil"/>
            </w:tcBorders>
            <w:tcMar>
              <w:top w:w="0" w:type="dxa"/>
              <w:left w:w="62" w:type="dxa"/>
              <w:bottom w:w="0" w:type="dxa"/>
              <w:right w:w="62" w:type="dxa"/>
            </w:tcMar>
          </w:tcPr>
          <w:p w:rsidR="00000000" w:rsidRPr="00BC0DC1" w:rsidP="00BC0DC1">
            <w:pPr>
              <w:pStyle w:val="BodyText"/>
            </w:pPr>
            <w:r w:rsidRPr="00BC0DC1">
              <w:rPr>
                <w:rStyle w:val="SpecialBold"/>
              </w:rPr>
              <w:t>Required skills</w:t>
            </w:r>
          </w:p>
          <w:p w:rsidR="00000000" w:rsidRPr="00BC0DC1" w:rsidP="00BC0DC1">
            <w:pPr>
              <w:pStyle w:val="ListBullet"/>
            </w:pPr>
            <w:r w:rsidRPr="00BC0DC1">
              <w:t>analytical skills to analyse GIS system options and application architecture</w:t>
            </w:r>
          </w:p>
          <w:p w:rsidR="00000000" w:rsidRPr="00BC0DC1" w:rsidP="00BC0DC1">
            <w:pPr>
              <w:pStyle w:val="ListBullet"/>
            </w:pPr>
            <w:r w:rsidRPr="00BC0DC1">
              <w:t>communication skills to:</w:t>
            </w:r>
          </w:p>
          <w:p w:rsidR="00000000" w:rsidRPr="00BC0DC1" w:rsidP="00BC0DC1">
            <w:pPr>
              <w:pStyle w:val="ListBullet2"/>
            </w:pPr>
            <w:r w:rsidRPr="00BC0DC1">
              <w:t>consult effectively with clients and colleagues</w:t>
            </w:r>
          </w:p>
          <w:p w:rsidR="00000000" w:rsidRPr="00BC0DC1" w:rsidP="00BC0DC1">
            <w:pPr>
              <w:pStyle w:val="ListBullet2"/>
            </w:pPr>
            <w:r w:rsidRPr="00BC0DC1">
              <w:t>impart knowledge and ideas through oral, written and visual means</w:t>
            </w:r>
          </w:p>
          <w:p w:rsidR="00000000" w:rsidRPr="00BC0DC1" w:rsidP="00BC0DC1">
            <w:pPr>
              <w:pStyle w:val="ListBullet"/>
            </w:pPr>
            <w:r w:rsidRPr="00BC0DC1">
              <w:t>initiative and enterprise skills to:</w:t>
            </w:r>
          </w:p>
          <w:p w:rsidR="00000000" w:rsidRPr="00BC0DC1" w:rsidP="00BC0DC1">
            <w:pPr>
              <w:pStyle w:val="ListBullet2"/>
            </w:pPr>
            <w:r w:rsidRPr="00BC0DC1">
              <w:t>apply judgement relating to suitability of data</w:t>
            </w:r>
          </w:p>
          <w:p w:rsidR="00000000" w:rsidRPr="00BC0DC1" w:rsidP="00BC0DC1">
            <w:pPr>
              <w:pStyle w:val="ListBullet2"/>
            </w:pPr>
            <w:r w:rsidRPr="00BC0DC1">
              <w:t>interpret project requirements</w:t>
            </w:r>
          </w:p>
          <w:p w:rsidR="00000000" w:rsidRPr="00BC0DC1" w:rsidP="00BC0DC1">
            <w:pPr>
              <w:pStyle w:val="ListBullet2"/>
            </w:pPr>
            <w:r w:rsidRPr="00BC0DC1">
              <w:t>negotiate with clients</w:t>
            </w:r>
          </w:p>
          <w:p w:rsidR="00000000" w:rsidRPr="00BC0DC1" w:rsidP="00BC0DC1">
            <w:pPr>
              <w:pStyle w:val="ListBullet"/>
            </w:pPr>
            <w:r w:rsidRPr="00BC0DC1">
              <w:t>literacy skills to:</w:t>
            </w:r>
          </w:p>
          <w:p w:rsidR="00000000" w:rsidRPr="00BC0DC1" w:rsidP="00BC0DC1">
            <w:pPr>
              <w:pStyle w:val="ListBullet2"/>
            </w:pPr>
            <w:r w:rsidRPr="00BC0DC1">
              <w:t>assess, develop and use workplace information</w:t>
            </w:r>
          </w:p>
          <w:p w:rsidR="00000000" w:rsidRPr="00BC0DC1" w:rsidP="00BC0DC1">
            <w:pPr>
              <w:pStyle w:val="ListBullet2"/>
            </w:pPr>
            <w:r w:rsidRPr="00BC0DC1">
              <w:t>prepare and manage documentation and information flow</w:t>
            </w:r>
          </w:p>
          <w:p w:rsidR="00000000" w:rsidRPr="00BC0DC1" w:rsidP="00BC0DC1">
            <w:pPr>
              <w:pStyle w:val="ListBullet2"/>
            </w:pPr>
            <w:r w:rsidRPr="00BC0DC1">
              <w:t>read and write specification reports, including technical reports</w:t>
            </w:r>
          </w:p>
          <w:p w:rsidR="00000000" w:rsidRPr="00BC0DC1" w:rsidP="00BC0DC1">
            <w:pPr>
              <w:pStyle w:val="ListBullet2"/>
            </w:pPr>
            <w:r w:rsidRPr="00BC0DC1">
              <w:t xml:space="preserve">research and access information in order to source geographic information </w:t>
            </w:r>
          </w:p>
          <w:p w:rsidR="00000000" w:rsidRPr="00BC0DC1" w:rsidP="00BC0DC1">
            <w:pPr>
              <w:pStyle w:val="ListBullet"/>
            </w:pPr>
            <w:r w:rsidRPr="00BC0DC1">
              <w:t>numeracy skills to:</w:t>
            </w:r>
          </w:p>
          <w:p w:rsidR="00000000" w:rsidRPr="00BC0DC1" w:rsidP="00BC0DC1">
            <w:pPr>
              <w:pStyle w:val="ListBullet2"/>
            </w:pPr>
            <w:r w:rsidRPr="00BC0DC1">
              <w:t>analyse errors</w:t>
            </w:r>
          </w:p>
          <w:p w:rsidR="00000000" w:rsidRPr="00BC0DC1" w:rsidP="00BC0DC1">
            <w:pPr>
              <w:pStyle w:val="ListBullet2"/>
            </w:pPr>
            <w:r w:rsidRPr="00BC0DC1">
              <w:t>estimate costs</w:t>
            </w:r>
          </w:p>
          <w:p w:rsidR="00000000" w:rsidRPr="00BC0DC1" w:rsidP="00BC0DC1">
            <w:pPr>
              <w:pStyle w:val="ListBullet2"/>
            </w:pPr>
            <w:r w:rsidRPr="00BC0DC1">
              <w:t>perform mental calculations</w:t>
            </w:r>
          </w:p>
          <w:p w:rsidR="00000000" w:rsidRPr="00BC0DC1" w:rsidP="00BC0DC1">
            <w:pPr>
              <w:pStyle w:val="ListBullet2"/>
            </w:pPr>
            <w:r w:rsidRPr="00BC0DC1">
              <w:t>record with accuracy and precision</w:t>
            </w:r>
          </w:p>
          <w:p w:rsidR="00000000" w:rsidRPr="00BC0DC1" w:rsidP="00BC0DC1">
            <w:pPr>
              <w:pStyle w:val="ListBullet"/>
            </w:pPr>
            <w:r w:rsidRPr="00BC0DC1">
              <w:t>planning and organising skills to:</w:t>
            </w:r>
          </w:p>
          <w:p w:rsidR="00000000" w:rsidRPr="00BC0DC1" w:rsidP="00BC0DC1">
            <w:pPr>
              <w:pStyle w:val="ListBullet2"/>
            </w:pPr>
            <w:r w:rsidRPr="00BC0DC1">
              <w:t>plan and prioritise activities to meet contractual requirements</w:t>
            </w:r>
          </w:p>
          <w:p w:rsidR="00000000" w:rsidRPr="00BC0DC1" w:rsidP="00BC0DC1">
            <w:pPr>
              <w:pStyle w:val="ListBullet2"/>
            </w:pPr>
            <w:r w:rsidRPr="00BC0DC1">
              <w:t xml:space="preserve">conduct project activity </w:t>
            </w:r>
          </w:p>
          <w:p w:rsidR="00000000" w:rsidRPr="00BC0DC1" w:rsidP="00BC0DC1">
            <w:pPr>
              <w:pStyle w:val="ListBullet2"/>
            </w:pPr>
            <w:r w:rsidRPr="00BC0DC1">
              <w:t>manage information</w:t>
            </w:r>
          </w:p>
          <w:p w:rsidR="00000000" w:rsidRPr="00BC0DC1" w:rsidP="00BC0DC1">
            <w:pPr>
              <w:pStyle w:val="ListBullet"/>
            </w:pPr>
            <w:r w:rsidRPr="00BC0DC1">
              <w:t xml:space="preserve">self-management skills to: </w:t>
            </w:r>
          </w:p>
          <w:p w:rsidR="00000000" w:rsidRPr="00BC0DC1" w:rsidP="00BC0DC1">
            <w:pPr>
              <w:pStyle w:val="ListBullet2"/>
            </w:pPr>
            <w:r w:rsidRPr="00BC0DC1">
              <w:t>maintain attention to detail</w:t>
            </w:r>
          </w:p>
          <w:p w:rsidR="00000000" w:rsidRPr="00BC0DC1" w:rsidP="00BC0DC1">
            <w:pPr>
              <w:pStyle w:val="ListBullet2"/>
            </w:pPr>
            <w:r w:rsidRPr="00BC0DC1">
              <w:t>manage project activity</w:t>
            </w:r>
          </w:p>
          <w:p w:rsidR="00000000" w:rsidRPr="00BC0DC1" w:rsidP="00BC0DC1">
            <w:pPr>
              <w:pStyle w:val="ListBullet2"/>
            </w:pPr>
            <w:r w:rsidRPr="00BC0DC1">
              <w:t>meet deadlines</w:t>
            </w:r>
          </w:p>
          <w:p w:rsidR="00000000" w:rsidRPr="00BC0DC1" w:rsidP="00BC0DC1">
            <w:pPr>
              <w:pStyle w:val="ListBullet"/>
            </w:pPr>
            <w:r w:rsidRPr="00BC0DC1">
              <w:t>spatial skills to:</w:t>
            </w:r>
          </w:p>
          <w:p w:rsidR="00000000" w:rsidRPr="00BC0DC1" w:rsidP="00BC0DC1">
            <w:pPr>
              <w:pStyle w:val="ListBullet2"/>
            </w:pPr>
            <w:r w:rsidRPr="00BC0DC1">
              <w:t>archive and retrieve spatial data</w:t>
            </w:r>
          </w:p>
          <w:p w:rsidR="00000000" w:rsidRPr="00BC0DC1" w:rsidP="00BC0DC1">
            <w:pPr>
              <w:pStyle w:val="ListBullet2"/>
            </w:pPr>
            <w:r w:rsidRPr="00BC0DC1">
              <w:t>capture geographic information</w:t>
            </w:r>
          </w:p>
          <w:p w:rsidR="00000000" w:rsidRPr="00BC0DC1" w:rsidP="00BC0DC1">
            <w:pPr>
              <w:pStyle w:val="ListBullet2"/>
            </w:pPr>
            <w:r w:rsidRPr="00BC0DC1">
              <w:t>conduct quality audit</w:t>
            </w:r>
          </w:p>
          <w:p w:rsidR="00000000" w:rsidRPr="00BC0DC1" w:rsidP="00BC0DC1">
            <w:pPr>
              <w:pStyle w:val="ListBullet2"/>
            </w:pPr>
            <w:r w:rsidRPr="00BC0DC1">
              <w:t>manage and manipulate spatial data</w:t>
            </w:r>
          </w:p>
          <w:p w:rsidR="00000000" w:rsidRPr="00BC0DC1" w:rsidP="00BC0DC1">
            <w:pPr>
              <w:pStyle w:val="ListBullet"/>
            </w:pPr>
            <w:r w:rsidRPr="00BC0DC1">
              <w:t>technology skills to use computers to develop business documentation</w:t>
            </w:r>
          </w:p>
          <w:p w:rsidR="00000000" w:rsidRPr="00BC0DC1" w:rsidP="00BC0DC1">
            <w:pPr>
              <w:pStyle w:val="BodyText"/>
            </w:pPr>
          </w:p>
          <w:p w:rsidR="00000000" w:rsidRPr="00BC0DC1" w:rsidP="00BC0DC1">
            <w:pPr>
              <w:pStyle w:val="BodyText"/>
            </w:pPr>
            <w:r w:rsidRPr="00BC0DC1">
              <w:rPr>
                <w:rStyle w:val="SpecialBold"/>
              </w:rPr>
              <w:t>Required knowledge</w:t>
            </w:r>
          </w:p>
          <w:p w:rsidR="00000000" w:rsidRPr="00BC0DC1" w:rsidP="00BC0DC1">
            <w:pPr>
              <w:pStyle w:val="ListBullet"/>
            </w:pPr>
            <w:r w:rsidRPr="00BC0DC1">
              <w:t xml:space="preserve">complex spatial information technologies </w:t>
            </w:r>
          </w:p>
          <w:p w:rsidR="00000000" w:rsidRPr="00BC0DC1" w:rsidP="00BC0DC1">
            <w:pPr>
              <w:pStyle w:val="ListBullet"/>
            </w:pPr>
            <w:r w:rsidRPr="00BC0DC1">
              <w:t>data management processes</w:t>
            </w:r>
          </w:p>
          <w:p w:rsidR="00000000" w:rsidRPr="00BC0DC1" w:rsidP="00BC0DC1">
            <w:pPr>
              <w:pStyle w:val="ListBullet"/>
            </w:pPr>
            <w:r w:rsidRPr="00BC0DC1">
              <w:t>data output and distribution technologies, including:</w:t>
            </w:r>
          </w:p>
          <w:p w:rsidR="00000000" w:rsidRPr="00BC0DC1" w:rsidP="00BC0DC1">
            <w:pPr>
              <w:pStyle w:val="ListBullet2"/>
            </w:pPr>
            <w:r w:rsidRPr="00BC0DC1">
              <w:t>graphic interfaces</w:t>
            </w:r>
          </w:p>
          <w:p w:rsidR="00000000" w:rsidRPr="00BC0DC1" w:rsidP="00BC0DC1">
            <w:pPr>
              <w:pStyle w:val="ListBullet2"/>
            </w:pPr>
            <w:r w:rsidRPr="00BC0DC1">
              <w:t>macro development</w:t>
            </w:r>
          </w:p>
          <w:p w:rsidR="00000000" w:rsidRPr="00BC0DC1" w:rsidP="00BC0DC1">
            <w:pPr>
              <w:pStyle w:val="ListBullet2"/>
            </w:pPr>
            <w:r w:rsidRPr="00BC0DC1">
              <w:t>networks</w:t>
            </w:r>
          </w:p>
          <w:p w:rsidR="00000000" w:rsidRPr="00BC0DC1" w:rsidP="00BC0DC1">
            <w:pPr>
              <w:pStyle w:val="ListBullet2"/>
            </w:pPr>
            <w:r w:rsidRPr="00BC0DC1">
              <w:t>query languages</w:t>
            </w:r>
          </w:p>
          <w:p w:rsidR="00000000" w:rsidRPr="00BC0DC1" w:rsidP="00BC0DC1">
            <w:pPr>
              <w:pStyle w:val="ListBullet2"/>
            </w:pPr>
            <w:r w:rsidRPr="00BC0DC1">
              <w:t>remote access</w:t>
            </w:r>
          </w:p>
          <w:p w:rsidR="00000000" w:rsidRPr="00BC0DC1" w:rsidP="00BC0DC1">
            <w:pPr>
              <w:pStyle w:val="ListBullet2"/>
            </w:pPr>
            <w:r w:rsidRPr="00BC0DC1">
              <w:t>scripting</w:t>
            </w:r>
          </w:p>
          <w:p w:rsidR="00000000" w:rsidRPr="00BC0DC1" w:rsidP="00BC0DC1">
            <w:pPr>
              <w:pStyle w:val="ListBullet"/>
            </w:pPr>
            <w:r w:rsidRPr="00BC0DC1">
              <w:t>database structures, including the relationshi</w:t>
            </w:r>
            <w:r w:rsidRPr="00BC0DC1">
              <w:t xml:space="preserve">p of spatial features of database </w:t>
            </w:r>
          </w:p>
          <w:p w:rsidR="00000000" w:rsidRPr="00BC0DC1" w:rsidP="00BC0DC1">
            <w:pPr>
              <w:pStyle w:val="ListBullet"/>
            </w:pPr>
            <w:r w:rsidRPr="00BC0DC1">
              <w:t>effects of spatial and temporal resolution of the information content of remote-sensed data</w:t>
            </w:r>
          </w:p>
          <w:p w:rsidR="00000000" w:rsidRPr="00BC0DC1" w:rsidP="00BC0DC1">
            <w:pPr>
              <w:pStyle w:val="ListBullet"/>
            </w:pPr>
            <w:r w:rsidRPr="00BC0DC1">
              <w:t>GIS software, such as:</w:t>
            </w:r>
          </w:p>
          <w:p w:rsidR="00000000" w:rsidRPr="00BC0DC1" w:rsidP="00BC0DC1">
            <w:pPr>
              <w:pStyle w:val="ListBullet2"/>
            </w:pPr>
            <w:r w:rsidRPr="00BC0DC1">
              <w:t>ArcInfo</w:t>
            </w:r>
          </w:p>
          <w:p w:rsidR="00000000" w:rsidRPr="00BC0DC1" w:rsidP="00BC0DC1">
            <w:pPr>
              <w:pStyle w:val="ListBullet2"/>
            </w:pPr>
            <w:r w:rsidRPr="00BC0DC1">
              <w:t>GenaMap</w:t>
            </w:r>
          </w:p>
          <w:p w:rsidR="00000000" w:rsidRPr="00BC0DC1" w:rsidP="00BC0DC1">
            <w:pPr>
              <w:pStyle w:val="ListBullet2"/>
            </w:pPr>
            <w:r w:rsidRPr="00BC0DC1">
              <w:t>MapInfo</w:t>
            </w:r>
          </w:p>
          <w:p w:rsidR="00000000" w:rsidRPr="00BC0DC1" w:rsidP="00BC0DC1">
            <w:pPr>
              <w:pStyle w:val="ListBullet"/>
            </w:pPr>
            <w:r w:rsidRPr="00BC0DC1">
              <w:t>information management techniques</w:t>
            </w:r>
          </w:p>
          <w:p w:rsidR="00000000" w:rsidRPr="00BC0DC1" w:rsidP="00BC0DC1">
            <w:pPr>
              <w:pStyle w:val="ListBullet"/>
            </w:pPr>
            <w:r w:rsidRPr="00BC0DC1">
              <w:t xml:space="preserve">legislation relating to: </w:t>
            </w:r>
          </w:p>
          <w:p w:rsidR="00000000" w:rsidRPr="00BC0DC1" w:rsidP="00BC0DC1">
            <w:pPr>
              <w:pStyle w:val="ListBullet2"/>
            </w:pPr>
            <w:r w:rsidRPr="00BC0DC1">
              <w:t>appropriate Acts</w:t>
            </w:r>
          </w:p>
          <w:p w:rsidR="00000000" w:rsidRPr="00BC0DC1" w:rsidP="00BC0DC1">
            <w:pPr>
              <w:pStyle w:val="ListBullet2"/>
            </w:pPr>
            <w:r w:rsidRPr="00BC0DC1">
              <w:t>copyright</w:t>
            </w:r>
          </w:p>
          <w:p w:rsidR="00000000" w:rsidRPr="00BC0DC1" w:rsidP="00BC0DC1">
            <w:pPr>
              <w:pStyle w:val="ListBullet2"/>
            </w:pPr>
            <w:r w:rsidRPr="00BC0DC1">
              <w:t xml:space="preserve">freedom of information </w:t>
            </w:r>
          </w:p>
          <w:p w:rsidR="00000000" w:rsidRPr="00BC0DC1" w:rsidP="00BC0DC1">
            <w:pPr>
              <w:pStyle w:val="ListBullet2"/>
            </w:pPr>
            <w:r w:rsidRPr="00BC0DC1">
              <w:t>intellectual property</w:t>
            </w:r>
          </w:p>
          <w:p w:rsidR="00000000" w:rsidRPr="00BC0DC1" w:rsidP="00BC0DC1">
            <w:pPr>
              <w:pStyle w:val="ListBullet2"/>
            </w:pPr>
            <w:r w:rsidRPr="00BC0DC1">
              <w:t>trade practices</w:t>
            </w:r>
          </w:p>
          <w:p w:rsidR="00000000" w:rsidRPr="00BC0DC1" w:rsidP="00BC0DC1">
            <w:pPr>
              <w:pStyle w:val="ListBullet"/>
            </w:pPr>
            <w:r w:rsidRPr="00BC0DC1">
              <w:t>organisational and industry policies and practices relating to:</w:t>
            </w:r>
          </w:p>
          <w:p w:rsidR="00000000" w:rsidRPr="00BC0DC1" w:rsidP="00BC0DC1">
            <w:pPr>
              <w:pStyle w:val="ListBullet2"/>
            </w:pPr>
            <w:r w:rsidRPr="00BC0DC1">
              <w:t>custodianship of data</w:t>
            </w:r>
          </w:p>
          <w:p w:rsidR="00000000" w:rsidRPr="00BC0DC1" w:rsidP="00BC0DC1">
            <w:pPr>
              <w:pStyle w:val="ListBullet2"/>
            </w:pPr>
            <w:r w:rsidRPr="00BC0DC1">
              <w:t>industry practices, policies and standards</w:t>
            </w:r>
          </w:p>
          <w:p w:rsidR="00000000" w:rsidRPr="00BC0DC1" w:rsidP="00BC0DC1">
            <w:pPr>
              <w:pStyle w:val="ListBullet"/>
            </w:pPr>
            <w:r w:rsidRPr="00BC0DC1">
              <w:t>requirements relevant to managing GIS data:</w:t>
            </w:r>
          </w:p>
          <w:p w:rsidR="00000000" w:rsidRPr="00BC0DC1" w:rsidP="00BC0DC1">
            <w:pPr>
              <w:pStyle w:val="ListBullet2"/>
            </w:pPr>
            <w:r w:rsidRPr="00BC0DC1">
              <w:t>accuracy and precision requirements</w:t>
            </w:r>
          </w:p>
          <w:p w:rsidR="00000000" w:rsidRPr="00BC0DC1" w:rsidP="00BC0DC1">
            <w:pPr>
              <w:pStyle w:val="ListBullet2"/>
            </w:pPr>
            <w:r w:rsidRPr="00BC0DC1">
              <w:t>data formats</w:t>
            </w:r>
          </w:p>
          <w:p w:rsidR="00000000" w:rsidRPr="00BC0DC1" w:rsidP="00BC0DC1">
            <w:pPr>
              <w:pStyle w:val="ListBullet2"/>
            </w:pPr>
            <w:r w:rsidRPr="00BC0DC1">
              <w:t>statutory requirements relating to managing GIS data</w:t>
            </w:r>
          </w:p>
          <w:p w:rsidR="00000000" w:rsidRPr="00BC0DC1" w:rsidP="00BC0DC1">
            <w:pPr>
              <w:pStyle w:val="ListBullet2"/>
            </w:pPr>
            <w:r w:rsidRPr="00BC0DC1">
              <w:t>potential inaccuracies and problems relating to GIS data</w:t>
            </w:r>
          </w:p>
          <w:p w:rsidR="00000000" w:rsidRPr="00BC0DC1" w:rsidP="00BC0DC1">
            <w:pPr>
              <w:pStyle w:val="ListBullet2"/>
            </w:pPr>
            <w:r w:rsidRPr="00BC0DC1">
              <w:t>quality standards, including quality improvement practices</w:t>
            </w:r>
          </w:p>
          <w:p w:rsidR="00000000" w:rsidRPr="00BC0DC1" w:rsidP="00BC0DC1">
            <w:pPr>
              <w:pStyle w:val="ListBullet"/>
            </w:pPr>
            <w:r w:rsidRPr="00BC0DC1">
              <w:t>remote sensing technologies, includin</w:t>
            </w:r>
            <w:r w:rsidRPr="00BC0DC1">
              <w:t>g:</w:t>
            </w:r>
          </w:p>
          <w:p w:rsidR="00000000" w:rsidRPr="00BC0DC1" w:rsidP="00BC0DC1">
            <w:pPr>
              <w:pStyle w:val="ListBullet2"/>
            </w:pPr>
            <w:r w:rsidRPr="00BC0DC1">
              <w:t>aerial photography</w:t>
            </w:r>
          </w:p>
          <w:p w:rsidR="00000000" w:rsidRPr="00BC0DC1" w:rsidP="00BC0DC1">
            <w:pPr>
              <w:pStyle w:val="ListBullet2"/>
            </w:pPr>
            <w:r w:rsidRPr="00BC0DC1">
              <w:t>coordinate geometry</w:t>
            </w:r>
          </w:p>
          <w:p w:rsidR="00000000" w:rsidRPr="00BC0DC1" w:rsidP="00BC0DC1">
            <w:pPr>
              <w:pStyle w:val="ListBullet2"/>
            </w:pPr>
            <w:r w:rsidRPr="00BC0DC1">
              <w:t xml:space="preserve">digitising </w:t>
            </w:r>
          </w:p>
          <w:p w:rsidR="00000000" w:rsidRPr="00BC0DC1" w:rsidP="00BC0DC1">
            <w:pPr>
              <w:pStyle w:val="ListBullet2"/>
            </w:pPr>
            <w:r w:rsidRPr="00BC0DC1">
              <w:t>scanning</w:t>
            </w:r>
          </w:p>
          <w:p w:rsidR="00000000" w:rsidRPr="00BC0DC1" w:rsidP="00BC0DC1">
            <w:pPr>
              <w:pStyle w:val="ListBullet"/>
            </w:pPr>
            <w:r w:rsidRPr="00BC0DC1">
              <w:t>spatial phenomena</w:t>
            </w:r>
          </w:p>
        </w:tc>
      </w:tr>
    </w:tbl>
    <w:p w:rsidR="00000000" w:rsidRPr="00BC0DC1" w:rsidP="00BC0DC1">
      <w:pPr>
        <w:pStyle w:val="BodyText"/>
      </w:pPr>
    </w:p>
    <w:p w:rsidR="00000000" w:rsidRPr="00BC0DC1" w:rsidP="00BC0DC1">
      <w:pPr>
        <w:pStyle w:val="AllowPageBreak"/>
      </w:pPr>
    </w:p>
    <w:p w:rsidR="00000000" w:rsidRPr="00BC0DC1" w:rsidP="00BC0DC1">
      <w:pPr>
        <w:pStyle w:val="Heading1"/>
      </w:pPr>
      <w:bookmarkStart w:id="10" w:name="O_510227"/>
      <w:bookmarkEnd w:id="10"/>
      <w:r w:rsidRPr="00BC0DC1">
        <w:t>Evidence Guide</w:t>
      </w:r>
    </w:p>
    <w:tbl>
      <w:tblPr>
        <w:tblW w:w="0" w:type="auto"/>
        <w:tblLayout w:type="fixed"/>
        <w:tblCellMar>
          <w:left w:w="62" w:type="dxa"/>
          <w:right w:w="62" w:type="dxa"/>
        </w:tblCellMar>
        <w:tblLook w:val="0000"/>
      </w:tblPr>
      <w:tblGrid>
        <w:gridCol w:w="2694"/>
        <w:gridCol w:w="6440"/>
      </w:tblGrid>
      <w:tr w:rsidTr="00BC0DC1">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t>The evidence guide provides advice on assessment and must be read in conjunction with the performance criteria, required skills and knowledge, the range statement and the Assessment Guidelines for this Training Package.</w:t>
            </w:r>
          </w:p>
        </w:tc>
      </w:tr>
      <w:tr w:rsidTr="00BC0DC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rPr>
                <w:rStyle w:val="SpecialBold"/>
              </w:rPr>
              <w:t>Overview of assessment</w:t>
            </w:r>
          </w:p>
        </w:tc>
        <w:tc>
          <w:tcPr>
            <w:tcW w:w="6440" w:type="dxa"/>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t>This unit of competency could be assessed on its own or in combination with other units relevant to the job function, for example CPPSIS6042A Coordinate information gathering and GIS development and CPPSIS6043A Develop, monitor and maintain geographic info</w:t>
            </w:r>
            <w:r w:rsidRPr="00BC0DC1">
              <w:t>rmation systems.</w:t>
            </w:r>
          </w:p>
        </w:tc>
      </w:tr>
      <w:tr w:rsidTr="00BC0DC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rPr>
                <w:rStyle w:val="SpecialBold"/>
              </w:rPr>
              <w:t>Critical aspects for assessment and evidence required to demonstrate competency in this unit</w:t>
            </w:r>
          </w:p>
        </w:tc>
        <w:tc>
          <w:tcPr>
            <w:tcW w:w="6440" w:type="dxa"/>
            <w:tcBorders>
              <w:top w:val="nil"/>
              <w:left w:val="nil"/>
              <w:bottom w:val="nil"/>
              <w:right w:val="nil"/>
            </w:tcBorders>
            <w:tcMar>
              <w:top w:w="0" w:type="dxa"/>
              <w:left w:w="62" w:type="dxa"/>
              <w:bottom w:w="0" w:type="dxa"/>
              <w:right w:w="62" w:type="dxa"/>
            </w:tcMar>
          </w:tcPr>
          <w:p w:rsidR="00000000" w:rsidRPr="00BC0DC1" w:rsidP="00BC0DC1">
            <w:pPr>
              <w:pStyle w:val="BodyText"/>
            </w:pPr>
            <w:r w:rsidRPr="00BC0DC1">
              <w:t>A person who demonstrates competency in this unit must be able to provide evidence of:</w:t>
            </w:r>
          </w:p>
          <w:p w:rsidR="00000000" w:rsidRPr="00BC0DC1" w:rsidP="00BC0DC1">
            <w:pPr>
              <w:pStyle w:val="ListBullet"/>
            </w:pPr>
            <w:r w:rsidRPr="00BC0DC1">
              <w:t>managing GIS tasks and organisational data requirements</w:t>
            </w:r>
          </w:p>
          <w:p w:rsidR="00000000" w:rsidRPr="00BC0DC1" w:rsidP="00BC0DC1">
            <w:pPr>
              <w:pStyle w:val="ListBullet"/>
            </w:pPr>
            <w:r w:rsidRPr="00BC0DC1">
              <w:t>m</w:t>
            </w:r>
            <w:r w:rsidRPr="00BC0DC1">
              <w:t>onitoring and reviewing use of GIS systems</w:t>
            </w:r>
          </w:p>
          <w:p w:rsidR="00000000" w:rsidP="00BC0DC1">
            <w:pPr>
              <w:pStyle w:val="ListBullet"/>
              <w:rPr>
                <w:lang w:val="en-NZ"/>
              </w:rPr>
            </w:pPr>
            <w:r w:rsidRPr="00BC0DC1">
              <w:t>knowledge of organisational GIS data requirements.</w:t>
            </w:r>
          </w:p>
        </w:tc>
      </w:tr>
      <w:tr w:rsidTr="00BC0DC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rPr>
                <w:rStyle w:val="SpecialBold"/>
              </w:rPr>
              <w:t>Specific resources for assessment</w:t>
            </w:r>
          </w:p>
        </w:tc>
        <w:tc>
          <w:tcPr>
            <w:tcW w:w="6440" w:type="dxa"/>
            <w:tcBorders>
              <w:top w:val="nil"/>
              <w:left w:val="nil"/>
              <w:bottom w:val="nil"/>
              <w:right w:val="nil"/>
            </w:tcBorders>
            <w:tcMar>
              <w:top w:w="0" w:type="dxa"/>
              <w:left w:w="62" w:type="dxa"/>
              <w:bottom w:w="0" w:type="dxa"/>
              <w:right w:w="62" w:type="dxa"/>
            </w:tcMar>
          </w:tcPr>
          <w:p w:rsidR="00000000" w:rsidRPr="00BC0DC1" w:rsidP="00BC0DC1">
            <w:pPr>
              <w:pStyle w:val="BodyText"/>
            </w:pPr>
            <w:r w:rsidRPr="00BC0DC1">
              <w:t>Resource implications for assessment include access to:</w:t>
            </w:r>
          </w:p>
          <w:p w:rsidR="00000000" w:rsidRPr="00BC0DC1" w:rsidP="00BC0DC1">
            <w:pPr>
              <w:pStyle w:val="ListBullet"/>
            </w:pPr>
            <w:r w:rsidRPr="00BC0DC1">
              <w:t>assessment instruments, including personal planner and assessment record book</w:t>
            </w:r>
          </w:p>
          <w:p w:rsidR="00000000" w:rsidRPr="00BC0DC1" w:rsidP="00BC0DC1">
            <w:pPr>
              <w:pStyle w:val="ListBullet"/>
            </w:pPr>
            <w:r w:rsidRPr="00BC0DC1">
              <w:t>assignment instructions, work plans and schedules, policy documents and duty statements</w:t>
            </w:r>
          </w:p>
          <w:p w:rsidR="00000000" w:rsidRPr="00BC0DC1" w:rsidP="00BC0DC1">
            <w:pPr>
              <w:pStyle w:val="ListBullet"/>
            </w:pPr>
            <w:r w:rsidRPr="00BC0DC1">
              <w:t>registered training provider of assessment services</w:t>
            </w:r>
          </w:p>
          <w:p w:rsidR="00000000" w:rsidRPr="00BC0DC1" w:rsidP="00BC0DC1">
            <w:pPr>
              <w:pStyle w:val="ListBullet"/>
            </w:pPr>
            <w:r w:rsidRPr="00BC0DC1">
              <w:t>relevant guidelines, regulations and c</w:t>
            </w:r>
            <w:r w:rsidRPr="00BC0DC1">
              <w:t>odes of practice</w:t>
            </w:r>
          </w:p>
          <w:p w:rsidR="00000000" w:rsidRPr="00BC0DC1" w:rsidP="00BC0DC1">
            <w:pPr>
              <w:pStyle w:val="ListBullet"/>
            </w:pPr>
            <w:r w:rsidRPr="00BC0DC1">
              <w:t>suitable venue and equipment.</w:t>
            </w:r>
          </w:p>
          <w:p w:rsidR="00000000" w:rsidRPr="00BC0DC1" w:rsidP="00BC0DC1">
            <w:pPr>
              <w:pStyle w:val="BodyText"/>
            </w:pPr>
            <w:r w:rsidRPr="00BC0DC1">
              <w:t>Access must be provided to appropriate learning and assessment support when required.</w:t>
            </w:r>
          </w:p>
          <w:p w:rsidR="00000000" w:rsidP="00BC0DC1">
            <w:pPr>
              <w:pStyle w:val="BodyText"/>
              <w:rPr>
                <w:lang w:val="en-NZ"/>
              </w:rPr>
            </w:pPr>
            <w:r w:rsidRPr="00BC0DC1">
              <w:t>Where applicable, physical resources should include equipment modified for people with disabilities.</w:t>
            </w:r>
          </w:p>
        </w:tc>
      </w:tr>
      <w:tr w:rsidTr="00BC0DC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rPr>
                <w:rStyle w:val="SpecialBold"/>
              </w:rPr>
              <w:t>Context of assessment</w:t>
            </w:r>
          </w:p>
        </w:tc>
        <w:tc>
          <w:tcPr>
            <w:tcW w:w="6440" w:type="dxa"/>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t>Holistic: based on the performance criteria, evidence guide, range statement, and required skills and knowledge.</w:t>
            </w:r>
          </w:p>
        </w:tc>
      </w:tr>
      <w:tr w:rsidTr="00BC0DC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rPr>
                <w:rStyle w:val="SpecialBold"/>
              </w:rPr>
              <w:t>Method of assessment</w:t>
            </w:r>
          </w:p>
        </w:tc>
        <w:tc>
          <w:tcPr>
            <w:tcW w:w="6440" w:type="dxa"/>
            <w:tcBorders>
              <w:top w:val="nil"/>
              <w:left w:val="nil"/>
              <w:bottom w:val="nil"/>
              <w:right w:val="nil"/>
            </w:tcBorders>
            <w:tcMar>
              <w:top w:w="0" w:type="dxa"/>
              <w:left w:w="62" w:type="dxa"/>
              <w:bottom w:w="0" w:type="dxa"/>
              <w:right w:w="62" w:type="dxa"/>
            </w:tcMar>
          </w:tcPr>
          <w:p w:rsidR="00000000" w:rsidRPr="00BC0DC1" w:rsidP="00BC0DC1">
            <w:pPr>
              <w:pStyle w:val="BodyText"/>
            </w:pPr>
            <w:r w:rsidRPr="00BC0DC1">
              <w:t>Demonstrated over a period of time and observed by the assessor (or assessment team working together to conduct the assessment).</w:t>
            </w:r>
          </w:p>
          <w:p w:rsidR="00000000" w:rsidRPr="00BC0DC1" w:rsidP="00BC0DC1">
            <w:pPr>
              <w:pStyle w:val="BodyText"/>
            </w:pPr>
            <w:r w:rsidRPr="00BC0DC1">
              <w:t>Demonstrated competency in a range of situations, which may include customer/workplace interruptions and involvement in related</w:t>
            </w:r>
            <w:r w:rsidRPr="00BC0DC1">
              <w:t xml:space="preserve"> activities normally experienced in the workplace.</w:t>
            </w:r>
          </w:p>
          <w:p w:rsidR="00000000" w:rsidP="00BC0DC1">
            <w:pPr>
              <w:pStyle w:val="BodyText"/>
              <w:rPr>
                <w:lang w:val="en-NZ"/>
              </w:rPr>
            </w:pPr>
            <w:r w:rsidRPr="00BC0DC1">
              <w:t>Obtained by observing activities in the field and reviewing induction information. If this is not practicable, observation in realistic simulated environments may be substituted.</w:t>
            </w:r>
          </w:p>
        </w:tc>
      </w:tr>
      <w:tr w:rsidTr="00BC0DC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rPr>
                <w:rStyle w:val="SpecialBold"/>
              </w:rPr>
              <w:t xml:space="preserve">Guidance information for </w:t>
            </w:r>
            <w:r w:rsidRPr="00BC0DC1">
              <w:rPr>
                <w:rStyle w:val="SpecialBold"/>
              </w:rPr>
              <w:t>assessment</w:t>
            </w:r>
          </w:p>
        </w:tc>
        <w:tc>
          <w:tcPr>
            <w:tcW w:w="6440" w:type="dxa"/>
            <w:tcBorders>
              <w:top w:val="nil"/>
              <w:left w:val="nil"/>
              <w:bottom w:val="nil"/>
              <w:right w:val="nil"/>
            </w:tcBorders>
            <w:tcMar>
              <w:top w:w="0" w:type="dxa"/>
              <w:left w:w="62" w:type="dxa"/>
              <w:bottom w:w="0" w:type="dxa"/>
              <w:right w:w="62" w:type="dxa"/>
            </w:tcMar>
          </w:tcPr>
          <w:p w:rsidR="00000000" w:rsidRPr="00BC0DC1" w:rsidP="00BC0DC1">
            <w:pPr>
              <w:pStyle w:val="BodyText"/>
            </w:pPr>
            <w:r w:rsidRPr="00BC0DC1">
              <w:t>Assessment requires that the clients’ objectives and industry expectations are met. If the clients’ objectives are narrowly defined or not representative of industry needs, it may be necessary to refer to portfolio case studies of a variety of S</w:t>
            </w:r>
            <w:r w:rsidRPr="00BC0DC1">
              <w:t>IS requirements to assess competency.</w:t>
            </w:r>
          </w:p>
          <w:p w:rsidR="00000000" w:rsidRPr="00BC0DC1" w:rsidP="00BC0DC1">
            <w:pPr>
              <w:pStyle w:val="BodyText"/>
            </w:pPr>
            <w:r w:rsidRPr="00BC0DC1">
              <w:t>Oral questioning or written assessment and hypothetical situations (scenarios) may be used to assess underpinning knowledge (in assessment situations where the candidate is offered a preference between oral questioning</w:t>
            </w:r>
            <w:r w:rsidRPr="00BC0DC1">
              <w:t xml:space="preserve"> or written assessment, questions are to be identical).</w:t>
            </w:r>
          </w:p>
          <w:p w:rsidR="00000000" w:rsidRPr="00BC0DC1" w:rsidP="00BC0DC1">
            <w:pPr>
              <w:pStyle w:val="BodyText"/>
            </w:pPr>
            <w:r w:rsidRPr="00BC0DC1">
              <w:t>Supplementary evidence may be obtained from relevant authenticated correspondence from existing supervisors, team leaders or specialist training staff.</w:t>
            </w:r>
          </w:p>
          <w:p w:rsidR="00000000" w:rsidRPr="00BC0DC1" w:rsidP="00BC0DC1">
            <w:pPr>
              <w:pStyle w:val="BodyText"/>
            </w:pPr>
            <w:r w:rsidRPr="00BC0DC1">
              <w:t>All practical demonstration must adhere to the s</w:t>
            </w:r>
            <w:r w:rsidRPr="00BC0DC1">
              <w:t>afety and environmental regulations relevant to each State or Territory.</w:t>
            </w:r>
          </w:p>
        </w:tc>
      </w:tr>
    </w:tbl>
    <w:p w:rsidR="007D4BFB" w:rsidP="00BC0DC1">
      <w:pPr>
        <w:pStyle w:val="BodyText"/>
      </w:pPr>
    </w:p>
    <w:p w:rsidR="007D4BFB" w:rsidP="00BC0DC1">
      <w:pPr>
        <w:pStyle w:val="BodyText"/>
      </w:pPr>
    </w:p>
    <w:p w:rsidR="00000000" w:rsidRPr="00BC0DC1" w:rsidP="00BC0DC1">
      <w:pPr>
        <w:pStyle w:val="Heading1"/>
      </w:pPr>
      <w:bookmarkStart w:id="11" w:name="O_510231"/>
      <w:bookmarkEnd w:id="11"/>
      <w:r w:rsidRPr="00BC0DC1">
        <w:t>Range Statement</w:t>
      </w:r>
    </w:p>
    <w:tbl>
      <w:tblPr>
        <w:tblW w:w="0" w:type="auto"/>
        <w:tblLayout w:type="fixed"/>
        <w:tblCellMar>
          <w:left w:w="62" w:type="dxa"/>
          <w:right w:w="62" w:type="dxa"/>
        </w:tblCellMar>
        <w:tblLook w:val="0000"/>
      </w:tblPr>
      <w:tblGrid>
        <w:gridCol w:w="2677"/>
        <w:gridCol w:w="6476"/>
      </w:tblGrid>
      <w:tr w:rsidTr="00BC0DC1">
        <w:tblPrEx>
          <w:tblW w:w="0" w:type="auto"/>
          <w:tblLayout w:type="fixed"/>
          <w:tblCellMar>
            <w:left w:w="62" w:type="dxa"/>
            <w:right w:w="62" w:type="dxa"/>
          </w:tblCellMar>
          <w:tblLook w:val="0000"/>
        </w:tblPrEx>
        <w:tc>
          <w:tcPr>
            <w:tcW w:w="9153" w:type="dxa"/>
            <w:gridSpan w:val="2"/>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t>The range statement relates to the unit of competency as a whole. It allows for different work environments and situations that may affect performa</w:t>
            </w:r>
            <w:r w:rsidRPr="00BC0DC1">
              <w:t xml:space="preserve">nce. </w:t>
            </w:r>
            <w:r w:rsidRPr="00BC0DC1">
              <w:rPr>
                <w:rStyle w:val="BoldandItalics"/>
              </w:rPr>
              <w:t>Bold italicised</w:t>
            </w:r>
            <w:r w:rsidRPr="00BC0DC1">
              <w:t xml:space="preserve"> wording in the performance criteria is detailed below. Add any essential operating conditions that may be present with training and assessment depending on the work situation, needs of the candidate, accessibility of the item, and loca</w:t>
            </w:r>
            <w:r w:rsidRPr="00BC0DC1">
              <w:t>l industry and regional contexts.</w:t>
            </w:r>
          </w:p>
        </w:tc>
      </w:tr>
      <w:tr w:rsidTr="00BC0DC1">
        <w:tblPrEx>
          <w:tblW w:w="0" w:type="auto"/>
          <w:tblLayout w:type="fixed"/>
          <w:tblCellMar>
            <w:left w:w="62" w:type="dxa"/>
            <w:right w:w="62" w:type="dxa"/>
          </w:tblCellMar>
          <w:tblLook w:val="0000"/>
        </w:tblPrEx>
        <w:tc>
          <w:tcPr>
            <w:tcW w:w="2677" w:type="dxa"/>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rPr>
                <w:rStyle w:val="BoldandItalics"/>
              </w:rPr>
              <w:t xml:space="preserve">Data </w:t>
            </w:r>
            <w:r w:rsidRPr="00BC0DC1">
              <w:t>may include:</w:t>
            </w:r>
          </w:p>
        </w:tc>
        <w:tc>
          <w:tcPr>
            <w:tcW w:w="6476" w:type="dxa"/>
            <w:tcBorders>
              <w:top w:val="nil"/>
              <w:left w:val="nil"/>
              <w:bottom w:val="nil"/>
              <w:right w:val="nil"/>
            </w:tcBorders>
            <w:tcMar>
              <w:top w:w="0" w:type="dxa"/>
              <w:left w:w="62" w:type="dxa"/>
              <w:bottom w:w="0" w:type="dxa"/>
              <w:right w:w="62" w:type="dxa"/>
            </w:tcMar>
          </w:tcPr>
          <w:p w:rsidR="00000000" w:rsidRPr="00BC0DC1" w:rsidP="00BC0DC1">
            <w:pPr>
              <w:pStyle w:val="ListBullet"/>
            </w:pPr>
            <w:r w:rsidRPr="00BC0DC1">
              <w:t>computer records</w:t>
            </w:r>
          </w:p>
          <w:p w:rsidR="00000000" w:rsidRPr="00BC0DC1" w:rsidP="00BC0DC1">
            <w:pPr>
              <w:pStyle w:val="ListBullet"/>
            </w:pPr>
            <w:r w:rsidRPr="00BC0DC1">
              <w:t>graphical</w:t>
            </w:r>
          </w:p>
          <w:p w:rsidR="00000000" w:rsidRPr="00BC0DC1" w:rsidP="00BC0DC1">
            <w:pPr>
              <w:pStyle w:val="ListBullet"/>
            </w:pPr>
            <w:r w:rsidRPr="00BC0DC1">
              <w:t>user application programs, such as:</w:t>
            </w:r>
          </w:p>
          <w:p w:rsidR="00000000" w:rsidRPr="00BC0DC1" w:rsidP="00BC0DC1">
            <w:pPr>
              <w:pStyle w:val="ListBullet2"/>
            </w:pPr>
            <w:r w:rsidRPr="00BC0DC1">
              <w:t>accounting packages</w:t>
            </w:r>
          </w:p>
          <w:p w:rsidR="00000000" w:rsidRPr="00BC0DC1" w:rsidP="00BC0DC1">
            <w:pPr>
              <w:pStyle w:val="ListBullet2"/>
            </w:pPr>
            <w:r w:rsidRPr="00BC0DC1">
              <w:t>databases</w:t>
            </w:r>
          </w:p>
          <w:p w:rsidR="00000000" w:rsidRPr="00BC0DC1" w:rsidP="00BC0DC1">
            <w:pPr>
              <w:pStyle w:val="ListBullet2"/>
            </w:pPr>
            <w:r w:rsidRPr="00BC0DC1">
              <w:t>spreadsheets</w:t>
            </w:r>
          </w:p>
          <w:p w:rsidR="00000000" w:rsidRPr="00BC0DC1" w:rsidP="00BC0DC1">
            <w:pPr>
              <w:pStyle w:val="ListBullet"/>
            </w:pPr>
            <w:r w:rsidRPr="00BC0DC1">
              <w:t>hard copy documents, such as:</w:t>
            </w:r>
          </w:p>
          <w:p w:rsidR="00000000" w:rsidRPr="00BC0DC1" w:rsidP="00BC0DC1">
            <w:pPr>
              <w:pStyle w:val="ListBullet2"/>
            </w:pPr>
            <w:r w:rsidRPr="00BC0DC1">
              <w:t>books</w:t>
            </w:r>
          </w:p>
          <w:p w:rsidR="00000000" w:rsidRPr="00BC0DC1" w:rsidP="00BC0DC1">
            <w:pPr>
              <w:pStyle w:val="ListBullet2"/>
            </w:pPr>
            <w:r w:rsidRPr="00BC0DC1">
              <w:t>maps</w:t>
            </w:r>
          </w:p>
          <w:p w:rsidR="00000000" w:rsidRPr="00BC0DC1" w:rsidP="00BC0DC1">
            <w:pPr>
              <w:pStyle w:val="ListBullet2"/>
            </w:pPr>
            <w:r w:rsidRPr="00BC0DC1">
              <w:t>plans</w:t>
            </w:r>
          </w:p>
          <w:p w:rsidR="00000000" w:rsidRPr="00BC0DC1" w:rsidP="00BC0DC1">
            <w:pPr>
              <w:pStyle w:val="ListBullet2"/>
            </w:pPr>
            <w:r w:rsidRPr="00BC0DC1">
              <w:t xml:space="preserve">work registers </w:t>
            </w:r>
          </w:p>
          <w:p w:rsidR="00000000" w:rsidRPr="00BC0DC1" w:rsidP="00BC0DC1">
            <w:pPr>
              <w:pStyle w:val="ListBullet"/>
            </w:pPr>
            <w:r w:rsidRPr="00BC0DC1">
              <w:t>information, such as:</w:t>
            </w:r>
          </w:p>
          <w:p w:rsidR="00000000" w:rsidRPr="00BC0DC1" w:rsidP="00BC0DC1">
            <w:pPr>
              <w:pStyle w:val="ListBullet2"/>
            </w:pPr>
            <w:r w:rsidRPr="00BC0DC1">
              <w:t>census data</w:t>
            </w:r>
          </w:p>
          <w:p w:rsidR="00000000" w:rsidRPr="00BC0DC1" w:rsidP="00BC0DC1">
            <w:pPr>
              <w:pStyle w:val="ListBullet2"/>
            </w:pPr>
            <w:r w:rsidRPr="00BC0DC1">
              <w:t>community facilities</w:t>
            </w:r>
          </w:p>
          <w:p w:rsidR="00000000" w:rsidRPr="00BC0DC1" w:rsidP="00BC0DC1">
            <w:pPr>
              <w:pStyle w:val="ListBullet2"/>
            </w:pPr>
            <w:r w:rsidRPr="00BC0DC1">
              <w:t>demographic data</w:t>
            </w:r>
          </w:p>
          <w:p w:rsidR="00000000" w:rsidRPr="00BC0DC1" w:rsidP="00BC0DC1">
            <w:pPr>
              <w:pStyle w:val="ListBullet2"/>
            </w:pPr>
            <w:r w:rsidRPr="00BC0DC1">
              <w:t>local government facilities</w:t>
            </w:r>
          </w:p>
          <w:p w:rsidR="00000000" w:rsidRPr="00BC0DC1" w:rsidP="00BC0DC1">
            <w:pPr>
              <w:pStyle w:val="ListBullet2"/>
            </w:pPr>
            <w:r w:rsidRPr="00BC0DC1">
              <w:t>organisational locations</w:t>
            </w:r>
          </w:p>
          <w:p w:rsidR="00000000" w:rsidRPr="00BC0DC1" w:rsidP="00BC0DC1">
            <w:pPr>
              <w:pStyle w:val="ListBullet2"/>
            </w:pPr>
            <w:r w:rsidRPr="00BC0DC1">
              <w:t>property classifications</w:t>
            </w:r>
          </w:p>
          <w:p w:rsidR="00000000" w:rsidRPr="00BC0DC1" w:rsidP="00BC0DC1">
            <w:pPr>
              <w:pStyle w:val="ListBullet2"/>
            </w:pPr>
            <w:r w:rsidRPr="00BC0DC1">
              <w:t>property boundaries</w:t>
            </w:r>
          </w:p>
          <w:p w:rsidR="00000000" w:rsidRPr="00BC0DC1" w:rsidP="00BC0DC1">
            <w:pPr>
              <w:pStyle w:val="ListBullet2"/>
            </w:pPr>
            <w:r w:rsidRPr="00BC0DC1">
              <w:t>property ownership</w:t>
            </w:r>
          </w:p>
          <w:p w:rsidR="00000000" w:rsidRPr="00BC0DC1" w:rsidP="00BC0DC1">
            <w:pPr>
              <w:pStyle w:val="ListBullet2"/>
            </w:pPr>
            <w:r w:rsidRPr="00BC0DC1">
              <w:t>transport routes</w:t>
            </w:r>
          </w:p>
          <w:p w:rsidR="00000000" w:rsidRPr="00BC0DC1" w:rsidP="00BC0DC1">
            <w:pPr>
              <w:pStyle w:val="ListBullet2"/>
            </w:pPr>
            <w:r w:rsidRPr="00BC0DC1">
              <w:t>utilities</w:t>
            </w:r>
          </w:p>
          <w:p w:rsidR="00000000" w:rsidRPr="00BC0DC1" w:rsidP="00BC0DC1">
            <w:pPr>
              <w:pStyle w:val="ListBullet2"/>
            </w:pPr>
            <w:r w:rsidRPr="00BC0DC1">
              <w:t>zonings</w:t>
            </w:r>
          </w:p>
          <w:p w:rsidR="00000000" w:rsidRPr="00BC0DC1" w:rsidP="00BC0DC1">
            <w:pPr>
              <w:pStyle w:val="ListBullet"/>
            </w:pPr>
            <w:r w:rsidRPr="00BC0DC1">
              <w:t xml:space="preserve">spatial </w:t>
            </w:r>
          </w:p>
          <w:p w:rsidR="00000000" w:rsidP="00BC0DC1">
            <w:pPr>
              <w:pStyle w:val="ListBullet"/>
              <w:rPr>
                <w:lang w:val="en-NZ"/>
              </w:rPr>
            </w:pPr>
            <w:r w:rsidRPr="00BC0DC1">
              <w:t>textual.</w:t>
            </w:r>
          </w:p>
        </w:tc>
      </w:tr>
      <w:tr w:rsidTr="00BC0DC1">
        <w:tblPrEx>
          <w:tblW w:w="0" w:type="auto"/>
          <w:tblLayout w:type="fixed"/>
          <w:tblCellMar>
            <w:left w:w="62" w:type="dxa"/>
            <w:right w:w="62" w:type="dxa"/>
          </w:tblCellMar>
          <w:tblLook w:val="0000"/>
        </w:tblPrEx>
        <w:tc>
          <w:tcPr>
            <w:tcW w:w="2677" w:type="dxa"/>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rPr>
                <w:rStyle w:val="BoldandItalics"/>
              </w:rPr>
              <w:t xml:space="preserve">End users </w:t>
            </w:r>
            <w:r w:rsidRPr="00BC0DC1">
              <w:t>may include:</w:t>
            </w:r>
          </w:p>
        </w:tc>
        <w:tc>
          <w:tcPr>
            <w:tcW w:w="6476" w:type="dxa"/>
            <w:tcBorders>
              <w:top w:val="nil"/>
              <w:left w:val="nil"/>
              <w:bottom w:val="nil"/>
              <w:right w:val="nil"/>
            </w:tcBorders>
            <w:tcMar>
              <w:top w:w="0" w:type="dxa"/>
              <w:left w:w="62" w:type="dxa"/>
              <w:bottom w:w="0" w:type="dxa"/>
              <w:right w:w="62" w:type="dxa"/>
            </w:tcMar>
          </w:tcPr>
          <w:p w:rsidR="00000000" w:rsidRPr="00BC0DC1" w:rsidP="00BC0DC1">
            <w:pPr>
              <w:pStyle w:val="ListBullet"/>
            </w:pPr>
            <w:r w:rsidRPr="00BC0DC1">
              <w:t xml:space="preserve">elected members </w:t>
            </w:r>
          </w:p>
          <w:p w:rsidR="00000000" w:rsidRPr="00BC0DC1" w:rsidP="00BC0DC1">
            <w:pPr>
              <w:pStyle w:val="ListBullet"/>
            </w:pPr>
            <w:r w:rsidRPr="00BC0DC1">
              <w:t>general public</w:t>
            </w:r>
          </w:p>
          <w:p w:rsidR="00000000" w:rsidRPr="00BC0DC1" w:rsidP="00BC0DC1">
            <w:pPr>
              <w:pStyle w:val="ListBullet"/>
            </w:pPr>
            <w:r w:rsidRPr="00BC0DC1">
              <w:t>land information authorities</w:t>
            </w:r>
          </w:p>
          <w:p w:rsidR="00000000" w:rsidRPr="00BC0DC1" w:rsidP="00BC0DC1">
            <w:pPr>
              <w:pStyle w:val="ListBullet"/>
            </w:pPr>
            <w:r w:rsidRPr="00BC0DC1">
              <w:t>local government</w:t>
            </w:r>
          </w:p>
          <w:p w:rsidR="00000000" w:rsidRPr="00BC0DC1" w:rsidP="00BC0DC1">
            <w:pPr>
              <w:pStyle w:val="ListBullet"/>
            </w:pPr>
            <w:r w:rsidRPr="00BC0DC1">
              <w:t>real estate agents</w:t>
            </w:r>
          </w:p>
          <w:p w:rsidR="00000000" w:rsidRPr="00BC0DC1" w:rsidP="00BC0DC1">
            <w:pPr>
              <w:pStyle w:val="ListBullet"/>
            </w:pPr>
            <w:r w:rsidRPr="00BC0DC1">
              <w:t>residents</w:t>
            </w:r>
          </w:p>
          <w:p w:rsidR="00000000" w:rsidRPr="00BC0DC1" w:rsidP="00BC0DC1">
            <w:pPr>
              <w:pStyle w:val="ListBullet"/>
            </w:pPr>
            <w:r w:rsidRPr="00BC0DC1">
              <w:t xml:space="preserve">state and federal government departments </w:t>
            </w:r>
          </w:p>
          <w:p w:rsidR="00000000" w:rsidRPr="00BC0DC1" w:rsidP="00BC0DC1">
            <w:pPr>
              <w:pStyle w:val="ListBullet"/>
            </w:pPr>
            <w:r w:rsidRPr="00BC0DC1">
              <w:t>statutory bodies, including land titles office</w:t>
            </w:r>
          </w:p>
          <w:p w:rsidR="00000000" w:rsidRPr="00BC0DC1" w:rsidP="00BC0DC1">
            <w:pPr>
              <w:pStyle w:val="ListBullet"/>
            </w:pPr>
            <w:r w:rsidRPr="00BC0DC1">
              <w:t>transport companies</w:t>
            </w:r>
          </w:p>
          <w:p w:rsidR="00000000" w:rsidP="00BC0DC1">
            <w:pPr>
              <w:pStyle w:val="ListBullet"/>
              <w:rPr>
                <w:lang w:val="en-NZ"/>
              </w:rPr>
            </w:pPr>
            <w:r w:rsidRPr="00BC0DC1">
              <w:t>utilities.</w:t>
            </w:r>
          </w:p>
        </w:tc>
      </w:tr>
      <w:tr w:rsidTr="00BC0DC1">
        <w:tblPrEx>
          <w:tblW w:w="0" w:type="auto"/>
          <w:tblLayout w:type="fixed"/>
          <w:tblCellMar>
            <w:left w:w="62" w:type="dxa"/>
            <w:right w:w="62" w:type="dxa"/>
          </w:tblCellMar>
          <w:tblLook w:val="0000"/>
        </w:tblPrEx>
        <w:tc>
          <w:tcPr>
            <w:tcW w:w="2677" w:type="dxa"/>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rPr>
                <w:rStyle w:val="BoldandItalics"/>
              </w:rPr>
              <w:t xml:space="preserve">Industry standards </w:t>
            </w:r>
            <w:r w:rsidRPr="00BC0DC1">
              <w:t>may inclu</w:t>
            </w:r>
            <w:r w:rsidRPr="00BC0DC1">
              <w:t>de:</w:t>
            </w:r>
          </w:p>
        </w:tc>
        <w:tc>
          <w:tcPr>
            <w:tcW w:w="6476" w:type="dxa"/>
            <w:tcBorders>
              <w:top w:val="nil"/>
              <w:left w:val="nil"/>
              <w:bottom w:val="nil"/>
              <w:right w:val="nil"/>
            </w:tcBorders>
            <w:tcMar>
              <w:top w:w="0" w:type="dxa"/>
              <w:left w:w="62" w:type="dxa"/>
              <w:bottom w:w="0" w:type="dxa"/>
              <w:right w:w="62" w:type="dxa"/>
            </w:tcMar>
          </w:tcPr>
          <w:p w:rsidR="00000000" w:rsidRPr="00BC0DC1" w:rsidP="00BC0DC1">
            <w:pPr>
              <w:pStyle w:val="ListBullet"/>
            </w:pPr>
            <w:r w:rsidRPr="00BC0DC1">
              <w:t>confidentiality</w:t>
            </w:r>
          </w:p>
          <w:p w:rsidR="00000000" w:rsidRPr="00BC0DC1" w:rsidP="00BC0DC1">
            <w:pPr>
              <w:pStyle w:val="ListBullet"/>
            </w:pPr>
            <w:r w:rsidRPr="00BC0DC1">
              <w:t>informal practices not detailed in manuals or standard operating procedures</w:t>
            </w:r>
          </w:p>
          <w:p w:rsidR="00000000" w:rsidRPr="00BC0DC1" w:rsidP="00BC0DC1">
            <w:pPr>
              <w:pStyle w:val="ListBullet"/>
            </w:pPr>
            <w:r w:rsidRPr="00BC0DC1">
              <w:t>privacy</w:t>
            </w:r>
          </w:p>
          <w:p w:rsidR="00000000" w:rsidP="00BC0DC1">
            <w:pPr>
              <w:pStyle w:val="ListBullet"/>
              <w:rPr>
                <w:lang w:val="en-NZ"/>
              </w:rPr>
            </w:pPr>
            <w:r w:rsidRPr="00BC0DC1">
              <w:t>protocols.</w:t>
            </w:r>
          </w:p>
        </w:tc>
      </w:tr>
      <w:tr w:rsidTr="00BC0DC1">
        <w:tblPrEx>
          <w:tblW w:w="0" w:type="auto"/>
          <w:tblLayout w:type="fixed"/>
          <w:tblCellMar>
            <w:left w:w="62" w:type="dxa"/>
            <w:right w:w="62" w:type="dxa"/>
          </w:tblCellMar>
          <w:tblLook w:val="0000"/>
        </w:tblPrEx>
        <w:tc>
          <w:tcPr>
            <w:tcW w:w="2677" w:type="dxa"/>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rPr>
                <w:rStyle w:val="BoldandItalics"/>
              </w:rPr>
              <w:t xml:space="preserve">Data standards </w:t>
            </w:r>
            <w:r w:rsidRPr="00BC0DC1">
              <w:t>may include:</w:t>
            </w:r>
          </w:p>
        </w:tc>
        <w:tc>
          <w:tcPr>
            <w:tcW w:w="6476" w:type="dxa"/>
            <w:tcBorders>
              <w:top w:val="nil"/>
              <w:left w:val="nil"/>
              <w:bottom w:val="nil"/>
              <w:right w:val="nil"/>
            </w:tcBorders>
            <w:tcMar>
              <w:top w:w="0" w:type="dxa"/>
              <w:left w:w="62" w:type="dxa"/>
              <w:bottom w:w="0" w:type="dxa"/>
              <w:right w:w="62" w:type="dxa"/>
            </w:tcMar>
          </w:tcPr>
          <w:p w:rsidR="00000000" w:rsidRPr="00BC0DC1" w:rsidP="00BC0DC1">
            <w:pPr>
              <w:pStyle w:val="ListBullet"/>
            </w:pPr>
            <w:r w:rsidRPr="00BC0DC1">
              <w:t xml:space="preserve">standards determined by the end user relating to: </w:t>
            </w:r>
          </w:p>
          <w:p w:rsidR="00000000" w:rsidRPr="00BC0DC1" w:rsidP="00BC0DC1">
            <w:pPr>
              <w:pStyle w:val="ListBullet2"/>
            </w:pPr>
            <w:r w:rsidRPr="00BC0DC1">
              <w:t>acquisition</w:t>
            </w:r>
          </w:p>
          <w:p w:rsidR="00000000" w:rsidRPr="00BC0DC1" w:rsidP="00BC0DC1">
            <w:pPr>
              <w:pStyle w:val="ListBullet2"/>
            </w:pPr>
            <w:r w:rsidRPr="00BC0DC1">
              <w:t>quality</w:t>
            </w:r>
          </w:p>
          <w:p w:rsidR="00000000" w:rsidP="00BC0DC1">
            <w:pPr>
              <w:pStyle w:val="ListBullet2"/>
              <w:rPr>
                <w:lang w:val="en-NZ"/>
              </w:rPr>
            </w:pPr>
            <w:r w:rsidRPr="00BC0DC1">
              <w:t>storage.</w:t>
            </w:r>
          </w:p>
        </w:tc>
      </w:tr>
      <w:tr w:rsidTr="00BC0DC1">
        <w:tblPrEx>
          <w:tblW w:w="0" w:type="auto"/>
          <w:tblLayout w:type="fixed"/>
          <w:tblCellMar>
            <w:left w:w="62" w:type="dxa"/>
            <w:right w:w="62" w:type="dxa"/>
          </w:tblCellMar>
          <w:tblLook w:val="0000"/>
        </w:tblPrEx>
        <w:tc>
          <w:tcPr>
            <w:tcW w:w="2677" w:type="dxa"/>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rPr>
                <w:rStyle w:val="BoldandItalics"/>
              </w:rPr>
              <w:t xml:space="preserve">Internal and external sources and networks </w:t>
            </w:r>
            <w:r w:rsidRPr="00BC0DC1">
              <w:t>may include:</w:t>
            </w:r>
          </w:p>
        </w:tc>
        <w:tc>
          <w:tcPr>
            <w:tcW w:w="6476" w:type="dxa"/>
            <w:tcBorders>
              <w:top w:val="nil"/>
              <w:left w:val="nil"/>
              <w:bottom w:val="nil"/>
              <w:right w:val="nil"/>
            </w:tcBorders>
            <w:tcMar>
              <w:top w:w="0" w:type="dxa"/>
              <w:left w:w="62" w:type="dxa"/>
              <w:bottom w:w="0" w:type="dxa"/>
              <w:right w:w="62" w:type="dxa"/>
            </w:tcMar>
          </w:tcPr>
          <w:p w:rsidR="00000000" w:rsidRPr="00BC0DC1" w:rsidP="00BC0DC1">
            <w:pPr>
              <w:pStyle w:val="ListBullet"/>
            </w:pPr>
            <w:r w:rsidRPr="00BC0DC1">
              <w:t>internal:</w:t>
            </w:r>
          </w:p>
          <w:p w:rsidR="00000000" w:rsidRPr="00BC0DC1" w:rsidP="00BC0DC1">
            <w:pPr>
              <w:pStyle w:val="ListBullet2"/>
            </w:pPr>
            <w:r w:rsidRPr="00BC0DC1">
              <w:t>aerial photographs</w:t>
            </w:r>
          </w:p>
          <w:p w:rsidR="00000000" w:rsidRPr="00BC0DC1" w:rsidP="00BC0DC1">
            <w:pPr>
              <w:pStyle w:val="ListBullet2"/>
            </w:pPr>
            <w:r w:rsidRPr="00BC0DC1">
              <w:t>deed books</w:t>
            </w:r>
          </w:p>
          <w:p w:rsidR="00000000" w:rsidRPr="00BC0DC1" w:rsidP="00BC0DC1">
            <w:pPr>
              <w:pStyle w:val="ListBullet2"/>
            </w:pPr>
            <w:r w:rsidRPr="00BC0DC1">
              <w:t>plans</w:t>
            </w:r>
          </w:p>
          <w:p w:rsidR="00000000" w:rsidRPr="00BC0DC1" w:rsidP="00BC0DC1">
            <w:pPr>
              <w:pStyle w:val="ListBullet2"/>
            </w:pPr>
            <w:r w:rsidRPr="00BC0DC1">
              <w:t>surveys</w:t>
            </w:r>
          </w:p>
          <w:p w:rsidR="00000000" w:rsidRPr="00BC0DC1" w:rsidP="00BC0DC1">
            <w:pPr>
              <w:pStyle w:val="ListBullet2"/>
            </w:pPr>
            <w:r w:rsidRPr="00BC0DC1">
              <w:t>transaction books</w:t>
            </w:r>
          </w:p>
          <w:p w:rsidR="00000000" w:rsidRPr="00BC0DC1" w:rsidP="00BC0DC1">
            <w:pPr>
              <w:pStyle w:val="ListBullet"/>
            </w:pPr>
            <w:r w:rsidRPr="00BC0DC1">
              <w:t>external:</w:t>
            </w:r>
          </w:p>
          <w:p w:rsidR="00000000" w:rsidRPr="00BC0DC1" w:rsidP="00BC0DC1">
            <w:pPr>
              <w:pStyle w:val="ListBullet2"/>
            </w:pPr>
            <w:r w:rsidRPr="00BC0DC1">
              <w:t>GIS sites</w:t>
            </w:r>
          </w:p>
          <w:p w:rsidR="00000000" w:rsidRPr="00BC0DC1" w:rsidP="00BC0DC1">
            <w:pPr>
              <w:pStyle w:val="ListBullet2"/>
            </w:pPr>
            <w:r w:rsidRPr="00BC0DC1">
              <w:t>GIS vendors</w:t>
            </w:r>
          </w:p>
          <w:p w:rsidR="00000000" w:rsidRPr="00BC0DC1" w:rsidP="00BC0DC1">
            <w:pPr>
              <w:pStyle w:val="ListBullet2"/>
            </w:pPr>
            <w:r w:rsidRPr="00BC0DC1">
              <w:t>government departments or authorities</w:t>
            </w:r>
          </w:p>
          <w:p w:rsidR="00000000" w:rsidRPr="00BC0DC1" w:rsidP="00BC0DC1">
            <w:pPr>
              <w:pStyle w:val="ListBullet2"/>
            </w:pPr>
            <w:r w:rsidRPr="00BC0DC1">
              <w:t>land titles office</w:t>
            </w:r>
          </w:p>
          <w:p w:rsidR="00000000" w:rsidRPr="00BC0DC1" w:rsidP="00BC0DC1">
            <w:pPr>
              <w:pStyle w:val="ListBullet2"/>
            </w:pPr>
            <w:r w:rsidRPr="00BC0DC1">
              <w:t>local government</w:t>
            </w:r>
          </w:p>
          <w:p w:rsidR="00000000" w:rsidRPr="00BC0DC1" w:rsidP="00BC0DC1">
            <w:pPr>
              <w:pStyle w:val="ListBullet2"/>
            </w:pPr>
            <w:r w:rsidRPr="00BC0DC1">
              <w:t>orthophotography</w:t>
            </w:r>
          </w:p>
          <w:p w:rsidR="00000000" w:rsidRPr="00BC0DC1" w:rsidP="00BC0DC1">
            <w:pPr>
              <w:pStyle w:val="ListBullet2"/>
            </w:pPr>
            <w:r w:rsidRPr="00BC0DC1">
              <w:t>private industry</w:t>
            </w:r>
          </w:p>
          <w:p w:rsidR="00000000" w:rsidRPr="00BC0DC1" w:rsidP="00BC0DC1">
            <w:pPr>
              <w:pStyle w:val="ListBullet2"/>
            </w:pPr>
            <w:r w:rsidRPr="00BC0DC1">
              <w:t xml:space="preserve">products </w:t>
            </w:r>
          </w:p>
          <w:p w:rsidR="00000000" w:rsidRPr="00BC0DC1" w:rsidP="00BC0DC1">
            <w:pPr>
              <w:pStyle w:val="ListBullet2"/>
            </w:pPr>
            <w:r w:rsidRPr="00BC0DC1">
              <w:t>property agencies</w:t>
            </w:r>
          </w:p>
          <w:p w:rsidR="00000000" w:rsidRPr="00BC0DC1" w:rsidP="00BC0DC1">
            <w:pPr>
              <w:pStyle w:val="ListBullet2"/>
            </w:pPr>
            <w:r w:rsidRPr="00BC0DC1">
              <w:t>street directory companies</w:t>
            </w:r>
          </w:p>
          <w:p w:rsidR="00000000" w:rsidRPr="00BC0DC1" w:rsidP="00BC0DC1">
            <w:pPr>
              <w:pStyle w:val="ListBullet2"/>
            </w:pPr>
            <w:r w:rsidRPr="00BC0DC1">
              <w:t>surveys</w:t>
            </w:r>
          </w:p>
          <w:p w:rsidR="00000000" w:rsidRPr="00BC0DC1" w:rsidP="00BC0DC1">
            <w:pPr>
              <w:pStyle w:val="ListBullet2"/>
            </w:pPr>
            <w:r w:rsidRPr="00BC0DC1">
              <w:t>telecommunications industry</w:t>
            </w:r>
          </w:p>
          <w:p w:rsidR="00000000" w:rsidRPr="00BC0DC1" w:rsidP="00BC0DC1">
            <w:pPr>
              <w:pStyle w:val="ListBullet2"/>
            </w:pPr>
            <w:r w:rsidRPr="00BC0DC1">
              <w:t>water authorities</w:t>
            </w:r>
          </w:p>
          <w:p w:rsidR="00000000" w:rsidRPr="00BC0DC1" w:rsidP="00BC0DC1">
            <w:pPr>
              <w:pStyle w:val="ListBullet2"/>
            </w:pPr>
            <w:r w:rsidRPr="00BC0DC1">
              <w:t>user groups</w:t>
            </w:r>
          </w:p>
          <w:p w:rsidR="00000000" w:rsidRPr="00BC0DC1" w:rsidP="00BC0DC1">
            <w:pPr>
              <w:pStyle w:val="ListBullet2"/>
            </w:pPr>
            <w:r w:rsidRPr="00BC0DC1">
              <w:t>utility organisations</w:t>
            </w:r>
          </w:p>
          <w:p w:rsidR="00000000" w:rsidRPr="00BC0DC1" w:rsidP="00BC0DC1">
            <w:pPr>
              <w:pStyle w:val="ListBullet"/>
            </w:pPr>
            <w:r w:rsidRPr="00BC0DC1">
              <w:t>preparation of cross-sections and plans, with all information included</w:t>
            </w:r>
          </w:p>
          <w:p w:rsidR="00000000" w:rsidRPr="00BC0DC1" w:rsidP="00BC0DC1">
            <w:pPr>
              <w:pStyle w:val="ListBullet"/>
            </w:pPr>
            <w:r w:rsidRPr="00BC0DC1">
              <w:t>professional or technical literature</w:t>
            </w:r>
          </w:p>
          <w:p w:rsidR="00000000" w:rsidP="00BC0DC1">
            <w:pPr>
              <w:pStyle w:val="ListBullet"/>
              <w:rPr>
                <w:lang w:val="en-NZ"/>
              </w:rPr>
            </w:pPr>
            <w:r w:rsidRPr="00BC0DC1">
              <w:t>survey data demographic requirements.</w:t>
            </w:r>
          </w:p>
        </w:tc>
      </w:tr>
      <w:tr w:rsidTr="00BC0DC1">
        <w:tblPrEx>
          <w:tblW w:w="0" w:type="auto"/>
          <w:tblLayout w:type="fixed"/>
          <w:tblCellMar>
            <w:left w:w="62" w:type="dxa"/>
            <w:right w:w="62" w:type="dxa"/>
          </w:tblCellMar>
          <w:tblLook w:val="0000"/>
        </w:tblPrEx>
        <w:tc>
          <w:tcPr>
            <w:tcW w:w="2677" w:type="dxa"/>
            <w:tcBorders>
              <w:top w:val="nil"/>
              <w:left w:val="nil"/>
              <w:bottom w:val="nil"/>
              <w:right w:val="nil"/>
            </w:tcBorders>
            <w:tcMar>
              <w:top w:w="0" w:type="dxa"/>
              <w:left w:w="62" w:type="dxa"/>
              <w:bottom w:w="0" w:type="dxa"/>
              <w:right w:w="62" w:type="dxa"/>
            </w:tcMar>
          </w:tcPr>
          <w:p w:rsidR="00000000" w:rsidP="00BC0DC1">
            <w:pPr>
              <w:pStyle w:val="BodyText"/>
              <w:rPr>
                <w:lang w:val="en-NZ"/>
              </w:rPr>
            </w:pPr>
            <w:r w:rsidRPr="00BC0DC1">
              <w:rPr>
                <w:rStyle w:val="BoldandItalics"/>
              </w:rPr>
              <w:t xml:space="preserve">Data input technologies </w:t>
            </w:r>
            <w:r w:rsidRPr="00BC0DC1">
              <w:t>may include:</w:t>
            </w:r>
          </w:p>
        </w:tc>
        <w:tc>
          <w:tcPr>
            <w:tcW w:w="6476" w:type="dxa"/>
            <w:tcBorders>
              <w:top w:val="nil"/>
              <w:left w:val="nil"/>
              <w:bottom w:val="nil"/>
              <w:right w:val="nil"/>
            </w:tcBorders>
            <w:tcMar>
              <w:top w:w="0" w:type="dxa"/>
              <w:left w:w="62" w:type="dxa"/>
              <w:bottom w:w="0" w:type="dxa"/>
              <w:right w:w="62" w:type="dxa"/>
            </w:tcMar>
          </w:tcPr>
          <w:p w:rsidR="00000000" w:rsidRPr="00BC0DC1" w:rsidP="00BC0DC1">
            <w:pPr>
              <w:pStyle w:val="ListBullet"/>
            </w:pPr>
            <w:r w:rsidRPr="00BC0DC1">
              <w:t>hard copy material</w:t>
            </w:r>
          </w:p>
          <w:p w:rsidR="00000000" w:rsidRPr="00BC0DC1" w:rsidP="00BC0DC1">
            <w:pPr>
              <w:pStyle w:val="ListBullet"/>
            </w:pPr>
            <w:r w:rsidRPr="00BC0DC1">
              <w:t>remote sensing, including:</w:t>
            </w:r>
          </w:p>
          <w:p w:rsidR="00000000" w:rsidRPr="00BC0DC1" w:rsidP="00BC0DC1">
            <w:pPr>
              <w:pStyle w:val="ListBullet2"/>
            </w:pPr>
            <w:r w:rsidRPr="00BC0DC1">
              <w:t>aerial photography</w:t>
            </w:r>
          </w:p>
          <w:p w:rsidR="00000000" w:rsidRPr="00BC0DC1" w:rsidP="00BC0DC1">
            <w:pPr>
              <w:pStyle w:val="ListBullet2"/>
            </w:pPr>
            <w:r w:rsidRPr="00BC0DC1">
              <w:t>coordinate geometry</w:t>
            </w:r>
          </w:p>
          <w:p w:rsidR="00000000" w:rsidRPr="00BC0DC1" w:rsidP="00BC0DC1">
            <w:pPr>
              <w:pStyle w:val="ListBullet2"/>
            </w:pPr>
            <w:r w:rsidRPr="00BC0DC1">
              <w:t xml:space="preserve">digitising </w:t>
            </w:r>
          </w:p>
          <w:p w:rsidR="00000000" w:rsidRPr="00BC0DC1" w:rsidP="00BC0DC1">
            <w:pPr>
              <w:pStyle w:val="ListBullet2"/>
            </w:pPr>
            <w:r w:rsidRPr="00BC0DC1">
              <w:t>scanning</w:t>
            </w:r>
          </w:p>
          <w:p w:rsidR="00000000" w:rsidRPr="00BC0DC1" w:rsidP="00BC0DC1">
            <w:pPr>
              <w:pStyle w:val="ListBullet"/>
            </w:pPr>
            <w:r w:rsidRPr="00BC0DC1">
              <w:t>surveys.</w:t>
            </w:r>
          </w:p>
        </w:tc>
      </w:tr>
    </w:tbl>
    <w:p w:rsidR="007D4BFB" w:rsidP="00BC0DC1">
      <w:pPr>
        <w:pStyle w:val="BodyText"/>
      </w:pPr>
    </w:p>
    <w:p w:rsidR="007D4BFB" w:rsidP="00BC0DC1">
      <w:pPr>
        <w:pStyle w:val="BodyText"/>
      </w:pPr>
    </w:p>
    <w:p w:rsidR="00000000" w:rsidRPr="00BC0DC1" w:rsidP="00BC0DC1">
      <w:pPr>
        <w:pStyle w:val="Heading1"/>
      </w:pPr>
      <w:bookmarkStart w:id="12" w:name="O_510234"/>
      <w:bookmarkEnd w:id="12"/>
      <w:r w:rsidRPr="00BC0DC1">
        <w:t>Unit Sector(s)</w:t>
      </w:r>
    </w:p>
    <w:p w:rsidR="00000000" w:rsidRPr="00BC0DC1" w:rsidP="00BC0DC1">
      <w:pPr>
        <w:pStyle w:val="BodyText"/>
      </w:pPr>
      <w:r w:rsidRPr="00BC0DC1">
        <w:t>Surveying and spatial information services</w:t>
      </w:r>
    </w:p>
    <w:p w:rsidR="00000000" w:rsidRPr="00BC0DC1" w:rsidP="00BC0DC1">
      <w:pPr>
        <w:pStyle w:val="AllowPageBreak"/>
      </w:pPr>
    </w:p>
    <w:p w:rsidR="00000000" w:rsidRPr="00BC0DC1" w:rsidP="00BC0DC1">
      <w:pPr>
        <w:pStyle w:val="Heading1"/>
      </w:pPr>
      <w:bookmarkStart w:id="13" w:name="O_510223"/>
      <w:bookmarkEnd w:id="13"/>
      <w:r w:rsidRPr="00BC0DC1">
        <w:t>Custom Content Section</w:t>
      </w:r>
    </w:p>
    <w:p w:rsidR="00000000" w:rsidRPr="00BC0DC1" w:rsidP="00BC0DC1">
      <w:pPr>
        <w:pStyle w:val="BodyText"/>
      </w:pPr>
      <w:r w:rsidRPr="00BC0DC1">
        <w:t>Not applicable.</w:t>
      </w:r>
    </w:p>
    <w:p w:rsidR="00000000" w:rsidRPr="00BC0DC1" w:rsidP="00BC0DC1"/>
    <w:sectPr w:rsidSect="00BC0D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D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DC1" w:rsidRPr="007D4BFB" w:rsidP="007D4B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D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BFB" w:rsidP="00BC0D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D4BFB" w:rsidP="00BC0D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D4BFB" w:rsidP="00BC0D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D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DC1" w:rsidRPr="007D4BFB" w:rsidP="007D4BF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D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BFB" w:rsidRPr="002D2AF8" w:rsidP="00BC0DC1">
    <w:pPr>
      <w:pStyle w:val="Header"/>
      <w:framePr w:wrap="around"/>
    </w:pPr>
    <w:r>
      <w:fldChar w:fldCharType="begin"/>
    </w:r>
    <w:r>
      <w:instrText xml:space="preserve"> TITLE   \* MERGEFORMAT </w:instrText>
    </w:r>
    <w:r>
      <w:fldChar w:fldCharType="separate"/>
    </w:r>
    <w:r>
      <w:t>CPPSIS6044A Manage GIS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7D4BFB" w:rsidP="00BC0D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A0BE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56C2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3897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0D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0DC1"/>
    <w:pPr>
      <w:spacing w:before="360" w:after="60"/>
      <w:outlineLvl w:val="0"/>
    </w:pPr>
    <w:rPr>
      <w:sz w:val="32"/>
    </w:rPr>
  </w:style>
  <w:style w:type="paragraph" w:styleId="Heading2">
    <w:name w:val="heading 2"/>
    <w:basedOn w:val="HeadingBase"/>
    <w:next w:val="BodyText"/>
    <w:link w:val="Heading2Char"/>
    <w:qFormat/>
    <w:rsid w:val="00BC0DC1"/>
    <w:pPr>
      <w:keepLines/>
      <w:spacing w:before="240" w:after="120"/>
      <w:outlineLvl w:val="1"/>
    </w:pPr>
    <w:rPr>
      <w:sz w:val="28"/>
      <w:szCs w:val="40"/>
    </w:rPr>
  </w:style>
  <w:style w:type="paragraph" w:styleId="Heading3">
    <w:name w:val="heading 3"/>
    <w:basedOn w:val="HeadingBase"/>
    <w:next w:val="BodyText"/>
    <w:link w:val="Heading3Char"/>
    <w:qFormat/>
    <w:rsid w:val="00BC0DC1"/>
    <w:pPr>
      <w:spacing w:before="180" w:after="120"/>
      <w:outlineLvl w:val="2"/>
    </w:pPr>
    <w:rPr>
      <w:spacing w:val="-10"/>
      <w:kern w:val="32"/>
    </w:rPr>
  </w:style>
  <w:style w:type="paragraph" w:styleId="Heading4">
    <w:name w:val="heading 4"/>
    <w:basedOn w:val="HeadingBase"/>
    <w:next w:val="BodyText"/>
    <w:link w:val="Heading4Char"/>
    <w:qFormat/>
    <w:rsid w:val="00BC0DC1"/>
    <w:pPr>
      <w:spacing w:before="160" w:after="120"/>
      <w:outlineLvl w:val="3"/>
    </w:pPr>
    <w:rPr>
      <w:sz w:val="22"/>
    </w:rPr>
  </w:style>
  <w:style w:type="paragraph" w:styleId="Heading5">
    <w:name w:val="heading 5"/>
    <w:basedOn w:val="HeadingBase"/>
    <w:next w:val="Normal"/>
    <w:link w:val="Heading5Char"/>
    <w:qFormat/>
    <w:rsid w:val="00BC0DC1"/>
    <w:pPr>
      <w:spacing w:before="80"/>
      <w:outlineLvl w:val="4"/>
    </w:pPr>
    <w:rPr>
      <w:color w:val="918585"/>
      <w:sz w:val="20"/>
    </w:rPr>
  </w:style>
  <w:style w:type="paragraph" w:styleId="Heading6">
    <w:name w:val="heading 6"/>
    <w:basedOn w:val="HeadingBase"/>
    <w:next w:val="Normal"/>
    <w:link w:val="Heading6Char"/>
    <w:qFormat/>
    <w:rsid w:val="00BC0DC1"/>
    <w:pPr>
      <w:spacing w:before="60"/>
      <w:outlineLvl w:val="5"/>
    </w:pPr>
    <w:rPr>
      <w:color w:val="918585"/>
      <w:sz w:val="20"/>
    </w:rPr>
  </w:style>
  <w:style w:type="paragraph" w:styleId="Heading7">
    <w:name w:val="heading 7"/>
    <w:basedOn w:val="Normal"/>
    <w:next w:val="Normal"/>
    <w:link w:val="Heading7Char"/>
    <w:qFormat/>
    <w:rsid w:val="00BC0DC1"/>
    <w:pPr>
      <w:ind w:left="720"/>
      <w:outlineLvl w:val="6"/>
    </w:pPr>
    <w:rPr>
      <w:i/>
    </w:rPr>
  </w:style>
  <w:style w:type="paragraph" w:styleId="Heading8">
    <w:name w:val="heading 8"/>
    <w:basedOn w:val="Normal"/>
    <w:next w:val="Normal"/>
    <w:link w:val="Heading8Char"/>
    <w:qFormat/>
    <w:rsid w:val="00BC0DC1"/>
    <w:pPr>
      <w:ind w:left="720"/>
      <w:outlineLvl w:val="7"/>
    </w:pPr>
    <w:rPr>
      <w:i/>
    </w:rPr>
  </w:style>
  <w:style w:type="paragraph" w:styleId="Heading9">
    <w:name w:val="heading 9"/>
    <w:basedOn w:val="Normal"/>
    <w:next w:val="Normal"/>
    <w:link w:val="Heading9Char"/>
    <w:qFormat/>
    <w:rsid w:val="00BC0DC1"/>
    <w:pPr>
      <w:ind w:left="720"/>
      <w:outlineLvl w:val="8"/>
    </w:pPr>
    <w:rPr>
      <w:i/>
    </w:rPr>
  </w:style>
  <w:style w:type="character" w:default="1" w:styleId="DefaultParagraphFont">
    <w:name w:val="Default Paragraph Font"/>
    <w:uiPriority w:val="1"/>
    <w:unhideWhenUsed/>
    <w:rsid w:val="00BC0D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0DC1"/>
  </w:style>
  <w:style w:type="character" w:customStyle="1" w:styleId="Heading1Char">
    <w:name w:val="Heading 1 Char"/>
    <w:basedOn w:val="DefaultParagraphFont"/>
    <w:link w:val="Heading1"/>
    <w:rsid w:val="00BC0DC1"/>
    <w:rPr>
      <w:rFonts w:ascii="Times New Roman" w:eastAsia="Times New Roman" w:hAnsi="Times New Roman" w:cs="Times New Roman"/>
      <w:b/>
      <w:sz w:val="32"/>
      <w:szCs w:val="20"/>
      <w:lang w:eastAsia="en-US"/>
    </w:rPr>
  </w:style>
  <w:style w:type="paragraph" w:styleId="BodyText">
    <w:name w:val="Body Text"/>
    <w:basedOn w:val="Normal"/>
    <w:link w:val="BodyTextChar"/>
    <w:rsid w:val="00BC0D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0DC1"/>
    <w:rPr>
      <w:rFonts w:ascii="Times New Roman" w:eastAsia="Times New Roman" w:hAnsi="Times New Roman" w:cs="Times New Roman"/>
      <w:sz w:val="24"/>
      <w:lang w:eastAsia="en-US"/>
    </w:rPr>
  </w:style>
  <w:style w:type="paragraph" w:styleId="ListBullet">
    <w:name w:val="List Bullet"/>
    <w:basedOn w:val="List"/>
    <w:rsid w:val="00BC0DC1"/>
    <w:pPr>
      <w:numPr>
        <w:numId w:val="13"/>
      </w:numPr>
      <w:tabs>
        <w:tab w:val="clear" w:pos="340"/>
      </w:tabs>
      <w:spacing w:before="40" w:after="40"/>
    </w:pPr>
  </w:style>
  <w:style w:type="character" w:customStyle="1" w:styleId="SpecialBold">
    <w:name w:val="Special Bold"/>
    <w:basedOn w:val="DefaultParagraphFont"/>
    <w:rsid w:val="00BC0DC1"/>
    <w:rPr>
      <w:b/>
      <w:spacing w:val="0"/>
    </w:rPr>
  </w:style>
  <w:style w:type="paragraph" w:styleId="ListBullet2">
    <w:name w:val="List Bullet 2"/>
    <w:basedOn w:val="List2"/>
    <w:rsid w:val="00BC0DC1"/>
    <w:pPr>
      <w:numPr>
        <w:numId w:val="14"/>
      </w:numPr>
      <w:tabs>
        <w:tab w:val="clear" w:pos="680"/>
      </w:tabs>
    </w:pPr>
  </w:style>
  <w:style w:type="paragraph" w:customStyle="1" w:styleId="SuperHeading">
    <w:name w:val="SuperHeading"/>
    <w:basedOn w:val="Normal"/>
    <w:rsid w:val="00BC0DC1"/>
    <w:pPr>
      <w:spacing w:before="240" w:after="120"/>
      <w:outlineLvl w:val="0"/>
    </w:pPr>
    <w:rPr>
      <w:rFonts w:ascii="Times New Roman" w:hAnsi="Times New Roman"/>
      <w:b/>
      <w:sz w:val="32"/>
    </w:rPr>
  </w:style>
  <w:style w:type="paragraph" w:customStyle="1" w:styleId="AllowPageBreak">
    <w:name w:val="AllowPageBreak"/>
    <w:rsid w:val="00BC0D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C0DC1"/>
    <w:rPr>
      <w:b/>
      <w:i/>
      <w:u w:val="none"/>
    </w:rPr>
  </w:style>
  <w:style w:type="character" w:customStyle="1" w:styleId="Heading2Char">
    <w:name w:val="Heading 2 Char"/>
    <w:basedOn w:val="DefaultParagraphFont"/>
    <w:link w:val="Heading2"/>
    <w:rsid w:val="00BC0D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0D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0D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0D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0D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0D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0D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0DC1"/>
    <w:rPr>
      <w:rFonts w:ascii="Courier New" w:eastAsia="Times New Roman" w:hAnsi="Courier New" w:cs="Times New Roman"/>
      <w:i/>
      <w:szCs w:val="20"/>
      <w:lang w:eastAsia="en-US"/>
    </w:rPr>
  </w:style>
  <w:style w:type="paragraph" w:customStyle="1" w:styleId="HeadingBase">
    <w:name w:val="Heading Base"/>
    <w:rsid w:val="00BC0D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0DC1"/>
    <w:pPr>
      <w:tabs>
        <w:tab w:val="right" w:leader="dot" w:pos="9072"/>
      </w:tabs>
      <w:ind w:left="567"/>
    </w:pPr>
    <w:rPr>
      <w:szCs w:val="22"/>
    </w:rPr>
  </w:style>
  <w:style w:type="paragraph" w:customStyle="1" w:styleId="TOCBase">
    <w:name w:val="TOC Base"/>
    <w:rsid w:val="00BC0D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0DC1"/>
    <w:pPr>
      <w:tabs>
        <w:tab w:val="right" w:leader="dot" w:pos="9072"/>
      </w:tabs>
      <w:spacing w:before="40" w:after="40"/>
      <w:ind w:left="284"/>
    </w:pPr>
    <w:rPr>
      <w:rFonts w:ascii="Times New Roman" w:hAnsi="Times New Roman"/>
    </w:rPr>
  </w:style>
  <w:style w:type="paragraph" w:styleId="TOC1">
    <w:name w:val="toc 1"/>
    <w:basedOn w:val="TOCBase"/>
    <w:next w:val="Normal"/>
    <w:rsid w:val="00BC0D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0D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0DC1"/>
    <w:rPr>
      <w:rFonts w:ascii="Times New Roman" w:eastAsia="Times New Roman" w:hAnsi="Times New Roman" w:cs="Times New Roman"/>
      <w:sz w:val="16"/>
      <w:lang w:eastAsia="en-US"/>
    </w:rPr>
  </w:style>
  <w:style w:type="paragraph" w:styleId="Title">
    <w:name w:val="Title"/>
    <w:basedOn w:val="HeadingBase"/>
    <w:link w:val="TitleChar"/>
    <w:qFormat/>
    <w:rsid w:val="00BC0DC1"/>
    <w:pPr>
      <w:spacing w:before="5040"/>
      <w:jc w:val="center"/>
    </w:pPr>
    <w:rPr>
      <w:sz w:val="48"/>
      <w:szCs w:val="72"/>
      <w:lang w:val="en-US"/>
    </w:rPr>
  </w:style>
  <w:style w:type="character" w:customStyle="1" w:styleId="TitleChar">
    <w:name w:val="Title Char"/>
    <w:basedOn w:val="DefaultParagraphFont"/>
    <w:link w:val="Title"/>
    <w:rsid w:val="00BC0D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0DC1"/>
    <w:pPr>
      <w:tabs>
        <w:tab w:val="left" w:pos="3600"/>
        <w:tab w:val="left" w:pos="3958"/>
      </w:tabs>
    </w:pPr>
  </w:style>
  <w:style w:type="paragraph" w:styleId="List">
    <w:name w:val="List"/>
    <w:basedOn w:val="BodyText"/>
    <w:next w:val="BodyText"/>
    <w:rsid w:val="00BC0DC1"/>
    <w:pPr>
      <w:tabs>
        <w:tab w:val="left" w:pos="340"/>
      </w:tabs>
      <w:spacing w:before="60" w:after="60"/>
      <w:ind w:left="340" w:hanging="340"/>
    </w:pPr>
  </w:style>
  <w:style w:type="paragraph" w:customStyle="1" w:styleId="Note">
    <w:name w:val="Note"/>
    <w:basedOn w:val="BodyText"/>
    <w:rsid w:val="00BC0D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0DC1"/>
    <w:pPr>
      <w:framePr w:wrap="auto" w:hAnchor="text" w:y="6049"/>
    </w:pPr>
    <w:rPr>
      <w:color w:val="000000"/>
      <w:sz w:val="40"/>
    </w:rPr>
  </w:style>
  <w:style w:type="paragraph" w:customStyle="1" w:styleId="TOCTitle">
    <w:name w:val="TOCTitle"/>
    <w:basedOn w:val="Heading1"/>
    <w:rsid w:val="00BC0DC1"/>
    <w:pPr>
      <w:spacing w:after="240"/>
      <w:jc w:val="center"/>
      <w:outlineLvl w:val="9"/>
    </w:pPr>
    <w:rPr>
      <w:caps/>
    </w:rPr>
  </w:style>
  <w:style w:type="paragraph" w:customStyle="1" w:styleId="Version">
    <w:name w:val="Version"/>
    <w:rsid w:val="00BC0D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0DC1"/>
    <w:pPr>
      <w:keepNext w:val="0"/>
      <w:tabs>
        <w:tab w:val="right" w:pos="4176"/>
      </w:tabs>
      <w:ind w:left="198" w:hanging="198"/>
    </w:pPr>
    <w:rPr>
      <w:rFonts w:ascii="Garamond" w:hAnsi="Garamond"/>
    </w:rPr>
  </w:style>
  <w:style w:type="paragraph" w:styleId="IndexHeading">
    <w:name w:val="index heading"/>
    <w:basedOn w:val="Normal"/>
    <w:next w:val="Index1"/>
    <w:semiHidden/>
    <w:rsid w:val="00BC0DC1"/>
    <w:pPr>
      <w:spacing w:before="120" w:after="120"/>
    </w:pPr>
    <w:rPr>
      <w:rFonts w:ascii="Arial" w:hAnsi="Arial"/>
      <w:b/>
      <w:color w:val="918585"/>
      <w:sz w:val="24"/>
    </w:rPr>
  </w:style>
  <w:style w:type="paragraph" w:styleId="Header">
    <w:name w:val="header"/>
    <w:basedOn w:val="Normal"/>
    <w:link w:val="HeaderChar"/>
    <w:rsid w:val="00BC0D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0DC1"/>
    <w:rPr>
      <w:rFonts w:ascii="Times New Roman" w:eastAsia="Times New Roman" w:hAnsi="Times New Roman" w:cs="Times New Roman"/>
      <w:sz w:val="16"/>
      <w:szCs w:val="20"/>
      <w:lang w:val="en-GB" w:eastAsia="en-US"/>
    </w:rPr>
  </w:style>
  <w:style w:type="paragraph" w:customStyle="1" w:styleId="Chapter">
    <w:name w:val="Chapter"/>
    <w:basedOn w:val="Normal"/>
    <w:rsid w:val="00BC0DC1"/>
    <w:pPr>
      <w:spacing w:before="240"/>
    </w:pPr>
    <w:rPr>
      <w:rFonts w:ascii="Times New Roman" w:hAnsi="Times New Roman"/>
      <w:smallCaps/>
      <w:spacing w:val="80"/>
      <w:sz w:val="28"/>
    </w:rPr>
  </w:style>
  <w:style w:type="paragraph" w:customStyle="1" w:styleId="InChapter">
    <w:name w:val="InChapter"/>
    <w:basedOn w:val="Heading3"/>
    <w:rsid w:val="00BC0DC1"/>
    <w:pPr>
      <w:spacing w:after="240"/>
      <w:outlineLvl w:val="9"/>
    </w:pPr>
    <w:rPr>
      <w:noProof/>
    </w:rPr>
  </w:style>
  <w:style w:type="paragraph" w:styleId="Index2">
    <w:name w:val="index 2"/>
    <w:basedOn w:val="Normal"/>
    <w:next w:val="Normal"/>
    <w:semiHidden/>
    <w:rsid w:val="00BC0DC1"/>
    <w:pPr>
      <w:tabs>
        <w:tab w:val="right" w:pos="4176"/>
      </w:tabs>
      <w:ind w:left="568" w:hanging="284"/>
    </w:pPr>
    <w:rPr>
      <w:rFonts w:ascii="Garamond" w:hAnsi="Garamond"/>
    </w:rPr>
  </w:style>
  <w:style w:type="paragraph" w:customStyle="1" w:styleId="Byline">
    <w:name w:val="Byline"/>
    <w:rsid w:val="00BC0D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0DC1"/>
    <w:pPr>
      <w:tabs>
        <w:tab w:val="clear" w:pos="3600"/>
        <w:tab w:val="clear" w:pos="3958"/>
      </w:tabs>
      <w:jc w:val="right"/>
    </w:pPr>
  </w:style>
  <w:style w:type="character" w:styleId="Emphasis">
    <w:name w:val="Emphasis"/>
    <w:basedOn w:val="DefaultParagraphFont"/>
    <w:qFormat/>
    <w:rsid w:val="00BC0DC1"/>
    <w:rPr>
      <w:i/>
    </w:rPr>
  </w:style>
  <w:style w:type="paragraph" w:styleId="Caption">
    <w:name w:val="caption"/>
    <w:basedOn w:val="BodyText"/>
    <w:next w:val="Normal"/>
    <w:qFormat/>
    <w:rsid w:val="00BC0DC1"/>
    <w:pPr>
      <w:framePr w:w="2268" w:hSpace="181" w:vSpace="181" w:wrap="around" w:vAnchor="text" w:hAnchor="page" w:x="1135" w:y="285" w:anchorLock="1"/>
    </w:pPr>
    <w:rPr>
      <w:i/>
    </w:rPr>
  </w:style>
  <w:style w:type="paragraph" w:customStyle="1" w:styleId="MiniTOCTitle">
    <w:name w:val="MiniTOCTitle"/>
    <w:basedOn w:val="Heading4"/>
    <w:rsid w:val="00BC0DC1"/>
    <w:pPr>
      <w:spacing w:before="240"/>
      <w:outlineLvl w:val="9"/>
    </w:pPr>
    <w:rPr>
      <w:noProof/>
      <w:sz w:val="24"/>
    </w:rPr>
  </w:style>
  <w:style w:type="paragraph" w:customStyle="1" w:styleId="MiniTOCItem">
    <w:name w:val="MiniTOCItem"/>
    <w:basedOn w:val="ListBullet"/>
    <w:rsid w:val="00BC0DC1"/>
    <w:pPr>
      <w:numPr>
        <w:numId w:val="0"/>
      </w:numPr>
      <w:tabs>
        <w:tab w:val="right" w:leader="dot" w:pos="6521"/>
      </w:tabs>
      <w:spacing w:before="0" w:after="0"/>
    </w:pPr>
  </w:style>
  <w:style w:type="paragraph" w:customStyle="1" w:styleId="TOFTitle">
    <w:name w:val="TOFTitle"/>
    <w:basedOn w:val="TOCTitle"/>
    <w:rsid w:val="00BC0DC1"/>
  </w:style>
  <w:style w:type="paragraph" w:styleId="TableofFigures">
    <w:name w:val="table of figures"/>
    <w:basedOn w:val="Normal"/>
    <w:next w:val="Normal"/>
    <w:semiHidden/>
    <w:rsid w:val="00BC0DC1"/>
    <w:pPr>
      <w:tabs>
        <w:tab w:val="right" w:leader="dot" w:pos="9072"/>
      </w:tabs>
      <w:ind w:left="970" w:hanging="403"/>
    </w:pPr>
    <w:rPr>
      <w:rFonts w:ascii="Times New Roman" w:hAnsi="Times New Roman"/>
      <w:b/>
    </w:rPr>
  </w:style>
  <w:style w:type="paragraph" w:styleId="ListNumber">
    <w:name w:val="List Number"/>
    <w:basedOn w:val="List"/>
    <w:rsid w:val="00BC0DC1"/>
    <w:pPr>
      <w:numPr>
        <w:numId w:val="11"/>
      </w:numPr>
    </w:pPr>
  </w:style>
  <w:style w:type="character" w:customStyle="1" w:styleId="WingdingSymbols">
    <w:name w:val="Wingding Symbols"/>
    <w:rsid w:val="00BC0DC1"/>
    <w:rPr>
      <w:rFonts w:ascii="Wingdings" w:hAnsi="Wingdings"/>
    </w:rPr>
  </w:style>
  <w:style w:type="paragraph" w:customStyle="1" w:styleId="TableHeading">
    <w:name w:val="Table Heading"/>
    <w:basedOn w:val="HeadingBase"/>
    <w:rsid w:val="00BC0DC1"/>
    <w:pPr>
      <w:keepLines/>
      <w:pBdr>
        <w:bottom w:val="single" w:sz="6" w:space="1" w:color="918585"/>
      </w:pBdr>
      <w:spacing w:before="240"/>
    </w:pPr>
  </w:style>
  <w:style w:type="character" w:customStyle="1" w:styleId="HotSpot">
    <w:name w:val="HotSpot"/>
    <w:rsid w:val="00BC0DC1"/>
    <w:rPr>
      <w:color w:val="0033CC"/>
      <w:u w:val="none"/>
    </w:rPr>
  </w:style>
  <w:style w:type="paragraph" w:customStyle="1" w:styleId="BodyTextRight">
    <w:name w:val="Body Text Right"/>
    <w:basedOn w:val="BodyText"/>
    <w:rsid w:val="00BC0DC1"/>
    <w:pPr>
      <w:spacing w:before="0" w:after="0"/>
      <w:jc w:val="right"/>
    </w:pPr>
  </w:style>
  <w:style w:type="paragraph" w:styleId="Index3">
    <w:name w:val="index 3"/>
    <w:basedOn w:val="ListNumber2"/>
    <w:next w:val="Normal"/>
    <w:semiHidden/>
    <w:rsid w:val="00BC0DC1"/>
    <w:pPr>
      <w:numPr>
        <w:numId w:val="0"/>
      </w:numPr>
      <w:tabs>
        <w:tab w:val="right" w:leader="dot" w:pos="4176"/>
      </w:tabs>
    </w:pPr>
  </w:style>
  <w:style w:type="paragraph" w:styleId="ListNumber2">
    <w:name w:val="List Number 2"/>
    <w:basedOn w:val="List2"/>
    <w:rsid w:val="00BC0DC1"/>
    <w:pPr>
      <w:numPr>
        <w:numId w:val="10"/>
      </w:numPr>
      <w:tabs>
        <w:tab w:val="clear" w:pos="1060"/>
      </w:tabs>
    </w:pPr>
  </w:style>
  <w:style w:type="paragraph" w:customStyle="1" w:styleId="MarginNote">
    <w:name w:val="Margin Note"/>
    <w:basedOn w:val="BodyText"/>
    <w:rsid w:val="00BC0D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0D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0D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0DC1"/>
    <w:rPr>
      <w:sz w:val="32"/>
    </w:rPr>
  </w:style>
  <w:style w:type="paragraph" w:customStyle="1" w:styleId="HeadingProcedure">
    <w:name w:val="Heading Procedure"/>
    <w:basedOn w:val="HeadingBase"/>
    <w:next w:val="Normal"/>
    <w:rsid w:val="00BC0DC1"/>
    <w:pPr>
      <w:tabs>
        <w:tab w:val="left" w:pos="0"/>
      </w:tabs>
      <w:spacing w:before="120" w:after="60"/>
    </w:pPr>
    <w:rPr>
      <w:i/>
      <w:color w:val="918585"/>
      <w:sz w:val="22"/>
    </w:rPr>
  </w:style>
  <w:style w:type="paragraph" w:customStyle="1" w:styleId="TableBodyText">
    <w:name w:val="Table Body Text"/>
    <w:basedOn w:val="BodyText"/>
    <w:rsid w:val="00BC0DC1"/>
    <w:pPr>
      <w:spacing w:before="60" w:after="60"/>
    </w:pPr>
  </w:style>
  <w:style w:type="paragraph" w:styleId="ListContinue">
    <w:name w:val="List Continue"/>
    <w:basedOn w:val="List"/>
    <w:rsid w:val="00BC0DC1"/>
    <w:pPr>
      <w:ind w:firstLine="0"/>
    </w:pPr>
  </w:style>
  <w:style w:type="paragraph" w:customStyle="1" w:styleId="ListNote">
    <w:name w:val="List Note"/>
    <w:basedOn w:val="List"/>
    <w:rsid w:val="00BC0DC1"/>
    <w:pPr>
      <w:pBdr>
        <w:top w:val="single" w:sz="6" w:space="2" w:color="918585"/>
        <w:bottom w:val="single" w:sz="6" w:space="2" w:color="918585"/>
      </w:pBdr>
      <w:tabs>
        <w:tab w:val="left" w:pos="1021"/>
      </w:tabs>
      <w:ind w:firstLine="0"/>
    </w:pPr>
  </w:style>
  <w:style w:type="paragraph" w:customStyle="1" w:styleId="Warning">
    <w:name w:val="Warning"/>
    <w:basedOn w:val="BodyText"/>
    <w:rsid w:val="00BC0DC1"/>
    <w:pPr>
      <w:shd w:val="clear" w:color="auto" w:fill="D9D9D9"/>
      <w:tabs>
        <w:tab w:val="left" w:pos="992"/>
      </w:tabs>
      <w:ind w:left="119" w:right="119"/>
    </w:pPr>
    <w:rPr>
      <w:sz w:val="20"/>
    </w:rPr>
  </w:style>
  <w:style w:type="paragraph" w:customStyle="1" w:styleId="MarginIcons">
    <w:name w:val="Margin Icons"/>
    <w:basedOn w:val="BodyText"/>
    <w:rsid w:val="00BC0D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0DC1"/>
    <w:rPr>
      <w:rFonts w:ascii="Courier New" w:hAnsi="Courier New"/>
    </w:rPr>
  </w:style>
  <w:style w:type="paragraph" w:customStyle="1" w:styleId="NoteBullet">
    <w:name w:val="Note Bullet"/>
    <w:basedOn w:val="Note"/>
    <w:rsid w:val="00BC0DC1"/>
    <w:pPr>
      <w:tabs>
        <w:tab w:val="clear" w:pos="680"/>
      </w:tabs>
      <w:spacing w:before="60" w:after="60"/>
    </w:pPr>
  </w:style>
  <w:style w:type="paragraph" w:customStyle="1" w:styleId="SubHeading2">
    <w:name w:val="SubHeading2"/>
    <w:basedOn w:val="HeadingBase"/>
    <w:rsid w:val="00BC0DC1"/>
    <w:pPr>
      <w:spacing w:before="240" w:after="60"/>
    </w:pPr>
    <w:rPr>
      <w:sz w:val="20"/>
    </w:rPr>
  </w:style>
  <w:style w:type="paragraph" w:customStyle="1" w:styleId="SubHeading1">
    <w:name w:val="SubHeading1"/>
    <w:basedOn w:val="HeadingBase"/>
    <w:rsid w:val="00BC0DC1"/>
    <w:pPr>
      <w:spacing w:before="240" w:after="60"/>
    </w:pPr>
    <w:rPr>
      <w:color w:val="918585"/>
      <w:sz w:val="22"/>
    </w:rPr>
  </w:style>
  <w:style w:type="paragraph" w:customStyle="1" w:styleId="SideHeading">
    <w:name w:val="Side Heading"/>
    <w:basedOn w:val="HeadingBase"/>
    <w:rsid w:val="00BC0D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0DC1"/>
    <w:pPr>
      <w:numPr>
        <w:numId w:val="12"/>
      </w:numPr>
    </w:pPr>
  </w:style>
  <w:style w:type="paragraph" w:styleId="PlainText">
    <w:name w:val="Plain Text"/>
    <w:basedOn w:val="Normal"/>
    <w:link w:val="PlainTextChar"/>
    <w:rsid w:val="00BC0DC1"/>
    <w:rPr>
      <w:sz w:val="20"/>
    </w:rPr>
  </w:style>
  <w:style w:type="character" w:customStyle="1" w:styleId="PlainTextChar">
    <w:name w:val="Plain Text Char"/>
    <w:basedOn w:val="DefaultParagraphFont"/>
    <w:link w:val="PlainText"/>
    <w:rsid w:val="00BC0DC1"/>
    <w:rPr>
      <w:rFonts w:ascii="Courier New" w:eastAsia="Times New Roman" w:hAnsi="Courier New" w:cs="Times New Roman"/>
      <w:sz w:val="20"/>
      <w:szCs w:val="20"/>
      <w:lang w:eastAsia="en-US"/>
    </w:rPr>
  </w:style>
  <w:style w:type="character" w:customStyle="1" w:styleId="MenuOption">
    <w:name w:val="Menu Option"/>
    <w:basedOn w:val="DefaultParagraphFont"/>
    <w:rsid w:val="00BC0DC1"/>
    <w:rPr>
      <w:b/>
      <w:smallCaps/>
    </w:rPr>
  </w:style>
  <w:style w:type="paragraph" w:customStyle="1" w:styleId="TableListNumber">
    <w:name w:val="Table List Number"/>
    <w:basedOn w:val="ListNumber"/>
    <w:rsid w:val="00BC0DC1"/>
    <w:pPr>
      <w:numPr>
        <w:numId w:val="0"/>
      </w:numPr>
    </w:pPr>
  </w:style>
  <w:style w:type="paragraph" w:styleId="TOC4">
    <w:name w:val="toc 4"/>
    <w:basedOn w:val="TOCBase"/>
    <w:next w:val="Normal"/>
    <w:semiHidden/>
    <w:rsid w:val="00BC0DC1"/>
    <w:pPr>
      <w:tabs>
        <w:tab w:val="right" w:leader="dot" w:pos="9071"/>
      </w:tabs>
      <w:ind w:left="1701"/>
    </w:pPr>
  </w:style>
  <w:style w:type="paragraph" w:customStyle="1" w:styleId="ListAlpha">
    <w:name w:val="List Alpha"/>
    <w:basedOn w:val="List"/>
    <w:rsid w:val="00BC0DC1"/>
    <w:pPr>
      <w:numPr>
        <w:numId w:val="9"/>
      </w:numPr>
    </w:pPr>
  </w:style>
  <w:style w:type="paragraph" w:customStyle="1" w:styleId="ListAlpha2">
    <w:name w:val="List Alpha 2"/>
    <w:basedOn w:val="List2"/>
    <w:rsid w:val="00BC0DC1"/>
    <w:pPr>
      <w:numPr>
        <w:numId w:val="8"/>
      </w:numPr>
    </w:pPr>
  </w:style>
  <w:style w:type="paragraph" w:styleId="List2">
    <w:name w:val="List 2"/>
    <w:basedOn w:val="BodyText"/>
    <w:rsid w:val="00BC0DC1"/>
    <w:pPr>
      <w:tabs>
        <w:tab w:val="left" w:pos="680"/>
      </w:tabs>
      <w:spacing w:before="60" w:after="60"/>
      <w:ind w:left="680" w:hanging="340"/>
    </w:pPr>
  </w:style>
  <w:style w:type="paragraph" w:styleId="List3">
    <w:name w:val="List 3"/>
    <w:basedOn w:val="BodyText"/>
    <w:rsid w:val="00BC0DC1"/>
    <w:pPr>
      <w:tabs>
        <w:tab w:val="left" w:pos="1021"/>
      </w:tabs>
      <w:spacing w:before="60" w:after="60"/>
      <w:ind w:left="1020" w:hanging="340"/>
    </w:pPr>
  </w:style>
  <w:style w:type="paragraph" w:styleId="List4">
    <w:name w:val="List 4"/>
    <w:basedOn w:val="BodyText"/>
    <w:rsid w:val="00BC0DC1"/>
    <w:pPr>
      <w:tabs>
        <w:tab w:val="left" w:pos="1361"/>
      </w:tabs>
      <w:spacing w:before="60" w:after="60"/>
      <w:ind w:left="1361" w:hanging="340"/>
    </w:pPr>
  </w:style>
  <w:style w:type="paragraph" w:styleId="List5">
    <w:name w:val="List 5"/>
    <w:basedOn w:val="BodyText"/>
    <w:rsid w:val="00BC0DC1"/>
    <w:pPr>
      <w:tabs>
        <w:tab w:val="left" w:pos="1701"/>
      </w:tabs>
      <w:spacing w:before="60" w:after="60"/>
      <w:ind w:left="1701" w:hanging="340"/>
    </w:pPr>
  </w:style>
  <w:style w:type="paragraph" w:styleId="ListBullet3">
    <w:name w:val="List Bullet 3"/>
    <w:basedOn w:val="List3"/>
    <w:rsid w:val="00BC0DC1"/>
    <w:pPr>
      <w:numPr>
        <w:numId w:val="15"/>
      </w:numPr>
      <w:tabs>
        <w:tab w:val="clear" w:pos="1021"/>
      </w:tabs>
      <w:ind w:left="1037" w:hanging="357"/>
    </w:pPr>
  </w:style>
  <w:style w:type="paragraph" w:styleId="ListBullet4">
    <w:name w:val="List Bullet 4"/>
    <w:basedOn w:val="List4"/>
    <w:rsid w:val="00BC0DC1"/>
    <w:pPr>
      <w:numPr>
        <w:numId w:val="3"/>
      </w:numPr>
    </w:pPr>
  </w:style>
  <w:style w:type="paragraph" w:styleId="ListBullet5">
    <w:name w:val="List Bullet 5"/>
    <w:basedOn w:val="List5"/>
    <w:rsid w:val="00BC0DC1"/>
    <w:pPr>
      <w:numPr>
        <w:numId w:val="4"/>
      </w:numPr>
    </w:pPr>
  </w:style>
  <w:style w:type="paragraph" w:styleId="ListContinue2">
    <w:name w:val="List Continue 2"/>
    <w:basedOn w:val="List2"/>
    <w:rsid w:val="00BC0DC1"/>
    <w:pPr>
      <w:ind w:firstLine="0"/>
    </w:pPr>
  </w:style>
  <w:style w:type="paragraph" w:styleId="ListContinue3">
    <w:name w:val="List Continue 3"/>
    <w:basedOn w:val="List3"/>
    <w:rsid w:val="00BC0DC1"/>
    <w:pPr>
      <w:ind w:left="1021" w:firstLine="0"/>
    </w:pPr>
  </w:style>
  <w:style w:type="paragraph" w:styleId="ListContinue4">
    <w:name w:val="List Continue 4"/>
    <w:basedOn w:val="List4"/>
    <w:rsid w:val="00BC0DC1"/>
    <w:pPr>
      <w:ind w:firstLine="0"/>
    </w:pPr>
  </w:style>
  <w:style w:type="paragraph" w:styleId="ListContinue5">
    <w:name w:val="List Continue 5"/>
    <w:basedOn w:val="List5"/>
    <w:rsid w:val="00BC0DC1"/>
    <w:pPr>
      <w:ind w:firstLine="0"/>
    </w:pPr>
  </w:style>
  <w:style w:type="paragraph" w:styleId="ListNumber3">
    <w:name w:val="List Number 3"/>
    <w:basedOn w:val="List3"/>
    <w:rsid w:val="00BC0DC1"/>
    <w:pPr>
      <w:numPr>
        <w:numId w:val="5"/>
      </w:numPr>
    </w:pPr>
  </w:style>
  <w:style w:type="paragraph" w:styleId="ListNumber4">
    <w:name w:val="List Number 4"/>
    <w:basedOn w:val="List4"/>
    <w:rsid w:val="00BC0DC1"/>
    <w:pPr>
      <w:numPr>
        <w:numId w:val="6"/>
      </w:numPr>
    </w:pPr>
  </w:style>
  <w:style w:type="paragraph" w:styleId="ListNumber5">
    <w:name w:val="List Number 5"/>
    <w:basedOn w:val="List5"/>
    <w:rsid w:val="00BC0DC1"/>
    <w:pPr>
      <w:numPr>
        <w:numId w:val="7"/>
      </w:numPr>
    </w:pPr>
  </w:style>
  <w:style w:type="paragraph" w:styleId="BlockText">
    <w:name w:val="Block Text"/>
    <w:basedOn w:val="Normal"/>
    <w:rsid w:val="00BC0DC1"/>
    <w:pPr>
      <w:spacing w:after="120"/>
      <w:ind w:left="1440" w:right="1440"/>
    </w:pPr>
  </w:style>
  <w:style w:type="character" w:customStyle="1" w:styleId="Subscript">
    <w:name w:val="Subscript"/>
    <w:basedOn w:val="DefaultParagraphFont"/>
    <w:rsid w:val="00BC0DC1"/>
    <w:rPr>
      <w:sz w:val="16"/>
      <w:vertAlign w:val="subscript"/>
    </w:rPr>
  </w:style>
  <w:style w:type="character" w:customStyle="1" w:styleId="Superscript">
    <w:name w:val="Superscript"/>
    <w:basedOn w:val="DefaultParagraphFont"/>
    <w:rsid w:val="00BC0DC1"/>
    <w:rPr>
      <w:sz w:val="16"/>
      <w:vertAlign w:val="superscript"/>
    </w:rPr>
  </w:style>
  <w:style w:type="character" w:customStyle="1" w:styleId="Symbols">
    <w:name w:val="Symbols"/>
    <w:basedOn w:val="DefaultParagraphFont"/>
    <w:rsid w:val="00BC0DC1"/>
    <w:rPr>
      <w:rFonts w:ascii="Symbol" w:hAnsi="Symbol"/>
    </w:rPr>
  </w:style>
  <w:style w:type="character" w:customStyle="1" w:styleId="MenuOptions">
    <w:name w:val="Menu Options"/>
    <w:basedOn w:val="DefaultParagraphFont"/>
    <w:rsid w:val="00BC0DC1"/>
    <w:rPr>
      <w:rFonts w:ascii="Arial Narrow" w:hAnsi="Arial Narrow"/>
      <w:smallCaps/>
    </w:rPr>
  </w:style>
  <w:style w:type="character" w:customStyle="1" w:styleId="Buttons">
    <w:name w:val="Buttons"/>
    <w:basedOn w:val="DefaultParagraphFont"/>
    <w:rsid w:val="00BC0DC1"/>
    <w:rPr>
      <w:b/>
    </w:rPr>
  </w:style>
  <w:style w:type="character" w:customStyle="1" w:styleId="Underlined">
    <w:name w:val="Underlined"/>
    <w:basedOn w:val="DefaultParagraphFont"/>
    <w:rsid w:val="00BC0DC1"/>
    <w:rPr>
      <w:u w:val="single"/>
    </w:rPr>
  </w:style>
  <w:style w:type="paragraph" w:customStyle="1" w:styleId="TableBodyTextRight">
    <w:name w:val="Table Body Text Right"/>
    <w:basedOn w:val="TableBodyText"/>
    <w:rsid w:val="00BC0DC1"/>
    <w:pPr>
      <w:widowControl w:val="0"/>
      <w:autoSpaceDE w:val="0"/>
      <w:autoSpaceDN w:val="0"/>
      <w:adjustRightInd w:val="0"/>
      <w:jc w:val="right"/>
    </w:pPr>
    <w:rPr>
      <w:rFonts w:cs="Arial"/>
      <w:szCs w:val="18"/>
    </w:rPr>
  </w:style>
  <w:style w:type="paragraph" w:customStyle="1" w:styleId="CopyrightText">
    <w:name w:val="Copyright Text"/>
    <w:basedOn w:val="BodyText"/>
    <w:rsid w:val="00BC0DC1"/>
    <w:rPr>
      <w:sz w:val="18"/>
    </w:rPr>
  </w:style>
  <w:style w:type="paragraph" w:customStyle="1" w:styleId="BodySmallRight">
    <w:name w:val="Body Small Right"/>
    <w:basedOn w:val="BodyTextRight"/>
    <w:rsid w:val="00BC0DC1"/>
    <w:rPr>
      <w:sz w:val="18"/>
      <w:szCs w:val="18"/>
    </w:rPr>
  </w:style>
  <w:style w:type="paragraph" w:customStyle="1" w:styleId="MarginEdition">
    <w:name w:val="Margin Edition"/>
    <w:basedOn w:val="MarginNote"/>
    <w:rsid w:val="00BC0DC1"/>
    <w:pPr>
      <w:spacing w:before="0" w:after="0"/>
    </w:pPr>
    <w:rPr>
      <w:rFonts w:ascii="Times New Roman" w:hAnsi="Times New Roman"/>
      <w:color w:val="999999"/>
    </w:rPr>
  </w:style>
  <w:style w:type="paragraph" w:customStyle="1" w:styleId="Spacer">
    <w:name w:val="Spacer"/>
    <w:basedOn w:val="Normal"/>
    <w:rsid w:val="00BC0DC1"/>
    <w:rPr>
      <w:sz w:val="2"/>
      <w:szCs w:val="2"/>
    </w:rPr>
  </w:style>
  <w:style w:type="character" w:customStyle="1" w:styleId="Small">
    <w:name w:val="Small"/>
    <w:basedOn w:val="DefaultParagraphFont"/>
    <w:rsid w:val="00BC0DC1"/>
    <w:rPr>
      <w:sz w:val="16"/>
    </w:rPr>
  </w:style>
  <w:style w:type="paragraph" w:customStyle="1" w:styleId="WideTable">
    <w:name w:val="Wide Table"/>
    <w:basedOn w:val="Normal"/>
    <w:rsid w:val="00BC0DC1"/>
    <w:pPr>
      <w:ind w:left="-1418"/>
    </w:pPr>
    <w:rPr>
      <w:sz w:val="2"/>
      <w:szCs w:val="2"/>
    </w:rPr>
  </w:style>
  <w:style w:type="character" w:styleId="PageNumber">
    <w:name w:val="page number"/>
    <w:basedOn w:val="DefaultParagraphFont"/>
    <w:rsid w:val="00BC0DC1"/>
  </w:style>
  <w:style w:type="paragraph" w:styleId="Quote">
    <w:name w:val="Quote"/>
    <w:basedOn w:val="Heading1"/>
    <w:link w:val="QuoteChar"/>
    <w:qFormat/>
    <w:rsid w:val="00BC0DC1"/>
    <w:rPr>
      <w:b w:val="0"/>
      <w:sz w:val="72"/>
      <w:szCs w:val="72"/>
      <w:lang w:val="en-NZ"/>
    </w:rPr>
  </w:style>
  <w:style w:type="character" w:customStyle="1" w:styleId="QuoteChar">
    <w:name w:val="Quote Char"/>
    <w:basedOn w:val="DefaultParagraphFont"/>
    <w:link w:val="Quote"/>
    <w:rsid w:val="00BC0D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0DC1"/>
    <w:pPr>
      <w:pageBreakBefore/>
    </w:pPr>
  </w:style>
  <w:style w:type="paragraph" w:customStyle="1" w:styleId="Border">
    <w:name w:val="Border"/>
    <w:basedOn w:val="Normal"/>
    <w:qFormat/>
    <w:rsid w:val="00BC0D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0DC1"/>
    <w:rPr>
      <w:b/>
      <w:bCs/>
      <w:i/>
      <w:iCs/>
      <w:color w:val="auto"/>
    </w:rPr>
  </w:style>
  <w:style w:type="paragraph" w:styleId="IntenseQuote">
    <w:name w:val="Intense Quote"/>
    <w:basedOn w:val="Normal"/>
    <w:next w:val="Normal"/>
    <w:link w:val="IntenseQuoteChar"/>
    <w:uiPriority w:val="30"/>
    <w:qFormat/>
    <w:rsid w:val="00BC0D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0D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0DC1"/>
    <w:rPr>
      <w:smallCaps/>
      <w:color w:val="auto"/>
      <w:u w:val="single"/>
    </w:rPr>
  </w:style>
  <w:style w:type="character" w:styleId="IntenseReference">
    <w:name w:val="Intense Reference"/>
    <w:basedOn w:val="DefaultParagraphFont"/>
    <w:uiPriority w:val="32"/>
    <w:qFormat/>
    <w:rsid w:val="00BC0DC1"/>
    <w:rPr>
      <w:b/>
      <w:bCs/>
      <w:smallCaps/>
      <w:color w:val="auto"/>
      <w:spacing w:val="5"/>
      <w:u w:val="single"/>
    </w:rPr>
  </w:style>
  <w:style w:type="paragraph" w:customStyle="1" w:styleId="2ColumnHeading">
    <w:name w:val="2Column Heading"/>
    <w:basedOn w:val="BodyText"/>
    <w:qFormat/>
    <w:rsid w:val="00BC0DC1"/>
    <w:pPr>
      <w:spacing w:after="60"/>
      <w:ind w:left="-2268"/>
    </w:pPr>
    <w:rPr>
      <w:b/>
    </w:rPr>
  </w:style>
  <w:style w:type="paragraph" w:customStyle="1" w:styleId="Heading1TOC">
    <w:name w:val="Heading1 TOC"/>
    <w:basedOn w:val="Normal"/>
    <w:qFormat/>
    <w:rsid w:val="00BC0DC1"/>
    <w:pPr>
      <w:spacing w:before="240" w:after="120"/>
    </w:pPr>
    <w:rPr>
      <w:rFonts w:ascii="Times New Roman" w:hAnsi="Times New Roman"/>
      <w:b/>
      <w:sz w:val="32"/>
    </w:rPr>
  </w:style>
  <w:style w:type="paragraph" w:customStyle="1" w:styleId="Heading2TOC">
    <w:name w:val="Heading2 TOC"/>
    <w:basedOn w:val="Normal"/>
    <w:qFormat/>
    <w:rsid w:val="00BC0DC1"/>
    <w:pPr>
      <w:spacing w:before="240" w:after="60"/>
    </w:pPr>
    <w:rPr>
      <w:rFonts w:ascii="Times New Roman" w:hAnsi="Times New Roman"/>
      <w:b/>
      <w:sz w:val="28"/>
    </w:rPr>
  </w:style>
  <w:style w:type="character" w:customStyle="1" w:styleId="Underline">
    <w:name w:val="Underline"/>
    <w:basedOn w:val="DefaultParagraphFont"/>
    <w:qFormat/>
    <w:rsid w:val="00BC0DC1"/>
    <w:rPr>
      <w:u w:val="single"/>
    </w:rPr>
  </w:style>
  <w:style w:type="paragraph" w:styleId="BalloonText">
    <w:name w:val="Balloon Text"/>
    <w:basedOn w:val="Normal"/>
    <w:link w:val="BalloonTextChar"/>
    <w:rsid w:val="00BC0DC1"/>
    <w:rPr>
      <w:rFonts w:ascii="Tahoma" w:hAnsi="Tahoma" w:cs="Tahoma"/>
      <w:sz w:val="16"/>
      <w:szCs w:val="16"/>
    </w:rPr>
  </w:style>
  <w:style w:type="character" w:customStyle="1" w:styleId="BalloonTextChar">
    <w:name w:val="Balloon Text Char"/>
    <w:basedOn w:val="DefaultParagraphFont"/>
    <w:link w:val="BalloonText"/>
    <w:rsid w:val="00BC0D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0D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0D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0DC1"/>
    <w:rPr>
      <w:b/>
      <w:color w:val="660033"/>
      <w:spacing w:val="0"/>
    </w:rPr>
  </w:style>
  <w:style w:type="paragraph" w:customStyle="1" w:styleId="Nameditemlist">
    <w:name w:val="Named item list"/>
    <w:basedOn w:val="BodyText"/>
    <w:qFormat/>
    <w:rsid w:val="00BC0DC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1472</Words>
  <Characters>9776</Characters>
  <Application>Microsoft Office Word</Application>
  <DocSecurity>0</DocSecurity>
  <Lines>406</Lines>
  <Paragraphs>257</Paragraphs>
  <ScaleCrop>false</ScaleCrop>
  <Company>Author-it Software Corporation Ltd.</Company>
  <LinksUpToDate>false</LinksUpToDate>
  <CharactersWithSpaces>11159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CPPSIS6044A Manage GIS data</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2012-11-27T02:11:00Z</dcterms:created>
  <dcterms:modified xsi:type="dcterms:W3CDTF">2012-11-27T02:11:00Z</dcterms:modified>
</cp:coreProperties>
</file>