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1A8" w:rsidP="000961A8">
      <w:pPr>
        <w:pStyle w:val="Title"/>
      </w:pPr>
      <w:r>
        <w:fldChar w:fldCharType="begin"/>
      </w:r>
      <w:r>
        <w:instrText xml:space="preserve"> TITLE   \* MERGEFORMAT </w:instrText>
      </w:r>
      <w:r>
        <w:fldChar w:fldCharType="separate"/>
      </w:r>
      <w:r>
        <w:t>CPPSIS5060A Use complex spreadsheets for spatial information</w:t>
      </w:r>
      <w:r>
        <w:fldChar w:fldCharType="end"/>
      </w:r>
    </w:p>
    <w:p w:rsidR="000961A8" w:rsidP="000961A8">
      <w:pPr>
        <w:pStyle w:val="Version"/>
        <w:sectPr w:rsidSect="007A39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995" w:rsidP="007A3995">
      <w:pPr>
        <w:pStyle w:val="SuperHeading"/>
      </w:pPr>
      <w:r w:rsidRPr="007A3995">
        <w:t>CPPSIS5060A Use complex spreadsheets for spatial information</w:t>
      </w:r>
    </w:p>
    <w:p w:rsidR="00000000" w:rsidRPr="007A3995" w:rsidP="007A3995">
      <w:pPr>
        <w:pStyle w:val="Heading1"/>
      </w:pPr>
      <w:bookmarkStart w:id="1" w:name="O_509842"/>
      <w:bookmarkEnd w:id="1"/>
      <w:r w:rsidRPr="007A3995">
        <w:t>Modification History</w:t>
      </w:r>
    </w:p>
    <w:tbl>
      <w:tblPr>
        <w:tblW w:w="0" w:type="auto"/>
        <w:tblLayout w:type="fixed"/>
        <w:tblCellMar>
          <w:left w:w="62" w:type="dxa"/>
          <w:right w:w="62" w:type="dxa"/>
        </w:tblCellMar>
        <w:tblLook w:val="0000"/>
      </w:tblPr>
      <w:tblGrid>
        <w:gridCol w:w="2764"/>
        <w:gridCol w:w="6262"/>
      </w:tblGrid>
      <w:tr w:rsidTr="007A3995">
        <w:tblPrEx>
          <w:tblW w:w="0" w:type="auto"/>
          <w:tblLayout w:type="fixed"/>
          <w:tblCellMar>
            <w:left w:w="62" w:type="dxa"/>
            <w:right w:w="62" w:type="dxa"/>
          </w:tblCellMar>
          <w:tblLook w:val="0000"/>
        </w:tblPrEx>
        <w:tc>
          <w:tcPr>
            <w:tcW w:w="2764" w:type="dxa"/>
            <w:tcBorders>
              <w:top w:val="nil"/>
              <w:left w:val="nil"/>
              <w:bottom w:val="nil"/>
              <w:right w:val="nil"/>
            </w:tcBorders>
            <w:tcMar>
              <w:top w:w="0" w:type="dxa"/>
              <w:left w:w="62" w:type="dxa"/>
              <w:bottom w:w="0" w:type="dxa"/>
              <w:right w:w="62" w:type="dxa"/>
            </w:tcMar>
          </w:tcPr>
          <w:p w:rsidR="00000000" w:rsidRPr="007A3995" w:rsidP="007A3995">
            <w:pPr>
              <w:pStyle w:val="BodyText"/>
            </w:pPr>
            <w:r w:rsidRPr="007A3995">
              <w:rPr>
                <w:rStyle w:val="SpecialBold"/>
              </w:rPr>
              <w:t>Version</w:t>
            </w:r>
          </w:p>
        </w:tc>
        <w:tc>
          <w:tcPr>
            <w:tcW w:w="6262"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SpecialBold"/>
              </w:rPr>
              <w:t>Comment</w:t>
            </w:r>
          </w:p>
        </w:tc>
      </w:tr>
      <w:tr w:rsidTr="007A3995">
        <w:tblPrEx>
          <w:tblW w:w="0" w:type="auto"/>
          <w:tblLayout w:type="fixed"/>
          <w:tblCellMar>
            <w:left w:w="62" w:type="dxa"/>
            <w:right w:w="62" w:type="dxa"/>
          </w:tblCellMar>
          <w:tblLook w:val="0000"/>
        </w:tblPrEx>
        <w:tc>
          <w:tcPr>
            <w:tcW w:w="2764"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1</w:t>
            </w:r>
          </w:p>
        </w:tc>
        <w:tc>
          <w:tcPr>
            <w:tcW w:w="6262" w:type="dxa"/>
            <w:tcBorders>
              <w:top w:val="nil"/>
              <w:left w:val="nil"/>
              <w:bottom w:val="nil"/>
              <w:right w:val="nil"/>
            </w:tcBorders>
            <w:tcMar>
              <w:top w:w="0" w:type="dxa"/>
              <w:left w:w="62" w:type="dxa"/>
              <w:bottom w:w="0" w:type="dxa"/>
              <w:right w:w="62" w:type="dxa"/>
            </w:tcMar>
          </w:tcPr>
          <w:p w:rsidR="00000000" w:rsidRPr="007A3995" w:rsidP="007A3995">
            <w:pPr>
              <w:pStyle w:val="BodyText"/>
            </w:pPr>
            <w:r w:rsidRPr="007A3995">
              <w:t>This version first released with CPP07 Property Services Training Package Version 12.</w:t>
            </w:r>
          </w:p>
        </w:tc>
      </w:tr>
    </w:tbl>
    <w:p w:rsidR="00000000" w:rsidRPr="007A3995" w:rsidP="007A3995">
      <w:pPr>
        <w:pStyle w:val="BodyText"/>
      </w:pPr>
    </w:p>
    <w:p w:rsidR="00000000" w:rsidRPr="007A3995" w:rsidP="007A3995">
      <w:pPr>
        <w:pStyle w:val="AllowPageBreak"/>
      </w:pPr>
    </w:p>
    <w:p w:rsidR="00000000" w:rsidRPr="007A3995" w:rsidP="007A3995">
      <w:pPr>
        <w:pStyle w:val="Heading1"/>
      </w:pPr>
      <w:bookmarkStart w:id="2" w:name="O_509840"/>
      <w:bookmarkEnd w:id="2"/>
      <w:r w:rsidRPr="007A3995">
        <w:t>Unit Descriptor</w:t>
      </w:r>
    </w:p>
    <w:p w:rsidR="000961A8" w:rsidP="007A3995">
      <w:pPr>
        <w:pStyle w:val="BodyText"/>
      </w:pPr>
      <w:r w:rsidRPr="007A3995">
        <w:t>This unit of competency specifies the outcomes required to use spreadsheet soft</w:t>
      </w:r>
      <w:r w:rsidRPr="007A3995">
        <w:t xml:space="preserve">ware to complete spatial tasks using complex spatial data. The skills and knowledge required in this unit focus on creating complex spreadsheets to store and retrieve spatial data. </w:t>
      </w:r>
    </w:p>
    <w:p w:rsidR="000961A8" w:rsidP="007A3995">
      <w:pPr>
        <w:pStyle w:val="BodyText"/>
      </w:pPr>
    </w:p>
    <w:p w:rsidR="00000000" w:rsidRPr="007A3995" w:rsidP="007A3995">
      <w:pPr>
        <w:pStyle w:val="Heading1"/>
      </w:pPr>
      <w:bookmarkStart w:id="3" w:name="O_509829"/>
      <w:bookmarkEnd w:id="3"/>
      <w:r w:rsidRPr="007A3995">
        <w:t>Application of the Unit</w:t>
      </w:r>
    </w:p>
    <w:p w:rsidR="00000000" w:rsidRPr="007A3995" w:rsidP="007A3995">
      <w:pPr>
        <w:pStyle w:val="BodyText"/>
      </w:pPr>
      <w:r w:rsidRPr="007A3995">
        <w:t>This unit of competency supports</w:t>
      </w:r>
      <w:r w:rsidRPr="007A3995">
        <w:t xml:space="preserve"> the application of planning, organising, problem-solving, error analysis and accuracy; designing and interpreting technical documentation; and a practical understanding of technology. Those undertaking the unit may work in an administrative support role i</w:t>
      </w:r>
      <w:r w:rsidRPr="007A3995">
        <w:t xml:space="preserve">n an enterprise, or may work independently in designing and working with spreadsheets. </w:t>
      </w:r>
    </w:p>
    <w:p w:rsidR="00000000" w:rsidRPr="007A3995" w:rsidP="007A3995">
      <w:pPr>
        <w:pStyle w:val="AllowPageBreak"/>
      </w:pPr>
    </w:p>
    <w:p w:rsidR="00000000" w:rsidRPr="007A3995" w:rsidP="007A3995">
      <w:pPr>
        <w:pStyle w:val="Heading1"/>
      </w:pPr>
      <w:bookmarkStart w:id="4" w:name="O_509836"/>
      <w:bookmarkEnd w:id="4"/>
      <w:r w:rsidRPr="007A3995">
        <w:t>Licensing/Regulatory Information</w:t>
      </w:r>
    </w:p>
    <w:p w:rsidR="00000000" w:rsidRPr="007A3995" w:rsidP="007A3995">
      <w:pPr>
        <w:pStyle w:val="BodyText"/>
      </w:pPr>
      <w:r w:rsidRPr="007A3995">
        <w:t>No licensing, legislative and regulatory requirements apply to this unit at the time of endorsement.</w:t>
      </w:r>
    </w:p>
    <w:p w:rsidR="00000000" w:rsidRPr="007A3995" w:rsidP="007A3995">
      <w:pPr>
        <w:pStyle w:val="AllowPageBreak"/>
      </w:pPr>
    </w:p>
    <w:p w:rsidR="00000000" w:rsidRPr="007A3995" w:rsidP="007A3995">
      <w:pPr>
        <w:pStyle w:val="Heading1"/>
      </w:pPr>
      <w:bookmarkStart w:id="5" w:name="O_509837"/>
      <w:bookmarkEnd w:id="5"/>
      <w:r w:rsidRPr="007A3995">
        <w:t>Pre-Requisites</w:t>
      </w:r>
    </w:p>
    <w:p w:rsidR="00000000" w:rsidRPr="007A3995" w:rsidP="007A3995">
      <w:pPr>
        <w:pStyle w:val="BodyText"/>
      </w:pPr>
      <w:r w:rsidRPr="007A3995">
        <w:t>Nil</w:t>
      </w:r>
    </w:p>
    <w:p w:rsidR="00000000" w:rsidRPr="007A3995" w:rsidP="007A3995">
      <w:pPr>
        <w:pStyle w:val="AllowPageBreak"/>
      </w:pPr>
    </w:p>
    <w:p w:rsidR="00000000" w:rsidRPr="007A3995" w:rsidP="007A3995">
      <w:pPr>
        <w:pStyle w:val="Heading1"/>
      </w:pPr>
      <w:bookmarkStart w:id="6" w:name="O_509833"/>
      <w:bookmarkEnd w:id="6"/>
      <w:r w:rsidRPr="007A3995">
        <w:t>Employability Skills Information</w:t>
      </w:r>
    </w:p>
    <w:p w:rsidR="00000000" w:rsidRPr="007A3995" w:rsidP="007A3995">
      <w:pPr>
        <w:pStyle w:val="BodyText"/>
      </w:pPr>
      <w:r w:rsidRPr="007A3995">
        <w:t>This unit contains employability skills.</w:t>
      </w:r>
    </w:p>
    <w:p w:rsidR="00000000" w:rsidRPr="007A3995" w:rsidP="007A3995">
      <w:pPr>
        <w:pStyle w:val="AllowPageBreak"/>
      </w:pPr>
    </w:p>
    <w:p w:rsidR="00000000" w:rsidRPr="007A3995" w:rsidP="007A3995">
      <w:pPr>
        <w:pStyle w:val="Heading1"/>
      </w:pPr>
      <w:bookmarkStart w:id="7" w:name="O_509832"/>
      <w:bookmarkEnd w:id="7"/>
      <w:r w:rsidRPr="007A3995">
        <w:t>Elements and Performance Criteria Pre-Content</w:t>
      </w:r>
    </w:p>
    <w:tbl>
      <w:tblPr>
        <w:tblW w:w="0" w:type="auto"/>
        <w:tblLayout w:type="fixed"/>
        <w:tblCellMar>
          <w:left w:w="62" w:type="dxa"/>
          <w:right w:w="62" w:type="dxa"/>
        </w:tblCellMar>
        <w:tblLook w:val="0000"/>
      </w:tblPr>
      <w:tblGrid>
        <w:gridCol w:w="2838"/>
        <w:gridCol w:w="5842"/>
      </w:tblGrid>
      <w:tr w:rsidTr="007A3995">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7A3995" w:rsidP="007A3995">
            <w:pPr>
              <w:pStyle w:val="BodyText"/>
            </w:pPr>
            <w:r w:rsidRPr="007A3995">
              <w:t xml:space="preserve">Performance criteria describe the required performance needed to demonstrate achievement of the element. Where </w:t>
            </w:r>
            <w:r w:rsidRPr="007A3995">
              <w:rPr>
                <w:rStyle w:val="BoldandItalics"/>
              </w:rPr>
              <w:t>bold italicised</w:t>
            </w:r>
            <w:r w:rsidRPr="007A3995">
              <w:t xml:space="preserve"> text is used, further information is detailed in the required skills and knowledge and/or the range statement. Assessment of perf</w:t>
            </w:r>
            <w:r w:rsidRPr="007A3995">
              <w:t>ormance is to be consistent with the evidence guide.</w:t>
            </w:r>
          </w:p>
        </w:tc>
      </w:tr>
    </w:tbl>
    <w:p w:rsidR="00000000" w:rsidRPr="007A3995" w:rsidP="007A3995">
      <w:pPr>
        <w:pStyle w:val="BodyText"/>
      </w:pPr>
    </w:p>
    <w:p w:rsidR="00000000" w:rsidRPr="007A3995" w:rsidP="007A3995">
      <w:pPr>
        <w:pStyle w:val="AllowPageBreak"/>
      </w:pPr>
    </w:p>
    <w:p w:rsidR="00000000" w:rsidRPr="007A3995" w:rsidP="007A3995">
      <w:pPr>
        <w:pStyle w:val="Heading1"/>
      </w:pPr>
      <w:bookmarkStart w:id="8" w:name="O_509831"/>
      <w:bookmarkEnd w:id="8"/>
      <w:r w:rsidRPr="007A3995">
        <w:t>Elements and Performance Criteria</w:t>
      </w:r>
    </w:p>
    <w:p w:rsidR="00000000" w:rsidRPr="007A3995" w:rsidP="007A3995">
      <w:pPr>
        <w:pStyle w:val="BodyText"/>
      </w:pPr>
    </w:p>
    <w:tbl>
      <w:tblPr>
        <w:tblW w:w="0" w:type="auto"/>
        <w:tblLayout w:type="fixed"/>
        <w:tblCellMar>
          <w:left w:w="62" w:type="dxa"/>
          <w:right w:w="62" w:type="dxa"/>
        </w:tblCellMar>
        <w:tblLook w:val="0000"/>
      </w:tblPr>
      <w:tblGrid>
        <w:gridCol w:w="678"/>
        <w:gridCol w:w="1962"/>
        <w:gridCol w:w="770"/>
        <w:gridCol w:w="5610"/>
      </w:tblGrid>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1</w:t>
            </w:r>
          </w:p>
        </w:tc>
        <w:tc>
          <w:tcPr>
            <w:tcW w:w="1962" w:type="dxa"/>
            <w:vMerge w:val="restart"/>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Prepare the task.</w:t>
            </w:r>
          </w:p>
        </w:tc>
        <w:tc>
          <w:tcPr>
            <w:tcW w:w="77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1.1</w:t>
            </w:r>
          </w:p>
        </w:tc>
        <w:tc>
          <w:tcPr>
            <w:tcW w:w="561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 xml:space="preserve">Personal work environment is organised in line with </w:t>
            </w:r>
            <w:r w:rsidRPr="007A3995">
              <w:rPr>
                <w:rStyle w:val="BoldandItalics"/>
              </w:rPr>
              <w:t>ergonomic requirements</w:t>
            </w:r>
            <w:r w:rsidRPr="007A3995">
              <w:t>.</w:t>
            </w:r>
          </w:p>
        </w:tc>
      </w:tr>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3995" w:rsidP="007A3995">
            <w:pPr>
              <w:pStyle w:val="BodyText"/>
            </w:pPr>
            <w:r w:rsidRPr="007A3995">
              <w:t>1.2</w:t>
            </w:r>
          </w:p>
        </w:tc>
        <w:tc>
          <w:tcPr>
            <w:tcW w:w="561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BoldandItalics"/>
              </w:rPr>
              <w:t>End users</w:t>
            </w:r>
            <w:r w:rsidRPr="007A3995">
              <w:t xml:space="preserve">, </w:t>
            </w:r>
            <w:r w:rsidRPr="007A3995">
              <w:rPr>
                <w:rStyle w:val="BoldandItalics"/>
              </w:rPr>
              <w:t xml:space="preserve">clients </w:t>
            </w:r>
            <w:r w:rsidRPr="007A3995">
              <w:t xml:space="preserve">or colleagues </w:t>
            </w:r>
            <w:r w:rsidRPr="007A3995">
              <w:t>are consulted to clarify mathematical formulas, task requirements and spreadsheet specification requirements, which may involve trigonometrical functions.</w:t>
            </w:r>
          </w:p>
        </w:tc>
      </w:tr>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1.3</w:t>
            </w:r>
          </w:p>
        </w:tc>
        <w:tc>
          <w:tcPr>
            <w:tcW w:w="561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Organisational and task requirements for spatial data entry, storage, output, reporting and pr</w:t>
            </w:r>
            <w:r w:rsidRPr="007A3995">
              <w:t xml:space="preserve">esentation are identified. </w:t>
            </w:r>
          </w:p>
        </w:tc>
      </w:tr>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3995" w:rsidP="007A3995">
            <w:pPr>
              <w:pStyle w:val="BodyText"/>
            </w:pPr>
            <w:r w:rsidRPr="007A3995">
              <w:t>1.4</w:t>
            </w:r>
          </w:p>
        </w:tc>
        <w:tc>
          <w:tcPr>
            <w:tcW w:w="5610" w:type="dxa"/>
            <w:tcBorders>
              <w:top w:val="nil"/>
              <w:left w:val="nil"/>
              <w:bottom w:val="nil"/>
              <w:right w:val="nil"/>
            </w:tcBorders>
            <w:tcMar>
              <w:top w:w="0" w:type="dxa"/>
              <w:left w:w="62" w:type="dxa"/>
              <w:bottom w:w="0" w:type="dxa"/>
              <w:right w:w="62" w:type="dxa"/>
            </w:tcMar>
          </w:tcPr>
          <w:p w:rsidR="00000000" w:rsidRPr="007A3995" w:rsidP="007A3995">
            <w:pPr>
              <w:pStyle w:val="BodyText"/>
            </w:pPr>
            <w:r w:rsidRPr="007A3995">
              <w:rPr>
                <w:rStyle w:val="BoldandItalics"/>
              </w:rPr>
              <w:t>Work organisation strategies</w:t>
            </w:r>
            <w:r w:rsidRPr="007A3995">
              <w:t xml:space="preserve"> and </w:t>
            </w:r>
            <w:r w:rsidRPr="007A3995">
              <w:rPr>
                <w:rStyle w:val="BoldandItalics"/>
              </w:rPr>
              <w:t xml:space="preserve">energy and resource conservation techniques </w:t>
            </w:r>
            <w:r w:rsidRPr="007A3995">
              <w:t>are applied when planning work activities.</w:t>
            </w:r>
          </w:p>
        </w:tc>
      </w:tr>
    </w:tbl>
    <w:p w:rsidR="00000000" w:rsidRPr="007A3995" w:rsidP="007A3995">
      <w:pPr>
        <w:pStyle w:val="BodyText"/>
      </w:pPr>
    </w:p>
    <w:tbl>
      <w:tblPr>
        <w:tblW w:w="0" w:type="auto"/>
        <w:tblLayout w:type="fixed"/>
        <w:tblCellMar>
          <w:left w:w="62" w:type="dxa"/>
          <w:right w:w="62" w:type="dxa"/>
        </w:tblCellMar>
        <w:tblLook w:val="0000"/>
      </w:tblPr>
      <w:tblGrid>
        <w:gridCol w:w="678"/>
        <w:gridCol w:w="1962"/>
        <w:gridCol w:w="770"/>
        <w:gridCol w:w="5610"/>
      </w:tblGrid>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2</w:t>
            </w:r>
          </w:p>
        </w:tc>
        <w:tc>
          <w:tcPr>
            <w:tcW w:w="1962" w:type="dxa"/>
            <w:vMerge w:val="restart"/>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Evaluate and standardise spreadsheet operation.</w:t>
            </w:r>
          </w:p>
        </w:tc>
        <w:tc>
          <w:tcPr>
            <w:tcW w:w="77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2.1</w:t>
            </w:r>
          </w:p>
        </w:tc>
        <w:tc>
          <w:tcPr>
            <w:tcW w:w="561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Tasks are evaluated to identify where automation would increase efficiency.</w:t>
            </w:r>
          </w:p>
        </w:tc>
      </w:tr>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3995" w:rsidP="007A3995">
            <w:pPr>
              <w:pStyle w:val="BodyText"/>
            </w:pPr>
            <w:r w:rsidRPr="007A3995">
              <w:t>2.2</w:t>
            </w:r>
          </w:p>
        </w:tc>
        <w:tc>
          <w:tcPr>
            <w:tcW w:w="5610" w:type="dxa"/>
            <w:tcBorders>
              <w:top w:val="nil"/>
              <w:left w:val="nil"/>
              <w:bottom w:val="nil"/>
              <w:right w:val="nil"/>
            </w:tcBorders>
            <w:tcMar>
              <w:top w:w="0" w:type="dxa"/>
              <w:left w:w="62" w:type="dxa"/>
              <w:bottom w:w="0" w:type="dxa"/>
              <w:right w:w="62" w:type="dxa"/>
            </w:tcMar>
          </w:tcPr>
          <w:p w:rsidR="00000000" w:rsidRPr="007A3995" w:rsidP="007A3995">
            <w:pPr>
              <w:pStyle w:val="BodyText"/>
            </w:pPr>
            <w:r w:rsidRPr="007A3995">
              <w:rPr>
                <w:rStyle w:val="BoldandItalics"/>
              </w:rPr>
              <w:t>Templates</w:t>
            </w:r>
            <w:r w:rsidRPr="007A3995">
              <w:t xml:space="preserve"> are developed and edited to ensure consistency of design and layout for forms and reports according to organisational requirements.</w:t>
            </w:r>
          </w:p>
        </w:tc>
      </w:tr>
    </w:tbl>
    <w:p w:rsidR="00000000" w:rsidRPr="007A3995" w:rsidP="007A3995">
      <w:pPr>
        <w:pStyle w:val="BodyText"/>
      </w:pPr>
    </w:p>
    <w:tbl>
      <w:tblPr>
        <w:tblW w:w="0" w:type="auto"/>
        <w:tblLayout w:type="fixed"/>
        <w:tblCellMar>
          <w:left w:w="62" w:type="dxa"/>
          <w:right w:w="62" w:type="dxa"/>
        </w:tblCellMar>
        <w:tblLook w:val="0000"/>
      </w:tblPr>
      <w:tblGrid>
        <w:gridCol w:w="678"/>
        <w:gridCol w:w="1962"/>
        <w:gridCol w:w="770"/>
        <w:gridCol w:w="5610"/>
      </w:tblGrid>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3</w:t>
            </w:r>
          </w:p>
        </w:tc>
        <w:tc>
          <w:tcPr>
            <w:tcW w:w="1962" w:type="dxa"/>
            <w:vMerge w:val="restart"/>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 xml:space="preserve">Develop a linked worksheet </w:t>
            </w:r>
            <w:r w:rsidRPr="007A3995">
              <w:t>solution.</w:t>
            </w:r>
          </w:p>
        </w:tc>
        <w:tc>
          <w:tcPr>
            <w:tcW w:w="770" w:type="dxa"/>
            <w:tcBorders>
              <w:top w:val="nil"/>
              <w:left w:val="nil"/>
              <w:bottom w:val="nil"/>
              <w:right w:val="nil"/>
            </w:tcBorders>
            <w:tcMar>
              <w:top w:w="0" w:type="dxa"/>
              <w:left w:w="62" w:type="dxa"/>
              <w:bottom w:w="0" w:type="dxa"/>
              <w:right w:w="62" w:type="dxa"/>
            </w:tcMar>
          </w:tcPr>
          <w:p w:rsidR="00000000" w:rsidRPr="007A3995" w:rsidP="007A3995">
            <w:pPr>
              <w:pStyle w:val="BodyText"/>
            </w:pPr>
            <w:r w:rsidRPr="007A3995">
              <w:t>3.1</w:t>
            </w:r>
          </w:p>
        </w:tc>
        <w:tc>
          <w:tcPr>
            <w:tcW w:w="561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BoldandItalics"/>
              </w:rPr>
              <w:t xml:space="preserve">Spreadsheet design </w:t>
            </w:r>
            <w:r w:rsidRPr="007A3995">
              <w:t xml:space="preserve">software </w:t>
            </w:r>
            <w:r w:rsidRPr="007A3995">
              <w:rPr>
                <w:rStyle w:val="BoldandItalics"/>
              </w:rPr>
              <w:t>functions</w:t>
            </w:r>
            <w:r w:rsidRPr="007A3995">
              <w:t xml:space="preserve"> and</w:t>
            </w:r>
            <w:r w:rsidRPr="007A3995">
              <w:rPr>
                <w:rStyle w:val="BoldandItalics"/>
              </w:rPr>
              <w:t xml:space="preserve"> formulas</w:t>
            </w:r>
            <w:r w:rsidRPr="007A3995">
              <w:t xml:space="preserve"> are used to meet identified requirements.</w:t>
            </w:r>
          </w:p>
        </w:tc>
      </w:tr>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3.2</w:t>
            </w:r>
          </w:p>
        </w:tc>
        <w:tc>
          <w:tcPr>
            <w:tcW w:w="561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Worksheets are linked according to software procedures.</w:t>
            </w:r>
          </w:p>
        </w:tc>
      </w:tr>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3.3</w:t>
            </w:r>
          </w:p>
        </w:tc>
        <w:tc>
          <w:tcPr>
            <w:tcW w:w="561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Worksheets are formatted in a manner that incorporates cells and data</w:t>
            </w:r>
            <w:r w:rsidRPr="007A3995">
              <w:t xml:space="preserve"> attributes, as well as angles and </w:t>
            </w:r>
            <w:r w:rsidRPr="007A3995">
              <w:rPr>
                <w:rStyle w:val="BoldandItalics"/>
              </w:rPr>
              <w:t>graphs</w:t>
            </w:r>
            <w:r w:rsidRPr="007A3995">
              <w:t xml:space="preserve"> with labels and titles.</w:t>
            </w:r>
          </w:p>
        </w:tc>
      </w:tr>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3.4</w:t>
            </w:r>
          </w:p>
        </w:tc>
        <w:tc>
          <w:tcPr>
            <w:tcW w:w="5610" w:type="dxa"/>
            <w:tcBorders>
              <w:top w:val="nil"/>
              <w:left w:val="nil"/>
              <w:bottom w:val="nil"/>
              <w:right w:val="nil"/>
            </w:tcBorders>
            <w:tcMar>
              <w:top w:w="0" w:type="dxa"/>
              <w:left w:w="62" w:type="dxa"/>
              <w:bottom w:w="0" w:type="dxa"/>
              <w:right w:w="62" w:type="dxa"/>
            </w:tcMar>
          </w:tcPr>
          <w:p w:rsidR="00000000" w:rsidRPr="007A3995" w:rsidP="007A3995">
            <w:pPr>
              <w:pStyle w:val="BodyText"/>
            </w:pPr>
            <w:r w:rsidRPr="007A3995">
              <w:t>Formulas are tested to confirm that output meets task requirements.</w:t>
            </w:r>
          </w:p>
        </w:tc>
      </w:tr>
    </w:tbl>
    <w:p w:rsidR="00000000" w:rsidRPr="007A3995" w:rsidP="007A3995">
      <w:pPr>
        <w:pStyle w:val="BodyText"/>
      </w:pPr>
    </w:p>
    <w:tbl>
      <w:tblPr>
        <w:tblW w:w="0" w:type="auto"/>
        <w:tblLayout w:type="fixed"/>
        <w:tblCellMar>
          <w:left w:w="62" w:type="dxa"/>
          <w:right w:w="62" w:type="dxa"/>
        </w:tblCellMar>
        <w:tblLook w:val="0000"/>
      </w:tblPr>
      <w:tblGrid>
        <w:gridCol w:w="678"/>
        <w:gridCol w:w="1962"/>
        <w:gridCol w:w="770"/>
        <w:gridCol w:w="5610"/>
      </w:tblGrid>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4</w:t>
            </w:r>
          </w:p>
        </w:tc>
        <w:tc>
          <w:tcPr>
            <w:tcW w:w="1962" w:type="dxa"/>
            <w:vMerge w:val="restart"/>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Use spreadsheets.</w:t>
            </w:r>
          </w:p>
        </w:tc>
        <w:tc>
          <w:tcPr>
            <w:tcW w:w="77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4.1</w:t>
            </w:r>
          </w:p>
        </w:tc>
        <w:tc>
          <w:tcPr>
            <w:tcW w:w="561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Data is entered, checked and amended according to task and organisational requirements.</w:t>
            </w:r>
          </w:p>
        </w:tc>
      </w:tr>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4.2</w:t>
            </w:r>
          </w:p>
        </w:tc>
        <w:tc>
          <w:tcPr>
            <w:tcW w:w="561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Data is imported and exported between compatible spreadsheets and host documents are adjusted according to software and systems procedures.</w:t>
            </w:r>
          </w:p>
        </w:tc>
      </w:tr>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4.3</w:t>
            </w:r>
          </w:p>
        </w:tc>
        <w:tc>
          <w:tcPr>
            <w:tcW w:w="561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Manuals, user documentation and online help are used to overcome problems with spreadsheet design and production.</w:t>
            </w:r>
          </w:p>
        </w:tc>
      </w:tr>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4.4</w:t>
            </w:r>
          </w:p>
        </w:tc>
        <w:tc>
          <w:tcPr>
            <w:tcW w:w="561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Spreadsheets are previewed, adjusted and printed according to organisational and task requirements.</w:t>
            </w:r>
          </w:p>
        </w:tc>
      </w:tr>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3995" w:rsidP="007A3995">
            <w:pPr>
              <w:pStyle w:val="BodyText"/>
            </w:pPr>
            <w:r w:rsidRPr="007A3995">
              <w:t>4.5</w:t>
            </w:r>
          </w:p>
        </w:tc>
        <w:tc>
          <w:tcPr>
            <w:tcW w:w="561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BoldandItalics"/>
              </w:rPr>
              <w:t>Spreadsheets are named and stored</w:t>
            </w:r>
            <w:r w:rsidRPr="007A3995">
              <w:t xml:space="preserve"> according to organisational requirements and the application is exited without data loss or damage.</w:t>
            </w:r>
          </w:p>
        </w:tc>
      </w:tr>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4.6</w:t>
            </w:r>
          </w:p>
        </w:tc>
        <w:tc>
          <w:tcPr>
            <w:tcW w:w="561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Completed spreadsheet is protected to prevent accidental corruption.</w:t>
            </w:r>
          </w:p>
        </w:tc>
      </w:tr>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4.7</w:t>
            </w:r>
          </w:p>
        </w:tc>
        <w:tc>
          <w:tcPr>
            <w:tcW w:w="5610" w:type="dxa"/>
            <w:tcBorders>
              <w:top w:val="nil"/>
              <w:left w:val="nil"/>
              <w:bottom w:val="nil"/>
              <w:right w:val="nil"/>
            </w:tcBorders>
            <w:tcMar>
              <w:top w:w="0" w:type="dxa"/>
              <w:left w:w="62" w:type="dxa"/>
              <w:bottom w:w="0" w:type="dxa"/>
              <w:right w:w="62" w:type="dxa"/>
            </w:tcMar>
          </w:tcPr>
          <w:p w:rsidR="00000000" w:rsidRPr="007A3995" w:rsidP="007A3995">
            <w:pPr>
              <w:pStyle w:val="BodyText"/>
            </w:pPr>
            <w:r w:rsidRPr="007A3995">
              <w:t xml:space="preserve">Graphs are saved, viewed and printed. </w:t>
            </w:r>
          </w:p>
        </w:tc>
      </w:tr>
    </w:tbl>
    <w:p w:rsidR="00000000" w:rsidRPr="007A3995" w:rsidP="007A3995">
      <w:pPr>
        <w:pStyle w:val="BodyText"/>
      </w:pPr>
    </w:p>
    <w:tbl>
      <w:tblPr>
        <w:tblW w:w="0" w:type="auto"/>
        <w:tblLayout w:type="fixed"/>
        <w:tblCellMar>
          <w:left w:w="62" w:type="dxa"/>
          <w:right w:w="62" w:type="dxa"/>
        </w:tblCellMar>
        <w:tblLook w:val="0000"/>
      </w:tblPr>
      <w:tblGrid>
        <w:gridCol w:w="678"/>
        <w:gridCol w:w="1962"/>
        <w:gridCol w:w="770"/>
        <w:gridCol w:w="5610"/>
      </w:tblGrid>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5</w:t>
            </w:r>
          </w:p>
        </w:tc>
        <w:tc>
          <w:tcPr>
            <w:tcW w:w="1962" w:type="dxa"/>
            <w:vMerge w:val="restart"/>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Finalise the task.</w:t>
            </w:r>
          </w:p>
        </w:tc>
        <w:tc>
          <w:tcPr>
            <w:tcW w:w="77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5.1</w:t>
            </w:r>
          </w:p>
        </w:tc>
        <w:tc>
          <w:tcPr>
            <w:tcW w:w="561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Completed spreadsheets are archived according to project specifications.</w:t>
            </w:r>
          </w:p>
        </w:tc>
      </w:tr>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5.2</w:t>
            </w:r>
          </w:p>
        </w:tc>
        <w:tc>
          <w:tcPr>
            <w:tcW w:w="561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Required documentation is completed according to organisational guidelines.</w:t>
            </w:r>
          </w:p>
        </w:tc>
      </w:tr>
      <w:tr w:rsidTr="007A39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5.3</w:t>
            </w:r>
          </w:p>
        </w:tc>
        <w:tc>
          <w:tcPr>
            <w:tcW w:w="5610" w:type="dxa"/>
            <w:tcBorders>
              <w:top w:val="nil"/>
              <w:left w:val="nil"/>
              <w:bottom w:val="nil"/>
              <w:right w:val="nil"/>
            </w:tcBorders>
            <w:tcMar>
              <w:top w:w="0" w:type="dxa"/>
              <w:left w:w="62" w:type="dxa"/>
              <w:bottom w:w="0" w:type="dxa"/>
              <w:right w:w="62" w:type="dxa"/>
            </w:tcMar>
          </w:tcPr>
          <w:p w:rsidR="00000000" w:rsidRPr="007A3995" w:rsidP="007A3995">
            <w:pPr>
              <w:pStyle w:val="BodyText"/>
            </w:pPr>
            <w:r w:rsidRPr="007A3995">
              <w:t>Relevant personnel are informed of the results according to organisational guidelines.</w:t>
            </w:r>
          </w:p>
        </w:tc>
      </w:tr>
    </w:tbl>
    <w:p w:rsidR="000961A8" w:rsidP="007A3995">
      <w:pPr>
        <w:pStyle w:val="BodyText"/>
      </w:pPr>
    </w:p>
    <w:p w:rsidR="000961A8" w:rsidP="007A3995">
      <w:pPr>
        <w:pStyle w:val="BodyText"/>
      </w:pPr>
    </w:p>
    <w:p w:rsidR="00000000" w:rsidRPr="007A3995" w:rsidP="007A3995">
      <w:pPr>
        <w:pStyle w:val="Heading1"/>
      </w:pPr>
      <w:bookmarkStart w:id="9" w:name="O_509839"/>
      <w:bookmarkEnd w:id="9"/>
      <w:r w:rsidRPr="007A3995">
        <w:t>Required Skills and Knowledge</w:t>
      </w:r>
    </w:p>
    <w:tbl>
      <w:tblPr>
        <w:tblW w:w="0" w:type="auto"/>
        <w:tblLayout w:type="fixed"/>
        <w:tblCellMar>
          <w:left w:w="62" w:type="dxa"/>
          <w:right w:w="62" w:type="dxa"/>
        </w:tblCellMar>
        <w:tblLook w:val="0000"/>
      </w:tblPr>
      <w:tblGrid>
        <w:gridCol w:w="9135"/>
      </w:tblGrid>
      <w:tr w:rsidTr="007A3995">
        <w:tblPrEx>
          <w:tblW w:w="0" w:type="auto"/>
          <w:tblLayout w:type="fixed"/>
          <w:tblCellMar>
            <w:left w:w="62" w:type="dxa"/>
            <w:right w:w="62" w:type="dxa"/>
          </w:tblCellMar>
          <w:tblLook w:val="0000"/>
        </w:tblPrEx>
        <w:tc>
          <w:tcPr>
            <w:tcW w:w="9135"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This section describes the essential skills and knowledge and their level, required for this unit.</w:t>
            </w:r>
          </w:p>
        </w:tc>
      </w:tr>
      <w:tr w:rsidTr="007A3995">
        <w:tblPrEx>
          <w:tblW w:w="0" w:type="auto"/>
          <w:tblLayout w:type="fixed"/>
          <w:tblCellMar>
            <w:left w:w="62" w:type="dxa"/>
            <w:right w:w="62" w:type="dxa"/>
          </w:tblCellMar>
          <w:tblLook w:val="0000"/>
        </w:tblPrEx>
        <w:trPr>
          <w:trHeight w:val="12066"/>
        </w:trPr>
        <w:tc>
          <w:tcPr>
            <w:tcW w:w="9135" w:type="dxa"/>
            <w:tcBorders>
              <w:top w:val="nil"/>
              <w:left w:val="nil"/>
              <w:bottom w:val="nil"/>
              <w:right w:val="nil"/>
            </w:tcBorders>
            <w:tcMar>
              <w:top w:w="0" w:type="dxa"/>
              <w:left w:w="62" w:type="dxa"/>
              <w:bottom w:w="0" w:type="dxa"/>
              <w:right w:w="62" w:type="dxa"/>
            </w:tcMar>
          </w:tcPr>
          <w:p w:rsidR="00000000" w:rsidRPr="007A3995" w:rsidP="007A3995">
            <w:pPr>
              <w:pStyle w:val="BodyText"/>
            </w:pPr>
            <w:r w:rsidRPr="007A3995">
              <w:rPr>
                <w:rStyle w:val="SpecialBold"/>
              </w:rPr>
              <w:t>Required skills</w:t>
            </w:r>
          </w:p>
          <w:p w:rsidR="00000000" w:rsidRPr="007A3995" w:rsidP="007A3995">
            <w:pPr>
              <w:pStyle w:val="ListBullet"/>
            </w:pPr>
            <w:r w:rsidRPr="007A3995">
              <w:t>co</w:t>
            </w:r>
            <w:r w:rsidRPr="007A3995">
              <w:t>mmunication skills to:</w:t>
            </w:r>
          </w:p>
          <w:p w:rsidR="00000000" w:rsidRPr="007A3995" w:rsidP="007A3995">
            <w:pPr>
              <w:pStyle w:val="ListBullet2"/>
            </w:pPr>
            <w:r w:rsidRPr="007A3995">
              <w:t>consult effectively with relevant personnel</w:t>
            </w:r>
          </w:p>
          <w:p w:rsidR="00000000" w:rsidRPr="007A3995" w:rsidP="007A3995">
            <w:pPr>
              <w:pStyle w:val="ListBullet2"/>
            </w:pPr>
            <w:r w:rsidRPr="007A3995">
              <w:t>impart knowledge and ideas through oral, written and visual means</w:t>
            </w:r>
          </w:p>
          <w:p w:rsidR="00000000" w:rsidRPr="007A3995" w:rsidP="007A3995">
            <w:pPr>
              <w:pStyle w:val="ListBullet"/>
            </w:pPr>
            <w:r w:rsidRPr="007A3995">
              <w:t>initiative and enterprise skills to:</w:t>
            </w:r>
          </w:p>
          <w:p w:rsidR="00000000" w:rsidRPr="007A3995" w:rsidP="007A3995">
            <w:pPr>
              <w:pStyle w:val="ListBullet2"/>
            </w:pPr>
            <w:r w:rsidRPr="007A3995">
              <w:t>apply logic to interpret and analyse spatial tasks</w:t>
            </w:r>
          </w:p>
          <w:p w:rsidR="00000000" w:rsidRPr="007A3995" w:rsidP="007A3995">
            <w:pPr>
              <w:pStyle w:val="ListBullet2"/>
            </w:pPr>
            <w:r w:rsidRPr="007A3995">
              <w:t>interpret project requirements</w:t>
            </w:r>
          </w:p>
          <w:p w:rsidR="00000000" w:rsidRPr="007A3995" w:rsidP="007A3995">
            <w:pPr>
              <w:pStyle w:val="ListBullet"/>
            </w:pPr>
            <w:r w:rsidRPr="007A3995">
              <w:t>literacy skills to:</w:t>
            </w:r>
          </w:p>
          <w:p w:rsidR="00000000" w:rsidRPr="007A3995" w:rsidP="007A3995">
            <w:pPr>
              <w:pStyle w:val="ListBullet2"/>
            </w:pPr>
            <w:r w:rsidRPr="007A3995">
              <w:t>evaluate the purposes and uses of various features of spreadsheets</w:t>
            </w:r>
          </w:p>
          <w:p w:rsidR="00000000" w:rsidRPr="007A3995" w:rsidP="007A3995">
            <w:pPr>
              <w:pStyle w:val="ListBullet2"/>
            </w:pPr>
            <w:r w:rsidRPr="007A3995">
              <w:t>use a variety of strategies for planning and reviewing own work</w:t>
            </w:r>
          </w:p>
          <w:p w:rsidR="00000000" w:rsidRPr="007A3995" w:rsidP="007A3995">
            <w:pPr>
              <w:pStyle w:val="ListBullet"/>
            </w:pPr>
            <w:r w:rsidRPr="007A3995">
              <w:t>numeracy skills to:</w:t>
            </w:r>
          </w:p>
          <w:p w:rsidR="00000000" w:rsidRPr="007A3995" w:rsidP="007A3995">
            <w:pPr>
              <w:pStyle w:val="ListBullet2"/>
            </w:pPr>
            <w:r w:rsidRPr="007A3995">
              <w:t>apply trigonometrical functions when using spreadsheets</w:t>
            </w:r>
          </w:p>
          <w:p w:rsidR="00000000" w:rsidRPr="007A3995" w:rsidP="007A3995">
            <w:pPr>
              <w:pStyle w:val="ListBullet2"/>
            </w:pPr>
            <w:r w:rsidRPr="007A3995">
              <w:t xml:space="preserve">collate and present data, </w:t>
            </w:r>
            <w:r w:rsidRPr="007A3995">
              <w:t>graphs and related references</w:t>
            </w:r>
          </w:p>
          <w:p w:rsidR="00000000" w:rsidRPr="007A3995" w:rsidP="007A3995">
            <w:pPr>
              <w:pStyle w:val="ListBullet2"/>
            </w:pPr>
            <w:r w:rsidRPr="007A3995">
              <w:t>solve spatial and surveying computations</w:t>
            </w:r>
          </w:p>
          <w:p w:rsidR="00000000" w:rsidRPr="007A3995" w:rsidP="007A3995">
            <w:pPr>
              <w:pStyle w:val="ListBullet"/>
            </w:pPr>
            <w:r w:rsidRPr="007A3995">
              <w:t>planning and organising skills to:</w:t>
            </w:r>
          </w:p>
          <w:p w:rsidR="00000000" w:rsidRPr="007A3995" w:rsidP="007A3995">
            <w:pPr>
              <w:pStyle w:val="ListBullet2"/>
            </w:pPr>
            <w:r w:rsidRPr="007A3995">
              <w:t>plan and prioritise activities to meet contractual requirements</w:t>
            </w:r>
          </w:p>
          <w:p w:rsidR="00000000" w:rsidRPr="007A3995" w:rsidP="007A3995">
            <w:pPr>
              <w:pStyle w:val="ListBullet2"/>
            </w:pPr>
            <w:r w:rsidRPr="007A3995">
              <w:t>conduct project activity</w:t>
            </w:r>
          </w:p>
          <w:p w:rsidR="00000000" w:rsidRPr="007A3995" w:rsidP="007A3995">
            <w:pPr>
              <w:pStyle w:val="ListBullet2"/>
            </w:pPr>
            <w:r w:rsidRPr="007A3995">
              <w:t>manage information</w:t>
            </w:r>
          </w:p>
          <w:p w:rsidR="00000000" w:rsidRPr="007A3995" w:rsidP="007A3995">
            <w:pPr>
              <w:pStyle w:val="ListBullet"/>
            </w:pPr>
            <w:r w:rsidRPr="007A3995">
              <w:t xml:space="preserve">proofreading and editing skills to check for accuracy and consistency of information, consulting additional resources where required </w:t>
            </w:r>
          </w:p>
          <w:p w:rsidR="00000000" w:rsidRPr="007A3995" w:rsidP="007A3995">
            <w:pPr>
              <w:pStyle w:val="ListBullet"/>
            </w:pPr>
            <w:r w:rsidRPr="007A3995">
              <w:t>technology skills to use computers for spreadsheet operations</w:t>
            </w:r>
          </w:p>
          <w:p w:rsidR="00000000" w:rsidRPr="007A3995" w:rsidP="007A3995">
            <w:pPr>
              <w:pStyle w:val="BodyText"/>
            </w:pPr>
          </w:p>
          <w:p w:rsidR="00000000" w:rsidRPr="007A3995" w:rsidP="007A3995">
            <w:pPr>
              <w:pStyle w:val="BodyText"/>
            </w:pPr>
            <w:r w:rsidRPr="007A3995">
              <w:rPr>
                <w:rStyle w:val="SpecialBold"/>
              </w:rPr>
              <w:t>Required knowledge</w:t>
            </w:r>
          </w:p>
          <w:p w:rsidR="00000000" w:rsidRPr="007A3995" w:rsidP="007A3995">
            <w:pPr>
              <w:pStyle w:val="ListBullet"/>
            </w:pPr>
            <w:r w:rsidRPr="007A3995">
              <w:t>advanced functions of spreadsheet softw</w:t>
            </w:r>
            <w:r w:rsidRPr="007A3995">
              <w:t xml:space="preserve">are applications </w:t>
            </w:r>
          </w:p>
          <w:p w:rsidR="00000000" w:rsidRPr="007A3995" w:rsidP="007A3995">
            <w:pPr>
              <w:pStyle w:val="ListBullet"/>
            </w:pPr>
            <w:r w:rsidRPr="007A3995">
              <w:t>display principles, including:</w:t>
            </w:r>
          </w:p>
          <w:p w:rsidR="00000000" w:rsidRPr="007A3995" w:rsidP="007A3995">
            <w:pPr>
              <w:pStyle w:val="ListBullet2"/>
            </w:pPr>
            <w:r w:rsidRPr="007A3995">
              <w:t>colour</w:t>
            </w:r>
          </w:p>
          <w:p w:rsidR="00000000" w:rsidRPr="007A3995" w:rsidP="007A3995">
            <w:pPr>
              <w:pStyle w:val="ListBullet2"/>
            </w:pPr>
            <w:r w:rsidRPr="007A3995">
              <w:t>composition</w:t>
            </w:r>
          </w:p>
          <w:p w:rsidR="00000000" w:rsidRPr="007A3995" w:rsidP="007A3995">
            <w:pPr>
              <w:pStyle w:val="ListBullet2"/>
            </w:pPr>
            <w:r w:rsidRPr="007A3995">
              <w:t>font type</w:t>
            </w:r>
          </w:p>
          <w:p w:rsidR="00000000" w:rsidRPr="007A3995" w:rsidP="007A3995">
            <w:pPr>
              <w:pStyle w:val="ListBullet2"/>
            </w:pPr>
            <w:r w:rsidRPr="007A3995">
              <w:t>legends</w:t>
            </w:r>
          </w:p>
          <w:p w:rsidR="00000000" w:rsidRPr="007A3995" w:rsidP="007A3995">
            <w:pPr>
              <w:pStyle w:val="ListBullet2"/>
            </w:pPr>
            <w:r w:rsidRPr="007A3995">
              <w:t>media</w:t>
            </w:r>
          </w:p>
          <w:p w:rsidR="00000000" w:rsidRPr="007A3995" w:rsidP="007A3995">
            <w:pPr>
              <w:pStyle w:val="ListBullet2"/>
            </w:pPr>
            <w:r w:rsidRPr="007A3995">
              <w:t>scale</w:t>
            </w:r>
          </w:p>
          <w:p w:rsidR="00000000" w:rsidRPr="007A3995" w:rsidP="007A3995">
            <w:pPr>
              <w:pStyle w:val="ListBullet2"/>
            </w:pPr>
            <w:r w:rsidRPr="007A3995">
              <w:t>size</w:t>
            </w:r>
          </w:p>
          <w:p w:rsidR="00000000" w:rsidRPr="007A3995" w:rsidP="007A3995">
            <w:pPr>
              <w:pStyle w:val="ListBullet2"/>
            </w:pPr>
            <w:r w:rsidRPr="007A3995">
              <w:t>text and line style</w:t>
            </w:r>
          </w:p>
          <w:p w:rsidR="00000000" w:rsidRPr="007A3995" w:rsidP="007A3995">
            <w:pPr>
              <w:pStyle w:val="ListBullet"/>
            </w:pPr>
            <w:r w:rsidRPr="007A3995">
              <w:t xml:space="preserve">database structures, including the relationship of spatial features of database </w:t>
            </w:r>
          </w:p>
          <w:p w:rsidR="00000000" w:rsidRPr="007A3995" w:rsidP="007A3995">
            <w:pPr>
              <w:pStyle w:val="ListBullet"/>
            </w:pPr>
            <w:r w:rsidRPr="007A3995">
              <w:t xml:space="preserve">formatting and design of spreadsheets and their impact on the presentation and readability of data </w:t>
            </w:r>
          </w:p>
          <w:p w:rsidR="00000000" w:rsidRPr="007A3995" w:rsidP="007A3995">
            <w:pPr>
              <w:pStyle w:val="ListBullet"/>
            </w:pPr>
            <w:r w:rsidRPr="007A3995">
              <w:t>surveying and spatial information services (SSIS) reference systems</w:t>
            </w:r>
          </w:p>
        </w:tc>
      </w:tr>
    </w:tbl>
    <w:p w:rsidR="00000000" w:rsidRPr="007A3995" w:rsidP="007A3995">
      <w:pPr>
        <w:pStyle w:val="BodyText"/>
      </w:pPr>
    </w:p>
    <w:p w:rsidR="00000000" w:rsidRPr="007A3995" w:rsidP="007A3995">
      <w:pPr>
        <w:pStyle w:val="AllowPageBreak"/>
      </w:pPr>
    </w:p>
    <w:p w:rsidR="00000000" w:rsidRPr="007A3995" w:rsidP="007A3995">
      <w:pPr>
        <w:pStyle w:val="Heading1"/>
      </w:pPr>
      <w:bookmarkStart w:id="10" w:name="O_509834"/>
      <w:bookmarkEnd w:id="10"/>
      <w:r w:rsidRPr="007A3995">
        <w:t>Evidence Guide</w:t>
      </w:r>
    </w:p>
    <w:tbl>
      <w:tblPr>
        <w:tblW w:w="0" w:type="auto"/>
        <w:tblLayout w:type="fixed"/>
        <w:tblCellMar>
          <w:left w:w="62" w:type="dxa"/>
          <w:right w:w="62" w:type="dxa"/>
        </w:tblCellMar>
        <w:tblLook w:val="0000"/>
      </w:tblPr>
      <w:tblGrid>
        <w:gridCol w:w="2552"/>
        <w:gridCol w:w="6582"/>
      </w:tblGrid>
      <w:tr w:rsidTr="007A3995">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 xml:space="preserve">The evidence guide provides </w:t>
            </w:r>
            <w:r w:rsidRPr="007A3995">
              <w:t>advice on assessment and must be read in conjunction with the performance criteria, required skills and knowledge, the range statement and the Assessment Guidelines for this Training Package.</w:t>
            </w:r>
          </w:p>
        </w:tc>
      </w:tr>
      <w:tr w:rsidTr="007A3995">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SpecialBold"/>
              </w:rPr>
              <w:t>Overview of assessment</w:t>
            </w:r>
          </w:p>
        </w:tc>
        <w:tc>
          <w:tcPr>
            <w:tcW w:w="6582"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This unit of competency could be assess</w:t>
            </w:r>
            <w:r w:rsidRPr="007A3995">
              <w:t>ed on its own or in combination with other units relevant to the job function.</w:t>
            </w:r>
          </w:p>
        </w:tc>
      </w:tr>
      <w:tr w:rsidTr="007A3995">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SpecialBold"/>
              </w:rPr>
              <w:t>Critical aspects for assessment and evidence required to demonstrate competency in this unit</w:t>
            </w:r>
          </w:p>
        </w:tc>
        <w:tc>
          <w:tcPr>
            <w:tcW w:w="6582" w:type="dxa"/>
            <w:tcBorders>
              <w:top w:val="nil"/>
              <w:left w:val="nil"/>
              <w:bottom w:val="nil"/>
              <w:right w:val="nil"/>
            </w:tcBorders>
            <w:tcMar>
              <w:top w:w="0" w:type="dxa"/>
              <w:left w:w="62" w:type="dxa"/>
              <w:bottom w:w="0" w:type="dxa"/>
              <w:right w:w="62" w:type="dxa"/>
            </w:tcMar>
          </w:tcPr>
          <w:p w:rsidR="00000000" w:rsidRPr="007A3995" w:rsidP="007A3995">
            <w:pPr>
              <w:pStyle w:val="BodyText"/>
            </w:pPr>
            <w:r w:rsidRPr="007A3995">
              <w:t xml:space="preserve">A person who demonstrates competency in this unit must be able to provide evidence </w:t>
            </w:r>
            <w:r w:rsidRPr="007A3995">
              <w:t>of:</w:t>
            </w:r>
          </w:p>
          <w:p w:rsidR="00000000" w:rsidRPr="007A3995" w:rsidP="007A3995">
            <w:pPr>
              <w:pStyle w:val="ListBullet"/>
            </w:pPr>
            <w:r w:rsidRPr="007A3995">
              <w:t>developing spreadsheets using complex mathematical formulas involving trigonometrical functions</w:t>
            </w:r>
          </w:p>
          <w:p w:rsidR="00000000" w:rsidRPr="007A3995" w:rsidP="007A3995">
            <w:pPr>
              <w:pStyle w:val="ListBullet"/>
            </w:pPr>
            <w:r w:rsidRPr="007A3995">
              <w:t>developing graphical representation of data contained in spreadsheets</w:t>
            </w:r>
          </w:p>
          <w:p w:rsidR="00000000" w:rsidP="007A3995">
            <w:pPr>
              <w:pStyle w:val="ListBullet"/>
              <w:rPr>
                <w:lang w:val="en-NZ"/>
              </w:rPr>
            </w:pPr>
            <w:r w:rsidRPr="007A3995">
              <w:t>knowledge of spreadsheet software application.</w:t>
            </w:r>
          </w:p>
        </w:tc>
      </w:tr>
      <w:tr w:rsidTr="007A3995">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SpecialBold"/>
              </w:rPr>
              <w:t>Specific resources for assessment</w:t>
            </w:r>
          </w:p>
        </w:tc>
        <w:tc>
          <w:tcPr>
            <w:tcW w:w="6582" w:type="dxa"/>
            <w:tcBorders>
              <w:top w:val="nil"/>
              <w:left w:val="nil"/>
              <w:bottom w:val="nil"/>
              <w:right w:val="nil"/>
            </w:tcBorders>
            <w:tcMar>
              <w:top w:w="0" w:type="dxa"/>
              <w:left w:w="62" w:type="dxa"/>
              <w:bottom w:w="0" w:type="dxa"/>
              <w:right w:w="62" w:type="dxa"/>
            </w:tcMar>
          </w:tcPr>
          <w:p w:rsidR="00000000" w:rsidRPr="007A3995" w:rsidP="007A3995">
            <w:pPr>
              <w:pStyle w:val="BodyText"/>
            </w:pPr>
            <w:r w:rsidRPr="007A3995">
              <w:t>Resource implications for assessment include access to:</w:t>
            </w:r>
          </w:p>
          <w:p w:rsidR="00000000" w:rsidRPr="007A3995" w:rsidP="007A3995">
            <w:pPr>
              <w:pStyle w:val="ListBullet"/>
            </w:pPr>
            <w:r w:rsidRPr="007A3995">
              <w:t>assessment instruments, including personal planner and assessment record book</w:t>
            </w:r>
          </w:p>
          <w:p w:rsidR="00000000" w:rsidRPr="007A3995" w:rsidP="007A3995">
            <w:pPr>
              <w:pStyle w:val="ListBullet"/>
            </w:pPr>
            <w:r w:rsidRPr="007A3995">
              <w:t>assignment instructions, work plans and schedules, policy documents and duty statements</w:t>
            </w:r>
          </w:p>
          <w:p w:rsidR="00000000" w:rsidRPr="007A3995" w:rsidP="007A3995">
            <w:pPr>
              <w:pStyle w:val="ListBullet"/>
            </w:pPr>
            <w:r w:rsidRPr="007A3995">
              <w:t>registered training provider of a</w:t>
            </w:r>
            <w:r w:rsidRPr="007A3995">
              <w:t>ssessment services</w:t>
            </w:r>
          </w:p>
          <w:p w:rsidR="00000000" w:rsidRPr="007A3995" w:rsidP="007A3995">
            <w:pPr>
              <w:pStyle w:val="ListBullet"/>
            </w:pPr>
            <w:r w:rsidRPr="007A3995">
              <w:t>relevant GIS data</w:t>
            </w:r>
          </w:p>
          <w:p w:rsidR="00000000" w:rsidRPr="007A3995" w:rsidP="007A3995">
            <w:pPr>
              <w:pStyle w:val="ListBullet"/>
            </w:pPr>
            <w:r w:rsidRPr="007A3995">
              <w:t>relevant guidelines, regulations and codes of practice</w:t>
            </w:r>
          </w:p>
          <w:p w:rsidR="00000000" w:rsidRPr="007A3995" w:rsidP="007A3995">
            <w:pPr>
              <w:pStyle w:val="ListBullet"/>
            </w:pPr>
            <w:r w:rsidRPr="007A3995">
              <w:t>suitable venue and equipment.</w:t>
            </w:r>
          </w:p>
          <w:p w:rsidR="00000000" w:rsidRPr="007A3995" w:rsidP="007A3995">
            <w:pPr>
              <w:pStyle w:val="BodyText"/>
            </w:pPr>
            <w:r w:rsidRPr="007A3995">
              <w:t>Access must be provided to appropriate learning and assessment support when required.</w:t>
            </w:r>
          </w:p>
          <w:p w:rsidR="00000000" w:rsidP="007A3995">
            <w:pPr>
              <w:pStyle w:val="BodyText"/>
              <w:rPr>
                <w:lang w:val="en-NZ"/>
              </w:rPr>
            </w:pPr>
            <w:r w:rsidRPr="007A3995">
              <w:t>Where applicable, physical resources should incl</w:t>
            </w:r>
            <w:r w:rsidRPr="007A3995">
              <w:t>ude equipment modified for people with disabilities.</w:t>
            </w:r>
          </w:p>
        </w:tc>
      </w:tr>
      <w:tr w:rsidTr="007A3995">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SpecialBold"/>
              </w:rPr>
              <w:t>Context of assessment</w:t>
            </w:r>
          </w:p>
        </w:tc>
        <w:tc>
          <w:tcPr>
            <w:tcW w:w="6582"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Holistic: based on the performance criteria, evidence guide, range statement, and required skills and knowledge.</w:t>
            </w:r>
          </w:p>
        </w:tc>
      </w:tr>
      <w:tr w:rsidTr="007A3995">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SpecialBold"/>
              </w:rPr>
              <w:t>Method of assessment</w:t>
            </w:r>
          </w:p>
        </w:tc>
        <w:tc>
          <w:tcPr>
            <w:tcW w:w="6582" w:type="dxa"/>
            <w:tcBorders>
              <w:top w:val="nil"/>
              <w:left w:val="nil"/>
              <w:bottom w:val="nil"/>
              <w:right w:val="nil"/>
            </w:tcBorders>
            <w:tcMar>
              <w:top w:w="0" w:type="dxa"/>
              <w:left w:w="62" w:type="dxa"/>
              <w:bottom w:w="0" w:type="dxa"/>
              <w:right w:w="62" w:type="dxa"/>
            </w:tcMar>
          </w:tcPr>
          <w:p w:rsidR="00000000" w:rsidRPr="007A3995" w:rsidP="007A3995">
            <w:pPr>
              <w:pStyle w:val="BodyText"/>
            </w:pPr>
            <w:r w:rsidRPr="007A3995">
              <w:t>Demonstrated over a period of time and observed by the assessor (or assessment team working together to conduct the assessment).</w:t>
            </w:r>
          </w:p>
          <w:p w:rsidR="00000000" w:rsidRPr="007A3995" w:rsidP="007A3995">
            <w:pPr>
              <w:pStyle w:val="BodyText"/>
            </w:pPr>
            <w:r w:rsidRPr="007A3995">
              <w:t>Demonstrated competency in a range of situations, which may include customer/workplace interruptions and involvement in related</w:t>
            </w:r>
            <w:r w:rsidRPr="007A3995">
              <w:t xml:space="preserve"> activities normally experienced in the workplace.</w:t>
            </w:r>
          </w:p>
          <w:p w:rsidR="00000000" w:rsidP="007A3995">
            <w:pPr>
              <w:pStyle w:val="BodyText"/>
              <w:rPr>
                <w:lang w:val="en-NZ"/>
              </w:rPr>
            </w:pPr>
            <w:r w:rsidRPr="007A3995">
              <w:t>Obtained by observing activities in the field and reviewing induction information. If this is not practicable, observation in realistic simulated environments may be substituted.</w:t>
            </w:r>
          </w:p>
        </w:tc>
      </w:tr>
      <w:tr w:rsidTr="007A3995">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SpecialBold"/>
              </w:rPr>
              <w:t xml:space="preserve">Guidance information for </w:t>
            </w:r>
            <w:r w:rsidRPr="007A3995">
              <w:rPr>
                <w:rStyle w:val="SpecialBold"/>
              </w:rPr>
              <w:t>assessment</w:t>
            </w:r>
          </w:p>
        </w:tc>
        <w:tc>
          <w:tcPr>
            <w:tcW w:w="6582" w:type="dxa"/>
            <w:tcBorders>
              <w:top w:val="nil"/>
              <w:left w:val="nil"/>
              <w:bottom w:val="nil"/>
              <w:right w:val="nil"/>
            </w:tcBorders>
            <w:tcMar>
              <w:top w:w="0" w:type="dxa"/>
              <w:left w:w="62" w:type="dxa"/>
              <w:bottom w:w="0" w:type="dxa"/>
              <w:right w:w="62" w:type="dxa"/>
            </w:tcMar>
          </w:tcPr>
          <w:p w:rsidR="00000000" w:rsidRPr="007A3995" w:rsidP="007A3995">
            <w:pPr>
              <w:pStyle w:val="BodyText"/>
            </w:pPr>
            <w:r w:rsidRPr="007A3995">
              <w:t>Assessment requires that the clients’ objectives and industry expectations are met. If the clients’ objectives are narrowly defined or not representative of industry needs, it may be necessary to refer to portfolio case studies of a variety of S</w:t>
            </w:r>
            <w:r w:rsidRPr="007A3995">
              <w:t>IS requirements to assess competency.</w:t>
            </w:r>
          </w:p>
          <w:p w:rsidR="00000000" w:rsidRPr="007A3995" w:rsidP="007A3995">
            <w:pPr>
              <w:pStyle w:val="BodyText"/>
            </w:pPr>
            <w:r w:rsidRPr="007A3995">
              <w:t>Oral questioning or written assessment and hypothetical situations (scenarios) may be used to assess underpinning knowledge (in assessment situations where the candidate is offered a preference between oral questioning</w:t>
            </w:r>
            <w:r w:rsidRPr="007A3995">
              <w:t xml:space="preserve"> or written assessment, questions are to be identical).</w:t>
            </w:r>
          </w:p>
          <w:p w:rsidR="00000000" w:rsidRPr="007A3995" w:rsidP="007A3995">
            <w:pPr>
              <w:pStyle w:val="BodyText"/>
            </w:pPr>
            <w:r w:rsidRPr="007A3995">
              <w:t>Supplementary evidence may be obtained from relevant authenticated correspondence from existing supervisors, team leaders or specialist training staff.</w:t>
            </w:r>
          </w:p>
          <w:p w:rsidR="00000000" w:rsidRPr="007A3995" w:rsidP="007A3995">
            <w:pPr>
              <w:pStyle w:val="BodyText"/>
            </w:pPr>
            <w:r w:rsidRPr="007A3995">
              <w:t>All practical demonstration must adhere to the s</w:t>
            </w:r>
            <w:r w:rsidRPr="007A3995">
              <w:t>afety and environmental regulations relevant to each State or Territory.</w:t>
            </w:r>
          </w:p>
        </w:tc>
      </w:tr>
    </w:tbl>
    <w:p w:rsidR="000961A8" w:rsidP="007A3995">
      <w:pPr>
        <w:pStyle w:val="BodyText"/>
      </w:pPr>
    </w:p>
    <w:p w:rsidR="000961A8" w:rsidP="007A3995">
      <w:pPr>
        <w:pStyle w:val="BodyText"/>
      </w:pPr>
    </w:p>
    <w:p w:rsidR="00000000" w:rsidRPr="007A3995" w:rsidP="007A3995">
      <w:pPr>
        <w:pStyle w:val="Heading1"/>
      </w:pPr>
      <w:bookmarkStart w:id="11" w:name="O_509838"/>
      <w:bookmarkEnd w:id="11"/>
      <w:r w:rsidRPr="007A3995">
        <w:t>Range Statement</w:t>
      </w:r>
    </w:p>
    <w:tbl>
      <w:tblPr>
        <w:tblW w:w="0" w:type="auto"/>
        <w:tblLayout w:type="fixed"/>
        <w:tblCellMar>
          <w:left w:w="62" w:type="dxa"/>
          <w:right w:w="62" w:type="dxa"/>
        </w:tblCellMar>
        <w:tblLook w:val="0000"/>
      </w:tblPr>
      <w:tblGrid>
        <w:gridCol w:w="2587"/>
        <w:gridCol w:w="6453"/>
      </w:tblGrid>
      <w:tr w:rsidTr="000961A8">
        <w:tblPrEx>
          <w:tblW w:w="0" w:type="auto"/>
          <w:tblLayout w:type="fixed"/>
          <w:tblCellMar>
            <w:left w:w="62" w:type="dxa"/>
            <w:right w:w="62" w:type="dxa"/>
          </w:tblCellMar>
          <w:tblLook w:val="0000"/>
        </w:tblPrEx>
        <w:tc>
          <w:tcPr>
            <w:tcW w:w="9040" w:type="dxa"/>
            <w:gridSpan w:val="2"/>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t>The range statement relates to the unit of competency as a whole. It allows for different work environments and situations that may affect perform</w:t>
            </w:r>
            <w:r w:rsidRPr="007A3995">
              <w:t xml:space="preserve">ance. </w:t>
            </w:r>
            <w:r w:rsidRPr="007A3995">
              <w:rPr>
                <w:rStyle w:val="BoldandItalics"/>
              </w:rPr>
              <w:t>Bold italicised</w:t>
            </w:r>
            <w:r w:rsidRPr="007A3995">
              <w:t xml:space="preserve"> wording in the performance criteria is detailed below. Add any essential operating conditions that may be present with training and assessment depending on the work situation, needs of the candidate, accessibility of the item, and loc</w:t>
            </w:r>
            <w:r w:rsidRPr="007A3995">
              <w:t>al industry and regional contexts.</w:t>
            </w:r>
          </w:p>
        </w:tc>
      </w:tr>
      <w:tr w:rsidTr="000961A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BoldandItalics"/>
              </w:rPr>
              <w:t xml:space="preserve">Ergonomic requirements </w:t>
            </w:r>
            <w:r w:rsidRPr="007A3995">
              <w:t>may include:</w:t>
            </w:r>
          </w:p>
        </w:tc>
        <w:tc>
          <w:tcPr>
            <w:tcW w:w="6453" w:type="dxa"/>
            <w:tcBorders>
              <w:top w:val="nil"/>
              <w:left w:val="nil"/>
              <w:bottom w:val="nil"/>
              <w:right w:val="nil"/>
            </w:tcBorders>
            <w:tcMar>
              <w:top w:w="0" w:type="dxa"/>
              <w:left w:w="62" w:type="dxa"/>
              <w:bottom w:w="0" w:type="dxa"/>
              <w:right w:w="62" w:type="dxa"/>
            </w:tcMar>
          </w:tcPr>
          <w:p w:rsidR="00000000" w:rsidRPr="007A3995" w:rsidP="007A3995">
            <w:pPr>
              <w:pStyle w:val="ListBullet"/>
            </w:pPr>
            <w:r w:rsidRPr="007A3995">
              <w:t>avoiding radiation from computer screens</w:t>
            </w:r>
          </w:p>
          <w:p w:rsidR="00000000" w:rsidRPr="007A3995" w:rsidP="007A3995">
            <w:pPr>
              <w:pStyle w:val="ListBullet"/>
            </w:pPr>
            <w:r w:rsidRPr="007A3995">
              <w:t>chair height, seat and back adjustments</w:t>
            </w:r>
          </w:p>
          <w:p w:rsidR="00000000" w:rsidRPr="007A3995" w:rsidP="007A3995">
            <w:pPr>
              <w:pStyle w:val="ListBullet"/>
            </w:pPr>
            <w:r w:rsidRPr="007A3995">
              <w:t xml:space="preserve">document holder </w:t>
            </w:r>
          </w:p>
          <w:p w:rsidR="00000000" w:rsidRPr="007A3995" w:rsidP="007A3995">
            <w:pPr>
              <w:pStyle w:val="ListBullet"/>
            </w:pPr>
            <w:r w:rsidRPr="007A3995">
              <w:t>footrest</w:t>
            </w:r>
          </w:p>
          <w:p w:rsidR="00000000" w:rsidRPr="007A3995" w:rsidP="007A3995">
            <w:pPr>
              <w:pStyle w:val="ListBullet"/>
            </w:pPr>
            <w:r w:rsidRPr="007A3995">
              <w:t>keyboard and mouse position</w:t>
            </w:r>
          </w:p>
          <w:p w:rsidR="00000000" w:rsidRPr="007A3995" w:rsidP="007A3995">
            <w:pPr>
              <w:pStyle w:val="ListBullet"/>
            </w:pPr>
            <w:r w:rsidRPr="007A3995">
              <w:t>lighting</w:t>
            </w:r>
          </w:p>
          <w:p w:rsidR="00000000" w:rsidRPr="007A3995" w:rsidP="007A3995">
            <w:pPr>
              <w:pStyle w:val="ListBullet"/>
            </w:pPr>
            <w:r w:rsidRPr="007A3995">
              <w:t>noise minimisation</w:t>
            </w:r>
          </w:p>
          <w:p w:rsidR="00000000" w:rsidRPr="007A3995" w:rsidP="007A3995">
            <w:pPr>
              <w:pStyle w:val="ListBullet"/>
            </w:pPr>
            <w:r w:rsidRPr="007A3995">
              <w:t>posture</w:t>
            </w:r>
          </w:p>
          <w:p w:rsidR="00000000" w:rsidRPr="007A3995" w:rsidP="007A3995">
            <w:pPr>
              <w:pStyle w:val="ListBullet"/>
            </w:pPr>
            <w:r w:rsidRPr="007A3995">
              <w:t>screen position</w:t>
            </w:r>
          </w:p>
          <w:p w:rsidR="00000000" w:rsidRPr="007A3995" w:rsidP="007A3995">
            <w:pPr>
              <w:pStyle w:val="ListBullet"/>
            </w:pPr>
            <w:r w:rsidRPr="007A3995">
              <w:t>workstation height and layout</w:t>
            </w:r>
          </w:p>
          <w:p w:rsidR="00000000" w:rsidRPr="007A3995" w:rsidP="007A3995">
            <w:pPr>
              <w:pStyle w:val="ListBullet"/>
            </w:pPr>
            <w:r w:rsidRPr="007A3995">
              <w:t>measurements and dimensions for objects and space</w:t>
            </w:r>
          </w:p>
          <w:p w:rsidR="00000000" w:rsidRPr="007A3995" w:rsidP="007A3995">
            <w:pPr>
              <w:pStyle w:val="ListBullet"/>
            </w:pPr>
            <w:r w:rsidRPr="007A3995">
              <w:t>relevant statutory requirements</w:t>
            </w:r>
          </w:p>
          <w:p w:rsidR="00000000" w:rsidP="007A3995">
            <w:pPr>
              <w:pStyle w:val="ListBullet"/>
              <w:rPr>
                <w:lang w:val="en-NZ"/>
              </w:rPr>
            </w:pPr>
            <w:r w:rsidRPr="007A3995">
              <w:t>scope for making adjustments.</w:t>
            </w:r>
          </w:p>
        </w:tc>
      </w:tr>
      <w:tr w:rsidTr="000961A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BoldandItalics"/>
              </w:rPr>
              <w:t xml:space="preserve">End users </w:t>
            </w:r>
            <w:r w:rsidRPr="007A3995">
              <w:t>may include:</w:t>
            </w:r>
          </w:p>
        </w:tc>
        <w:tc>
          <w:tcPr>
            <w:tcW w:w="6453" w:type="dxa"/>
            <w:tcBorders>
              <w:top w:val="nil"/>
              <w:left w:val="nil"/>
              <w:bottom w:val="nil"/>
              <w:right w:val="nil"/>
            </w:tcBorders>
            <w:tcMar>
              <w:top w:w="0" w:type="dxa"/>
              <w:left w:w="62" w:type="dxa"/>
              <w:bottom w:w="0" w:type="dxa"/>
              <w:right w:w="62" w:type="dxa"/>
            </w:tcMar>
          </w:tcPr>
          <w:p w:rsidR="00000000" w:rsidRPr="007A3995" w:rsidP="007A3995">
            <w:pPr>
              <w:pStyle w:val="ListBullet"/>
            </w:pPr>
            <w:r w:rsidRPr="007A3995">
              <w:t xml:space="preserve">elected members </w:t>
            </w:r>
          </w:p>
          <w:p w:rsidR="00000000" w:rsidRPr="007A3995" w:rsidP="007A3995">
            <w:pPr>
              <w:pStyle w:val="ListBullet"/>
            </w:pPr>
            <w:r w:rsidRPr="007A3995">
              <w:t>general public</w:t>
            </w:r>
          </w:p>
          <w:p w:rsidR="00000000" w:rsidRPr="007A3995" w:rsidP="007A3995">
            <w:pPr>
              <w:pStyle w:val="ListBullet"/>
            </w:pPr>
            <w:r w:rsidRPr="007A3995">
              <w:t>land information authorities</w:t>
            </w:r>
          </w:p>
          <w:p w:rsidR="00000000" w:rsidRPr="007A3995" w:rsidP="007A3995">
            <w:pPr>
              <w:pStyle w:val="ListBullet"/>
            </w:pPr>
            <w:r w:rsidRPr="007A3995">
              <w:t>local government</w:t>
            </w:r>
          </w:p>
          <w:p w:rsidR="00000000" w:rsidRPr="007A3995" w:rsidP="007A3995">
            <w:pPr>
              <w:pStyle w:val="ListBullet"/>
            </w:pPr>
            <w:r w:rsidRPr="007A3995">
              <w:t>real estate agents</w:t>
            </w:r>
          </w:p>
          <w:p w:rsidR="00000000" w:rsidRPr="007A3995" w:rsidP="007A3995">
            <w:pPr>
              <w:pStyle w:val="ListBullet"/>
            </w:pPr>
            <w:r w:rsidRPr="007A3995">
              <w:t>residents</w:t>
            </w:r>
          </w:p>
          <w:p w:rsidR="00000000" w:rsidRPr="007A3995" w:rsidP="007A3995">
            <w:pPr>
              <w:pStyle w:val="ListBullet"/>
            </w:pPr>
            <w:r w:rsidRPr="007A3995">
              <w:t xml:space="preserve">state and federal government departments </w:t>
            </w:r>
          </w:p>
          <w:p w:rsidR="00000000" w:rsidRPr="007A3995" w:rsidP="007A3995">
            <w:pPr>
              <w:pStyle w:val="ListBullet"/>
            </w:pPr>
            <w:r w:rsidRPr="007A3995">
              <w:t>statutory bodies, including land titles office</w:t>
            </w:r>
          </w:p>
          <w:p w:rsidR="00000000" w:rsidRPr="007A3995" w:rsidP="007A3995">
            <w:pPr>
              <w:pStyle w:val="ListBullet"/>
            </w:pPr>
            <w:r w:rsidRPr="007A3995">
              <w:t>transport companies</w:t>
            </w:r>
          </w:p>
          <w:p w:rsidR="00000000" w:rsidP="007A3995">
            <w:pPr>
              <w:pStyle w:val="ListBullet"/>
              <w:rPr>
                <w:lang w:val="en-NZ"/>
              </w:rPr>
            </w:pPr>
            <w:r w:rsidRPr="007A3995">
              <w:t>utilities.</w:t>
            </w:r>
          </w:p>
        </w:tc>
      </w:tr>
      <w:tr w:rsidTr="000961A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BoldandItalics"/>
              </w:rPr>
              <w:t xml:space="preserve">Clients </w:t>
            </w:r>
            <w:r w:rsidRPr="007A3995">
              <w:t>may include:</w:t>
            </w:r>
          </w:p>
        </w:tc>
        <w:tc>
          <w:tcPr>
            <w:tcW w:w="6453" w:type="dxa"/>
            <w:tcBorders>
              <w:top w:val="nil"/>
              <w:left w:val="nil"/>
              <w:bottom w:val="nil"/>
              <w:right w:val="nil"/>
            </w:tcBorders>
            <w:tcMar>
              <w:top w:w="0" w:type="dxa"/>
              <w:left w:w="62" w:type="dxa"/>
              <w:bottom w:w="0" w:type="dxa"/>
              <w:right w:w="62" w:type="dxa"/>
            </w:tcMar>
          </w:tcPr>
          <w:p w:rsidR="00000000" w:rsidRPr="007A3995" w:rsidP="007A3995">
            <w:pPr>
              <w:pStyle w:val="ListBullet"/>
            </w:pPr>
            <w:r w:rsidRPr="007A3995">
              <w:t>customers with routine or special requests</w:t>
            </w:r>
          </w:p>
          <w:p w:rsidR="00000000" w:rsidRPr="007A3995" w:rsidP="007A3995">
            <w:pPr>
              <w:pStyle w:val="ListBullet"/>
            </w:pPr>
            <w:r w:rsidRPr="007A3995">
              <w:t>external to organisation</w:t>
            </w:r>
          </w:p>
          <w:p w:rsidR="00000000" w:rsidRPr="007A3995" w:rsidP="007A3995">
            <w:pPr>
              <w:pStyle w:val="ListBullet"/>
            </w:pPr>
            <w:r w:rsidRPr="007A3995">
              <w:t>internal to organisation</w:t>
            </w:r>
          </w:p>
          <w:p w:rsidR="00000000" w:rsidRPr="007A3995" w:rsidP="007A3995">
            <w:pPr>
              <w:pStyle w:val="ListBullet"/>
            </w:pPr>
            <w:r w:rsidRPr="007A3995">
              <w:t>regular and new customers, including:</w:t>
            </w:r>
          </w:p>
          <w:p w:rsidR="00000000" w:rsidRPr="007A3995" w:rsidP="007A3995">
            <w:pPr>
              <w:pStyle w:val="ListBullet2"/>
            </w:pPr>
            <w:r w:rsidRPr="007A3995">
              <w:t>business enterprises</w:t>
            </w:r>
          </w:p>
          <w:p w:rsidR="00000000" w:rsidRPr="007A3995" w:rsidP="007A3995">
            <w:pPr>
              <w:pStyle w:val="ListBullet2"/>
            </w:pPr>
            <w:r w:rsidRPr="007A3995">
              <w:t>government agencies</w:t>
            </w:r>
          </w:p>
          <w:p w:rsidR="00000000" w:rsidRPr="007A3995" w:rsidP="007A3995">
            <w:pPr>
              <w:pStyle w:val="ListBullet2"/>
            </w:pPr>
            <w:r w:rsidRPr="007A3995">
              <w:t>members of the public</w:t>
            </w:r>
          </w:p>
          <w:p w:rsidR="00000000" w:rsidP="007A3995">
            <w:pPr>
              <w:pStyle w:val="ListBullet2"/>
              <w:rPr>
                <w:lang w:val="en-NZ"/>
              </w:rPr>
            </w:pPr>
            <w:r w:rsidRPr="007A3995">
              <w:t>suppliers.</w:t>
            </w:r>
          </w:p>
        </w:tc>
      </w:tr>
      <w:tr w:rsidTr="000961A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BoldandItalics"/>
              </w:rPr>
              <w:t xml:space="preserve">Work organisation strategies </w:t>
            </w:r>
            <w:r w:rsidRPr="007A3995">
              <w:t>may include:</w:t>
            </w:r>
          </w:p>
        </w:tc>
        <w:tc>
          <w:tcPr>
            <w:tcW w:w="6453" w:type="dxa"/>
            <w:tcBorders>
              <w:top w:val="nil"/>
              <w:left w:val="nil"/>
              <w:bottom w:val="nil"/>
              <w:right w:val="nil"/>
            </w:tcBorders>
            <w:tcMar>
              <w:top w:w="0" w:type="dxa"/>
              <w:left w:w="62" w:type="dxa"/>
              <w:bottom w:w="0" w:type="dxa"/>
              <w:right w:w="62" w:type="dxa"/>
            </w:tcMar>
          </w:tcPr>
          <w:p w:rsidR="00000000" w:rsidRPr="007A3995" w:rsidP="007A3995">
            <w:pPr>
              <w:pStyle w:val="ListBullet"/>
            </w:pPr>
            <w:r w:rsidRPr="007A3995">
              <w:t>exercise breaks</w:t>
            </w:r>
          </w:p>
          <w:p w:rsidR="00000000" w:rsidRPr="007A3995" w:rsidP="007A3995">
            <w:pPr>
              <w:pStyle w:val="ListBullet"/>
            </w:pPr>
            <w:r w:rsidRPr="007A3995">
              <w:t>mix of repetitive and other activities</w:t>
            </w:r>
          </w:p>
          <w:p w:rsidR="00000000" w:rsidP="007A3995">
            <w:pPr>
              <w:pStyle w:val="ListBullet"/>
              <w:rPr>
                <w:lang w:val="en-NZ"/>
              </w:rPr>
            </w:pPr>
            <w:r w:rsidRPr="007A3995">
              <w:t>rest periods.</w:t>
            </w:r>
          </w:p>
        </w:tc>
      </w:tr>
      <w:tr w:rsidTr="000961A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BoldandItalics"/>
              </w:rPr>
              <w:t xml:space="preserve">Energy and resource conservation techniques </w:t>
            </w:r>
            <w:r w:rsidRPr="007A3995">
              <w:t>may include:</w:t>
            </w:r>
          </w:p>
        </w:tc>
        <w:tc>
          <w:tcPr>
            <w:tcW w:w="6453" w:type="dxa"/>
            <w:tcBorders>
              <w:top w:val="nil"/>
              <w:left w:val="nil"/>
              <w:bottom w:val="nil"/>
              <w:right w:val="nil"/>
            </w:tcBorders>
            <w:tcMar>
              <w:top w:w="0" w:type="dxa"/>
              <w:left w:w="62" w:type="dxa"/>
              <w:bottom w:w="0" w:type="dxa"/>
              <w:right w:w="62" w:type="dxa"/>
            </w:tcMar>
          </w:tcPr>
          <w:p w:rsidR="00000000" w:rsidRPr="007A3995" w:rsidP="007A3995">
            <w:pPr>
              <w:pStyle w:val="ListBullet"/>
            </w:pPr>
            <w:r w:rsidRPr="007A3995">
              <w:t>paper use, including:</w:t>
            </w:r>
          </w:p>
          <w:p w:rsidR="00000000" w:rsidRPr="007A3995" w:rsidP="007A3995">
            <w:pPr>
              <w:pStyle w:val="ListBullet2"/>
            </w:pPr>
            <w:r w:rsidRPr="007A3995">
              <w:t>double-sided printing</w:t>
            </w:r>
          </w:p>
          <w:p w:rsidR="00000000" w:rsidRPr="007A3995" w:rsidP="007A3995">
            <w:pPr>
              <w:pStyle w:val="ListBullet2"/>
            </w:pPr>
            <w:r w:rsidRPr="007A3995">
              <w:t>re-using paper for rough drafts, while observing confidentiality requirements</w:t>
            </w:r>
          </w:p>
          <w:p w:rsidR="00000000" w:rsidRPr="007A3995" w:rsidP="007A3995">
            <w:pPr>
              <w:pStyle w:val="ListBullet2"/>
            </w:pPr>
            <w:r w:rsidRPr="007A3995">
              <w:t>shredding paper</w:t>
            </w:r>
          </w:p>
          <w:p w:rsidR="00000000" w:rsidRPr="007A3995" w:rsidP="007A3995">
            <w:pPr>
              <w:pStyle w:val="ListBullet"/>
            </w:pPr>
            <w:r w:rsidRPr="007A3995">
              <w:t>recycling resources</w:t>
            </w:r>
          </w:p>
          <w:p w:rsidR="00000000" w:rsidP="007A3995">
            <w:pPr>
              <w:pStyle w:val="ListBullet"/>
              <w:rPr>
                <w:lang w:val="en-NZ"/>
              </w:rPr>
            </w:pPr>
            <w:r w:rsidRPr="007A3995">
              <w:t xml:space="preserve">using power-save options for equipment. </w:t>
            </w:r>
          </w:p>
        </w:tc>
      </w:tr>
      <w:tr w:rsidTr="000961A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BoldandItalics"/>
              </w:rPr>
              <w:t xml:space="preserve">Templates </w:t>
            </w:r>
            <w:r w:rsidRPr="007A3995">
              <w:t>may include:</w:t>
            </w:r>
          </w:p>
        </w:tc>
        <w:tc>
          <w:tcPr>
            <w:tcW w:w="6453" w:type="dxa"/>
            <w:tcBorders>
              <w:top w:val="nil"/>
              <w:left w:val="nil"/>
              <w:bottom w:val="nil"/>
              <w:right w:val="nil"/>
            </w:tcBorders>
            <w:tcMar>
              <w:top w:w="0" w:type="dxa"/>
              <w:left w:w="62" w:type="dxa"/>
              <w:bottom w:w="0" w:type="dxa"/>
              <w:right w:w="62" w:type="dxa"/>
            </w:tcMar>
          </w:tcPr>
          <w:p w:rsidR="00000000" w:rsidRPr="007A3995" w:rsidP="007A3995">
            <w:pPr>
              <w:pStyle w:val="ListBullet"/>
            </w:pPr>
            <w:r w:rsidRPr="007A3995">
              <w:t>font types and sizes</w:t>
            </w:r>
          </w:p>
          <w:p w:rsidR="00000000" w:rsidRPr="007A3995" w:rsidP="007A3995">
            <w:pPr>
              <w:pStyle w:val="ListBullet"/>
            </w:pPr>
            <w:r w:rsidRPr="007A3995">
              <w:t>forms</w:t>
            </w:r>
          </w:p>
          <w:p w:rsidR="00000000" w:rsidRPr="007A3995" w:rsidP="007A3995">
            <w:pPr>
              <w:pStyle w:val="ListBullet"/>
            </w:pPr>
            <w:r w:rsidRPr="007A3995">
              <w:t>headers and footers</w:t>
            </w:r>
          </w:p>
          <w:p w:rsidR="00000000" w:rsidRPr="007A3995" w:rsidP="007A3995">
            <w:pPr>
              <w:pStyle w:val="ListBullet"/>
            </w:pPr>
            <w:r w:rsidRPr="007A3995">
              <w:t>headings</w:t>
            </w:r>
          </w:p>
          <w:p w:rsidR="00000000" w:rsidRPr="007A3995" w:rsidP="007A3995">
            <w:pPr>
              <w:pStyle w:val="ListBullet"/>
            </w:pPr>
            <w:r w:rsidRPr="007A3995">
              <w:t>page formats</w:t>
            </w:r>
          </w:p>
          <w:p w:rsidR="00000000" w:rsidP="007A3995">
            <w:pPr>
              <w:pStyle w:val="ListBullet"/>
              <w:rPr>
                <w:lang w:val="en-NZ"/>
              </w:rPr>
            </w:pPr>
            <w:r w:rsidRPr="007A3995">
              <w:t>reports.</w:t>
            </w:r>
          </w:p>
        </w:tc>
      </w:tr>
      <w:tr w:rsidTr="000961A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BoldandItalics"/>
              </w:rPr>
              <w:t xml:space="preserve">Spreadsheet design </w:t>
            </w:r>
            <w:r w:rsidRPr="007A3995">
              <w:t>may include:</w:t>
            </w:r>
          </w:p>
        </w:tc>
        <w:tc>
          <w:tcPr>
            <w:tcW w:w="6453" w:type="dxa"/>
            <w:tcBorders>
              <w:top w:val="nil"/>
              <w:left w:val="nil"/>
              <w:bottom w:val="nil"/>
              <w:right w:val="nil"/>
            </w:tcBorders>
            <w:tcMar>
              <w:top w:w="0" w:type="dxa"/>
              <w:left w:w="62" w:type="dxa"/>
              <w:bottom w:w="0" w:type="dxa"/>
              <w:right w:w="62" w:type="dxa"/>
            </w:tcMar>
          </w:tcPr>
          <w:p w:rsidR="00000000" w:rsidRPr="007A3995" w:rsidP="007A3995">
            <w:pPr>
              <w:pStyle w:val="ListBullet"/>
            </w:pPr>
            <w:r w:rsidRPr="007A3995">
              <w:t>analysis of data</w:t>
            </w:r>
          </w:p>
          <w:p w:rsidR="00000000" w:rsidRPr="007A3995" w:rsidP="007A3995">
            <w:pPr>
              <w:pStyle w:val="ListBullet"/>
            </w:pPr>
            <w:r w:rsidRPr="007A3995">
              <w:t>appropriateness</w:t>
            </w:r>
          </w:p>
          <w:p w:rsidR="00000000" w:rsidRPr="007A3995" w:rsidP="007A3995">
            <w:pPr>
              <w:pStyle w:val="ListBullet"/>
            </w:pPr>
            <w:r w:rsidRPr="007A3995">
              <w:t>avoiding blank rows and columns</w:t>
            </w:r>
          </w:p>
          <w:p w:rsidR="00000000" w:rsidRPr="007A3995" w:rsidP="007A3995">
            <w:pPr>
              <w:pStyle w:val="ListBullet"/>
            </w:pPr>
            <w:r w:rsidRPr="007A3995">
              <w:t>cell protection</w:t>
            </w:r>
          </w:p>
          <w:p w:rsidR="00000000" w:rsidRPr="007A3995" w:rsidP="007A3995">
            <w:pPr>
              <w:pStyle w:val="ListBullet"/>
            </w:pPr>
            <w:r w:rsidRPr="007A3995">
              <w:t>embedding cell references in formulas</w:t>
            </w:r>
          </w:p>
          <w:p w:rsidR="00000000" w:rsidRPr="007A3995" w:rsidP="007A3995">
            <w:pPr>
              <w:pStyle w:val="ListBullet"/>
            </w:pPr>
            <w:r w:rsidRPr="007A3995">
              <w:t>formulas, including linked formulas</w:t>
            </w:r>
          </w:p>
          <w:p w:rsidR="00000000" w:rsidRPr="007A3995" w:rsidP="007A3995">
            <w:pPr>
              <w:pStyle w:val="ListBullet"/>
            </w:pPr>
            <w:r w:rsidRPr="007A3995">
              <w:t xml:space="preserve">formatting and reformatting </w:t>
            </w:r>
          </w:p>
          <w:p w:rsidR="00000000" w:rsidRPr="007A3995" w:rsidP="007A3995">
            <w:pPr>
              <w:pStyle w:val="ListBullet"/>
            </w:pPr>
            <w:r w:rsidRPr="007A3995">
              <w:t>functions</w:t>
            </w:r>
          </w:p>
          <w:p w:rsidR="00000000" w:rsidRPr="007A3995" w:rsidP="007A3995">
            <w:pPr>
              <w:pStyle w:val="ListBullet"/>
            </w:pPr>
            <w:r w:rsidRPr="007A3995">
              <w:t>headers and footers</w:t>
            </w:r>
          </w:p>
          <w:p w:rsidR="00000000" w:rsidRPr="007A3995" w:rsidP="007A3995">
            <w:pPr>
              <w:pStyle w:val="ListBullet"/>
            </w:pPr>
            <w:r w:rsidRPr="007A3995">
              <w:t>headings and labels</w:t>
            </w:r>
          </w:p>
          <w:p w:rsidR="00000000" w:rsidRPr="007A3995" w:rsidP="007A3995">
            <w:pPr>
              <w:pStyle w:val="ListBullet"/>
            </w:pPr>
            <w:r w:rsidRPr="007A3995">
              <w:t>identification and parameters</w:t>
            </w:r>
          </w:p>
          <w:p w:rsidR="00000000" w:rsidRPr="007A3995" w:rsidP="007A3995">
            <w:pPr>
              <w:pStyle w:val="ListBullet"/>
            </w:pPr>
            <w:r w:rsidRPr="007A3995">
              <w:t>import and export of data</w:t>
            </w:r>
          </w:p>
          <w:p w:rsidR="00000000" w:rsidRPr="007A3995" w:rsidP="007A3995">
            <w:pPr>
              <w:pStyle w:val="ListBullet"/>
            </w:pPr>
            <w:r w:rsidRPr="007A3995">
              <w:t>multi-page documents</w:t>
            </w:r>
          </w:p>
          <w:p w:rsidR="00000000" w:rsidRPr="007A3995" w:rsidP="007A3995">
            <w:pPr>
              <w:pStyle w:val="ListBullet"/>
            </w:pPr>
            <w:r w:rsidRPr="007A3995">
              <w:t>pivot tables</w:t>
            </w:r>
          </w:p>
          <w:p w:rsidR="00000000" w:rsidRPr="007A3995" w:rsidP="007A3995">
            <w:pPr>
              <w:pStyle w:val="ListBullet"/>
            </w:pPr>
            <w:r w:rsidRPr="007A3995">
              <w:t>relative and absolute cell references</w:t>
            </w:r>
          </w:p>
          <w:p w:rsidR="00000000" w:rsidRPr="007A3995" w:rsidP="007A3995">
            <w:pPr>
              <w:pStyle w:val="ListBullet"/>
            </w:pPr>
            <w:r w:rsidRPr="007A3995">
              <w:t>split screen operation</w:t>
            </w:r>
          </w:p>
          <w:p w:rsidR="00000000" w:rsidP="007A3995">
            <w:pPr>
              <w:pStyle w:val="ListBullet"/>
              <w:rPr>
                <w:lang w:val="en-NZ"/>
              </w:rPr>
            </w:pPr>
            <w:r w:rsidRPr="007A3995">
              <w:t>use of colour.</w:t>
            </w:r>
          </w:p>
        </w:tc>
      </w:tr>
      <w:tr w:rsidTr="000961A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BoldandItalics"/>
              </w:rPr>
              <w:t xml:space="preserve">Functions </w:t>
            </w:r>
            <w:r w:rsidRPr="007A3995">
              <w:t>may include:</w:t>
            </w:r>
          </w:p>
        </w:tc>
        <w:tc>
          <w:tcPr>
            <w:tcW w:w="6453" w:type="dxa"/>
            <w:tcBorders>
              <w:top w:val="nil"/>
              <w:left w:val="nil"/>
              <w:bottom w:val="nil"/>
              <w:right w:val="nil"/>
            </w:tcBorders>
            <w:tcMar>
              <w:top w:w="0" w:type="dxa"/>
              <w:left w:w="62" w:type="dxa"/>
              <w:bottom w:w="0" w:type="dxa"/>
              <w:right w:w="62" w:type="dxa"/>
            </w:tcMar>
          </w:tcPr>
          <w:p w:rsidR="00000000" w:rsidRPr="007A3995" w:rsidP="007A3995">
            <w:pPr>
              <w:pStyle w:val="ListBullet"/>
            </w:pPr>
            <w:r w:rsidRPr="007A3995">
              <w:t>date</w:t>
            </w:r>
          </w:p>
          <w:p w:rsidR="00000000" w:rsidRPr="007A3995" w:rsidP="007A3995">
            <w:pPr>
              <w:pStyle w:val="ListBullet"/>
            </w:pPr>
            <w:r w:rsidRPr="007A3995">
              <w:t>logical:</w:t>
            </w:r>
          </w:p>
          <w:p w:rsidR="00000000" w:rsidRPr="007A3995" w:rsidP="007A3995">
            <w:pPr>
              <w:pStyle w:val="ListBullet2"/>
            </w:pPr>
            <w:r w:rsidRPr="007A3995">
              <w:t>choose</w:t>
            </w:r>
          </w:p>
          <w:p w:rsidR="00000000" w:rsidRPr="007A3995" w:rsidP="007A3995">
            <w:pPr>
              <w:pStyle w:val="ListBullet2"/>
            </w:pPr>
            <w:r w:rsidRPr="007A3995">
              <w:t>conditions</w:t>
            </w:r>
          </w:p>
          <w:p w:rsidR="00000000" w:rsidRPr="007A3995" w:rsidP="007A3995">
            <w:pPr>
              <w:pStyle w:val="ListBullet2"/>
            </w:pPr>
            <w:r w:rsidRPr="007A3995">
              <w:t>if</w:t>
            </w:r>
          </w:p>
          <w:p w:rsidR="00000000" w:rsidRPr="007A3995" w:rsidP="007A3995">
            <w:pPr>
              <w:pStyle w:val="ListBullet2"/>
            </w:pPr>
            <w:r w:rsidRPr="007A3995">
              <w:t>lookup</w:t>
            </w:r>
          </w:p>
          <w:p w:rsidR="00000000" w:rsidRPr="007A3995" w:rsidP="007A3995">
            <w:pPr>
              <w:pStyle w:val="ListBullet2"/>
            </w:pPr>
            <w:r w:rsidRPr="007A3995">
              <w:t>true/false</w:t>
            </w:r>
          </w:p>
          <w:p w:rsidR="00000000" w:rsidRPr="007A3995" w:rsidP="007A3995">
            <w:pPr>
              <w:pStyle w:val="ListBullet"/>
            </w:pPr>
            <w:r w:rsidRPr="007A3995">
              <w:t xml:space="preserve">mathematical: </w:t>
            </w:r>
          </w:p>
          <w:p w:rsidR="00000000" w:rsidRPr="007A3995" w:rsidP="007A3995">
            <w:pPr>
              <w:pStyle w:val="ListBullet2"/>
            </w:pPr>
            <w:r w:rsidRPr="007A3995">
              <w:t>absolute</w:t>
            </w:r>
          </w:p>
          <w:p w:rsidR="00000000" w:rsidRPr="007A3995" w:rsidP="007A3995">
            <w:pPr>
              <w:pStyle w:val="ListBullet2"/>
            </w:pPr>
            <w:r w:rsidRPr="007A3995">
              <w:t>integer</w:t>
            </w:r>
          </w:p>
          <w:p w:rsidR="00000000" w:rsidRPr="007A3995" w:rsidP="007A3995">
            <w:pPr>
              <w:pStyle w:val="ListBullet2"/>
            </w:pPr>
            <w:r w:rsidRPr="007A3995">
              <w:t>round</w:t>
            </w:r>
          </w:p>
          <w:p w:rsidR="00000000" w:rsidRPr="007A3995" w:rsidP="007A3995">
            <w:pPr>
              <w:pStyle w:val="ListBullet2"/>
            </w:pPr>
            <w:r w:rsidRPr="007A3995">
              <w:t>square root</w:t>
            </w:r>
          </w:p>
          <w:p w:rsidR="00000000" w:rsidRPr="007A3995" w:rsidP="007A3995">
            <w:pPr>
              <w:pStyle w:val="ListBullet2"/>
            </w:pPr>
            <w:r w:rsidRPr="007A3995">
              <w:t>value</w:t>
            </w:r>
          </w:p>
          <w:p w:rsidR="00000000" w:rsidRPr="007A3995" w:rsidP="007A3995">
            <w:pPr>
              <w:pStyle w:val="ListBullet2"/>
            </w:pPr>
            <w:r w:rsidRPr="007A3995">
              <w:t xml:space="preserve">simple nested </w:t>
            </w:r>
          </w:p>
          <w:p w:rsidR="00000000" w:rsidRPr="007A3995" w:rsidP="007A3995">
            <w:pPr>
              <w:pStyle w:val="ListBullet"/>
            </w:pPr>
            <w:r w:rsidRPr="007A3995">
              <w:t>statistical:</w:t>
            </w:r>
          </w:p>
          <w:p w:rsidR="00000000" w:rsidRPr="007A3995" w:rsidP="007A3995">
            <w:pPr>
              <w:pStyle w:val="ListBullet2"/>
            </w:pPr>
            <w:r w:rsidRPr="007A3995">
              <w:t>count</w:t>
            </w:r>
          </w:p>
          <w:p w:rsidR="00000000" w:rsidRPr="007A3995" w:rsidP="007A3995">
            <w:pPr>
              <w:pStyle w:val="ListBullet2"/>
            </w:pPr>
            <w:r w:rsidRPr="007A3995">
              <w:t>standard deviation</w:t>
            </w:r>
          </w:p>
          <w:p w:rsidR="00000000" w:rsidRPr="007A3995" w:rsidP="007A3995">
            <w:pPr>
              <w:pStyle w:val="ListBullet2"/>
            </w:pPr>
            <w:r w:rsidRPr="007A3995">
              <w:t>maximum</w:t>
            </w:r>
          </w:p>
          <w:p w:rsidR="00000000" w:rsidRPr="007A3995" w:rsidP="007A3995">
            <w:pPr>
              <w:pStyle w:val="ListBullet2"/>
            </w:pPr>
            <w:r w:rsidRPr="007A3995">
              <w:t>minimum</w:t>
            </w:r>
          </w:p>
          <w:p w:rsidR="00000000" w:rsidRPr="007A3995" w:rsidP="007A3995">
            <w:pPr>
              <w:pStyle w:val="ListBullet2"/>
            </w:pPr>
            <w:r w:rsidRPr="007A3995">
              <w:t>time</w:t>
            </w:r>
          </w:p>
          <w:p w:rsidR="00000000" w:rsidP="007A3995">
            <w:pPr>
              <w:pStyle w:val="ListBullet2"/>
              <w:rPr>
                <w:lang w:val="en-NZ"/>
              </w:rPr>
            </w:pPr>
            <w:r w:rsidRPr="007A3995">
              <w:t>trigonometrical.</w:t>
            </w:r>
          </w:p>
        </w:tc>
      </w:tr>
      <w:tr w:rsidTr="000961A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BoldandItalics"/>
              </w:rPr>
              <w:t xml:space="preserve">Formulas </w:t>
            </w:r>
            <w:r w:rsidRPr="007A3995">
              <w:t>may include</w:t>
            </w:r>
            <w:r w:rsidRPr="007A3995">
              <w:rPr>
                <w:rStyle w:val="SpecialBold"/>
              </w:rPr>
              <w:t>:</w:t>
            </w:r>
          </w:p>
        </w:tc>
        <w:tc>
          <w:tcPr>
            <w:tcW w:w="6453" w:type="dxa"/>
            <w:tcBorders>
              <w:top w:val="nil"/>
              <w:left w:val="nil"/>
              <w:bottom w:val="nil"/>
              <w:right w:val="nil"/>
            </w:tcBorders>
            <w:tcMar>
              <w:top w:w="0" w:type="dxa"/>
              <w:left w:w="62" w:type="dxa"/>
              <w:bottom w:w="0" w:type="dxa"/>
              <w:right w:w="62" w:type="dxa"/>
            </w:tcMar>
          </w:tcPr>
          <w:p w:rsidR="00000000" w:rsidRPr="007A3995" w:rsidP="007A3995">
            <w:pPr>
              <w:pStyle w:val="ListBullet"/>
            </w:pPr>
            <w:r w:rsidRPr="007A3995">
              <w:t>addition</w:t>
            </w:r>
          </w:p>
          <w:p w:rsidR="00000000" w:rsidRPr="007A3995" w:rsidP="007A3995">
            <w:pPr>
              <w:pStyle w:val="ListBullet"/>
            </w:pPr>
            <w:r w:rsidRPr="007A3995">
              <w:t>average</w:t>
            </w:r>
          </w:p>
          <w:p w:rsidR="00000000" w:rsidRPr="007A3995" w:rsidP="007A3995">
            <w:pPr>
              <w:pStyle w:val="ListBullet"/>
            </w:pPr>
            <w:r w:rsidRPr="007A3995">
              <w:t>comparison</w:t>
            </w:r>
          </w:p>
          <w:p w:rsidR="00000000" w:rsidRPr="007A3995" w:rsidP="007A3995">
            <w:pPr>
              <w:pStyle w:val="ListBullet"/>
            </w:pPr>
            <w:r w:rsidRPr="007A3995">
              <w:t>complex formula using trigonometrical functions</w:t>
            </w:r>
          </w:p>
          <w:p w:rsidR="00000000" w:rsidRPr="007A3995" w:rsidP="007A3995">
            <w:pPr>
              <w:pStyle w:val="ListBullet"/>
            </w:pPr>
            <w:r w:rsidRPr="007A3995">
              <w:t>division</w:t>
            </w:r>
          </w:p>
          <w:p w:rsidR="00000000" w:rsidRPr="007A3995" w:rsidP="007A3995">
            <w:pPr>
              <w:pStyle w:val="ListBullet"/>
            </w:pPr>
            <w:r w:rsidRPr="007A3995">
              <w:t>exponentiation</w:t>
            </w:r>
          </w:p>
          <w:p w:rsidR="00000000" w:rsidRPr="007A3995" w:rsidP="007A3995">
            <w:pPr>
              <w:pStyle w:val="ListBullet"/>
            </w:pPr>
            <w:r w:rsidRPr="007A3995">
              <w:t>multiplication</w:t>
            </w:r>
          </w:p>
          <w:p w:rsidR="00000000" w:rsidRPr="007A3995" w:rsidP="007A3995">
            <w:pPr>
              <w:pStyle w:val="ListBullet"/>
            </w:pPr>
            <w:r w:rsidRPr="007A3995">
              <w:t>percentage</w:t>
            </w:r>
          </w:p>
          <w:p w:rsidR="00000000" w:rsidRPr="007A3995" w:rsidP="007A3995">
            <w:pPr>
              <w:pStyle w:val="ListBullet"/>
            </w:pPr>
            <w:r w:rsidRPr="007A3995">
              <w:t>subtraction</w:t>
            </w:r>
          </w:p>
          <w:p w:rsidR="00000000" w:rsidP="007A3995">
            <w:pPr>
              <w:pStyle w:val="ListBullet"/>
              <w:rPr>
                <w:lang w:val="en-NZ"/>
              </w:rPr>
            </w:pPr>
            <w:r w:rsidRPr="007A3995">
              <w:t>combinations of the above.</w:t>
            </w:r>
          </w:p>
        </w:tc>
      </w:tr>
      <w:tr w:rsidTr="000961A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BoldandItalics"/>
              </w:rPr>
              <w:t xml:space="preserve">Graphs </w:t>
            </w:r>
            <w:r w:rsidRPr="007A3995">
              <w:t>may include:</w:t>
            </w:r>
          </w:p>
        </w:tc>
        <w:tc>
          <w:tcPr>
            <w:tcW w:w="6453" w:type="dxa"/>
            <w:tcBorders>
              <w:top w:val="nil"/>
              <w:left w:val="nil"/>
              <w:bottom w:val="nil"/>
              <w:right w:val="nil"/>
            </w:tcBorders>
            <w:tcMar>
              <w:top w:w="0" w:type="dxa"/>
              <w:left w:w="62" w:type="dxa"/>
              <w:bottom w:w="0" w:type="dxa"/>
              <w:right w:w="62" w:type="dxa"/>
            </w:tcMar>
          </w:tcPr>
          <w:p w:rsidR="00000000" w:rsidRPr="007A3995" w:rsidP="007A3995">
            <w:pPr>
              <w:pStyle w:val="ListBullet"/>
            </w:pPr>
            <w:r w:rsidRPr="007A3995">
              <w:t>bar</w:t>
            </w:r>
          </w:p>
          <w:p w:rsidR="00000000" w:rsidRPr="007A3995" w:rsidP="007A3995">
            <w:pPr>
              <w:pStyle w:val="ListBullet"/>
            </w:pPr>
            <w:r w:rsidRPr="007A3995">
              <w:t>line</w:t>
            </w:r>
          </w:p>
          <w:p w:rsidR="00000000" w:rsidRPr="007A3995" w:rsidP="007A3995">
            <w:pPr>
              <w:pStyle w:val="ListBullet"/>
            </w:pPr>
            <w:r w:rsidRPr="007A3995">
              <w:t>pie</w:t>
            </w:r>
          </w:p>
          <w:p w:rsidR="00000000" w:rsidRPr="007A3995" w:rsidP="007A3995">
            <w:pPr>
              <w:pStyle w:val="ListBullet"/>
            </w:pPr>
            <w:r w:rsidRPr="007A3995">
              <w:t>scatter</w:t>
            </w:r>
          </w:p>
          <w:p w:rsidR="00000000" w:rsidRPr="007A3995" w:rsidP="007A3995">
            <w:pPr>
              <w:pStyle w:val="ListBullet"/>
            </w:pPr>
            <w:r w:rsidRPr="007A3995">
              <w:t>stack</w:t>
            </w:r>
          </w:p>
          <w:p w:rsidR="00000000" w:rsidP="007A3995">
            <w:pPr>
              <w:pStyle w:val="ListBullet"/>
              <w:rPr>
                <w:lang w:val="en-NZ"/>
              </w:rPr>
            </w:pPr>
            <w:r w:rsidRPr="007A3995">
              <w:t>3-D.</w:t>
            </w:r>
          </w:p>
        </w:tc>
      </w:tr>
      <w:tr w:rsidTr="000961A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7A3995">
            <w:pPr>
              <w:pStyle w:val="BodyText"/>
              <w:rPr>
                <w:lang w:val="en-NZ"/>
              </w:rPr>
            </w:pPr>
            <w:r w:rsidRPr="007A3995">
              <w:rPr>
                <w:rStyle w:val="BoldandItalics"/>
              </w:rPr>
              <w:t xml:space="preserve">Naming and storing of spreadsheets </w:t>
            </w:r>
            <w:r w:rsidRPr="007A3995">
              <w:t>may include:</w:t>
            </w:r>
          </w:p>
        </w:tc>
        <w:tc>
          <w:tcPr>
            <w:tcW w:w="6453" w:type="dxa"/>
            <w:tcBorders>
              <w:top w:val="nil"/>
              <w:left w:val="nil"/>
              <w:bottom w:val="nil"/>
              <w:right w:val="nil"/>
            </w:tcBorders>
            <w:tcMar>
              <w:top w:w="0" w:type="dxa"/>
              <w:left w:w="62" w:type="dxa"/>
              <w:bottom w:w="0" w:type="dxa"/>
              <w:right w:w="62" w:type="dxa"/>
            </w:tcMar>
          </w:tcPr>
          <w:p w:rsidR="00000000" w:rsidRPr="007A3995" w:rsidP="007A3995">
            <w:pPr>
              <w:pStyle w:val="ListBullet"/>
            </w:pPr>
            <w:r w:rsidRPr="007A3995">
              <w:t>authorised access</w:t>
            </w:r>
          </w:p>
          <w:p w:rsidR="00000000" w:rsidRPr="007A3995" w:rsidP="007A3995">
            <w:pPr>
              <w:pStyle w:val="ListBullet"/>
            </w:pPr>
            <w:r w:rsidRPr="007A3995">
              <w:t>file naming conventions</w:t>
            </w:r>
          </w:p>
          <w:p w:rsidR="00000000" w:rsidRPr="007A3995" w:rsidP="007A3995">
            <w:pPr>
              <w:pStyle w:val="ListBullet"/>
            </w:pPr>
            <w:r w:rsidRPr="007A3995">
              <w:t>filing locations</w:t>
            </w:r>
          </w:p>
          <w:p w:rsidR="00000000" w:rsidRPr="007A3995" w:rsidP="007A3995">
            <w:pPr>
              <w:pStyle w:val="ListBullet"/>
            </w:pPr>
            <w:r w:rsidRPr="007A3995">
              <w:t>organisational policy for backing up files</w:t>
            </w:r>
          </w:p>
          <w:p w:rsidR="00000000" w:rsidRPr="007A3995" w:rsidP="007A3995">
            <w:pPr>
              <w:pStyle w:val="ListBullet"/>
            </w:pPr>
            <w:r w:rsidRPr="007A3995">
              <w:t>organisational policy for filing hard copies of spreadsheets</w:t>
            </w:r>
          </w:p>
          <w:p w:rsidR="00000000" w:rsidRPr="007A3995" w:rsidP="007A3995">
            <w:pPr>
              <w:pStyle w:val="ListBullet"/>
            </w:pPr>
            <w:r w:rsidRPr="007A3995">
              <w:t>security</w:t>
            </w:r>
          </w:p>
          <w:p w:rsidR="00000000" w:rsidRPr="007A3995" w:rsidP="007A3995">
            <w:pPr>
              <w:pStyle w:val="ListBullet"/>
            </w:pPr>
            <w:r w:rsidRPr="007A3995">
              <w:t>storage in folders and sub-folders</w:t>
            </w:r>
          </w:p>
          <w:p w:rsidR="00000000" w:rsidRPr="007A3995" w:rsidP="007A3995">
            <w:pPr>
              <w:pStyle w:val="ListBullet"/>
            </w:pPr>
            <w:r w:rsidRPr="007A3995">
              <w:t xml:space="preserve">storage on: </w:t>
            </w:r>
          </w:p>
          <w:p w:rsidR="00000000" w:rsidRPr="007A3995" w:rsidP="007A3995">
            <w:pPr>
              <w:pStyle w:val="ListBullet2"/>
            </w:pPr>
            <w:r w:rsidRPr="007A3995">
              <w:t>disk drives</w:t>
            </w:r>
          </w:p>
          <w:p w:rsidR="00000000" w:rsidRPr="007A3995" w:rsidP="007A3995">
            <w:pPr>
              <w:pStyle w:val="ListBullet2"/>
            </w:pPr>
            <w:r w:rsidRPr="007A3995">
              <w:t>tape back-up</w:t>
            </w:r>
          </w:p>
          <w:p w:rsidR="00000000" w:rsidRPr="007A3995" w:rsidP="007A3995">
            <w:pPr>
              <w:pStyle w:val="ListBullet2"/>
            </w:pPr>
            <w:r w:rsidRPr="007A3995">
              <w:t>server.</w:t>
            </w:r>
          </w:p>
        </w:tc>
      </w:tr>
    </w:tbl>
    <w:p w:rsidR="00000000" w:rsidRPr="007A3995" w:rsidP="007A3995">
      <w:pPr>
        <w:pStyle w:val="BodyText"/>
      </w:pPr>
    </w:p>
    <w:p w:rsidR="00000000" w:rsidRPr="007A3995" w:rsidP="007A3995">
      <w:pPr>
        <w:pStyle w:val="AllowPageBreak"/>
      </w:pPr>
    </w:p>
    <w:p w:rsidR="00000000" w:rsidRPr="007A3995" w:rsidP="007A3995">
      <w:pPr>
        <w:pStyle w:val="Heading1"/>
      </w:pPr>
      <w:bookmarkStart w:id="12" w:name="O_509841"/>
      <w:bookmarkEnd w:id="12"/>
      <w:r w:rsidRPr="007A3995">
        <w:t>Unit Sector(s)</w:t>
      </w:r>
    </w:p>
    <w:p w:rsidR="00000000" w:rsidRPr="007A3995" w:rsidP="007A3995">
      <w:pPr>
        <w:pStyle w:val="BodyText"/>
      </w:pPr>
      <w:r w:rsidRPr="007A3995">
        <w:t>Surveying and spatial information services</w:t>
      </w:r>
    </w:p>
    <w:p w:rsidR="00000000" w:rsidRPr="007A3995" w:rsidP="007A3995">
      <w:pPr>
        <w:pStyle w:val="AllowPageBreak"/>
      </w:pPr>
    </w:p>
    <w:p w:rsidR="00000000" w:rsidRPr="007A3995" w:rsidP="007A3995">
      <w:pPr>
        <w:pStyle w:val="Heading1"/>
      </w:pPr>
      <w:bookmarkStart w:id="13" w:name="O_509830"/>
      <w:bookmarkEnd w:id="13"/>
      <w:r w:rsidRPr="007A3995">
        <w:t>Custom Content Section</w:t>
      </w:r>
    </w:p>
    <w:p w:rsidR="00000000" w:rsidRPr="007A3995" w:rsidP="007A3995">
      <w:pPr>
        <w:pStyle w:val="BodyText"/>
      </w:pPr>
      <w:r w:rsidRPr="007A3995">
        <w:t>Not applicable.</w:t>
      </w:r>
    </w:p>
    <w:p w:rsidR="00000000" w:rsidRPr="007A3995" w:rsidP="007A3995"/>
    <w:sectPr w:rsidSect="007A39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95" w:rsidRPr="000961A8" w:rsidP="000961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1A8" w:rsidP="007A39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961A8" w:rsidP="007A39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961A8" w:rsidP="007A39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95" w:rsidRPr="000961A8" w:rsidP="000961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1A8" w:rsidRPr="002D2AF8" w:rsidP="007A3995">
    <w:pPr>
      <w:pStyle w:val="Header"/>
      <w:framePr w:wrap="around"/>
    </w:pPr>
    <w:r>
      <w:fldChar w:fldCharType="begin"/>
    </w:r>
    <w:r>
      <w:instrText xml:space="preserve"> TITLE   \* MERGEFORMAT </w:instrText>
    </w:r>
    <w:r>
      <w:fldChar w:fldCharType="separate"/>
    </w:r>
    <w:r>
      <w:t>CPPSIS5060A Use complex spreadsheets for spatial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0961A8" w:rsidP="007A39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9AB9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4EBE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3464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9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995"/>
    <w:pPr>
      <w:spacing w:before="360" w:after="60"/>
      <w:outlineLvl w:val="0"/>
    </w:pPr>
    <w:rPr>
      <w:sz w:val="32"/>
    </w:rPr>
  </w:style>
  <w:style w:type="paragraph" w:styleId="Heading2">
    <w:name w:val="heading 2"/>
    <w:basedOn w:val="HeadingBase"/>
    <w:next w:val="BodyText"/>
    <w:link w:val="Heading2Char"/>
    <w:qFormat/>
    <w:rsid w:val="007A3995"/>
    <w:pPr>
      <w:keepLines/>
      <w:spacing w:before="240" w:after="120"/>
      <w:outlineLvl w:val="1"/>
    </w:pPr>
    <w:rPr>
      <w:sz w:val="28"/>
      <w:szCs w:val="40"/>
    </w:rPr>
  </w:style>
  <w:style w:type="paragraph" w:styleId="Heading3">
    <w:name w:val="heading 3"/>
    <w:basedOn w:val="HeadingBase"/>
    <w:next w:val="BodyText"/>
    <w:link w:val="Heading3Char"/>
    <w:qFormat/>
    <w:rsid w:val="007A3995"/>
    <w:pPr>
      <w:spacing w:before="180" w:after="120"/>
      <w:outlineLvl w:val="2"/>
    </w:pPr>
    <w:rPr>
      <w:spacing w:val="-10"/>
      <w:kern w:val="32"/>
    </w:rPr>
  </w:style>
  <w:style w:type="paragraph" w:styleId="Heading4">
    <w:name w:val="heading 4"/>
    <w:basedOn w:val="HeadingBase"/>
    <w:next w:val="BodyText"/>
    <w:link w:val="Heading4Char"/>
    <w:qFormat/>
    <w:rsid w:val="007A3995"/>
    <w:pPr>
      <w:spacing w:before="160" w:after="120"/>
      <w:outlineLvl w:val="3"/>
    </w:pPr>
    <w:rPr>
      <w:sz w:val="22"/>
    </w:rPr>
  </w:style>
  <w:style w:type="paragraph" w:styleId="Heading5">
    <w:name w:val="heading 5"/>
    <w:basedOn w:val="HeadingBase"/>
    <w:next w:val="Normal"/>
    <w:link w:val="Heading5Char"/>
    <w:qFormat/>
    <w:rsid w:val="007A3995"/>
    <w:pPr>
      <w:spacing w:before="80"/>
      <w:outlineLvl w:val="4"/>
    </w:pPr>
    <w:rPr>
      <w:color w:val="918585"/>
      <w:sz w:val="20"/>
    </w:rPr>
  </w:style>
  <w:style w:type="paragraph" w:styleId="Heading6">
    <w:name w:val="heading 6"/>
    <w:basedOn w:val="HeadingBase"/>
    <w:next w:val="Normal"/>
    <w:link w:val="Heading6Char"/>
    <w:qFormat/>
    <w:rsid w:val="007A3995"/>
    <w:pPr>
      <w:spacing w:before="60"/>
      <w:outlineLvl w:val="5"/>
    </w:pPr>
    <w:rPr>
      <w:color w:val="918585"/>
      <w:sz w:val="20"/>
    </w:rPr>
  </w:style>
  <w:style w:type="paragraph" w:styleId="Heading7">
    <w:name w:val="heading 7"/>
    <w:basedOn w:val="Normal"/>
    <w:next w:val="Normal"/>
    <w:link w:val="Heading7Char"/>
    <w:qFormat/>
    <w:rsid w:val="007A3995"/>
    <w:pPr>
      <w:ind w:left="720"/>
      <w:outlineLvl w:val="6"/>
    </w:pPr>
    <w:rPr>
      <w:i/>
    </w:rPr>
  </w:style>
  <w:style w:type="paragraph" w:styleId="Heading8">
    <w:name w:val="heading 8"/>
    <w:basedOn w:val="Normal"/>
    <w:next w:val="Normal"/>
    <w:link w:val="Heading8Char"/>
    <w:qFormat/>
    <w:rsid w:val="007A3995"/>
    <w:pPr>
      <w:ind w:left="720"/>
      <w:outlineLvl w:val="7"/>
    </w:pPr>
    <w:rPr>
      <w:i/>
    </w:rPr>
  </w:style>
  <w:style w:type="paragraph" w:styleId="Heading9">
    <w:name w:val="heading 9"/>
    <w:basedOn w:val="Normal"/>
    <w:next w:val="Normal"/>
    <w:link w:val="Heading9Char"/>
    <w:qFormat/>
    <w:rsid w:val="007A3995"/>
    <w:pPr>
      <w:ind w:left="720"/>
      <w:outlineLvl w:val="8"/>
    </w:pPr>
    <w:rPr>
      <w:i/>
    </w:rPr>
  </w:style>
  <w:style w:type="character" w:default="1" w:styleId="DefaultParagraphFont">
    <w:name w:val="Default Paragraph Font"/>
    <w:uiPriority w:val="1"/>
    <w:unhideWhenUsed/>
    <w:rsid w:val="007A39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995"/>
  </w:style>
  <w:style w:type="character" w:customStyle="1" w:styleId="Heading1Char">
    <w:name w:val="Heading 1 Char"/>
    <w:basedOn w:val="DefaultParagraphFont"/>
    <w:link w:val="Heading1"/>
    <w:rsid w:val="007A3995"/>
    <w:rPr>
      <w:rFonts w:ascii="Times New Roman" w:eastAsia="Times New Roman" w:hAnsi="Times New Roman" w:cs="Times New Roman"/>
      <w:b/>
      <w:sz w:val="32"/>
      <w:szCs w:val="20"/>
      <w:lang w:eastAsia="en-US"/>
    </w:rPr>
  </w:style>
  <w:style w:type="paragraph" w:styleId="BodyText">
    <w:name w:val="Body Text"/>
    <w:basedOn w:val="Normal"/>
    <w:link w:val="BodyTextChar"/>
    <w:rsid w:val="007A39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3995"/>
    <w:rPr>
      <w:rFonts w:ascii="Times New Roman" w:eastAsia="Times New Roman" w:hAnsi="Times New Roman" w:cs="Times New Roman"/>
      <w:sz w:val="24"/>
      <w:lang w:eastAsia="en-US"/>
    </w:rPr>
  </w:style>
  <w:style w:type="paragraph" w:styleId="ListBullet">
    <w:name w:val="List Bullet"/>
    <w:basedOn w:val="List"/>
    <w:rsid w:val="007A3995"/>
    <w:pPr>
      <w:numPr>
        <w:numId w:val="13"/>
      </w:numPr>
      <w:tabs>
        <w:tab w:val="clear" w:pos="340"/>
      </w:tabs>
      <w:spacing w:before="40" w:after="40"/>
    </w:pPr>
  </w:style>
  <w:style w:type="character" w:customStyle="1" w:styleId="SpecialBold">
    <w:name w:val="Special Bold"/>
    <w:basedOn w:val="DefaultParagraphFont"/>
    <w:rsid w:val="007A3995"/>
    <w:rPr>
      <w:b/>
      <w:spacing w:val="0"/>
    </w:rPr>
  </w:style>
  <w:style w:type="paragraph" w:styleId="ListBullet2">
    <w:name w:val="List Bullet 2"/>
    <w:basedOn w:val="List2"/>
    <w:rsid w:val="007A3995"/>
    <w:pPr>
      <w:numPr>
        <w:numId w:val="14"/>
      </w:numPr>
      <w:tabs>
        <w:tab w:val="clear" w:pos="680"/>
      </w:tabs>
    </w:pPr>
  </w:style>
  <w:style w:type="paragraph" w:customStyle="1" w:styleId="SuperHeading">
    <w:name w:val="SuperHeading"/>
    <w:basedOn w:val="Normal"/>
    <w:rsid w:val="007A3995"/>
    <w:pPr>
      <w:spacing w:before="240" w:after="120"/>
      <w:outlineLvl w:val="0"/>
    </w:pPr>
    <w:rPr>
      <w:rFonts w:ascii="Times New Roman" w:hAnsi="Times New Roman"/>
      <w:b/>
      <w:sz w:val="32"/>
    </w:rPr>
  </w:style>
  <w:style w:type="paragraph" w:customStyle="1" w:styleId="AllowPageBreak">
    <w:name w:val="AllowPageBreak"/>
    <w:rsid w:val="007A39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3995"/>
    <w:rPr>
      <w:b/>
      <w:i/>
      <w:u w:val="none"/>
    </w:rPr>
  </w:style>
  <w:style w:type="character" w:customStyle="1" w:styleId="Heading2Char">
    <w:name w:val="Heading 2 Char"/>
    <w:basedOn w:val="DefaultParagraphFont"/>
    <w:link w:val="Heading2"/>
    <w:rsid w:val="007A39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9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9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9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9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9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9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995"/>
    <w:rPr>
      <w:rFonts w:ascii="Courier New" w:eastAsia="Times New Roman" w:hAnsi="Courier New" w:cs="Times New Roman"/>
      <w:i/>
      <w:szCs w:val="20"/>
      <w:lang w:eastAsia="en-US"/>
    </w:rPr>
  </w:style>
  <w:style w:type="paragraph" w:customStyle="1" w:styleId="HeadingBase">
    <w:name w:val="Heading Base"/>
    <w:rsid w:val="007A39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995"/>
    <w:pPr>
      <w:tabs>
        <w:tab w:val="right" w:leader="dot" w:pos="9072"/>
      </w:tabs>
      <w:ind w:left="567"/>
    </w:pPr>
    <w:rPr>
      <w:szCs w:val="22"/>
    </w:rPr>
  </w:style>
  <w:style w:type="paragraph" w:customStyle="1" w:styleId="TOCBase">
    <w:name w:val="TOC Base"/>
    <w:rsid w:val="007A39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995"/>
    <w:pPr>
      <w:tabs>
        <w:tab w:val="right" w:leader="dot" w:pos="9072"/>
      </w:tabs>
      <w:spacing w:before="40" w:after="40"/>
      <w:ind w:left="284"/>
    </w:pPr>
    <w:rPr>
      <w:rFonts w:ascii="Times New Roman" w:hAnsi="Times New Roman"/>
    </w:rPr>
  </w:style>
  <w:style w:type="paragraph" w:styleId="TOC1">
    <w:name w:val="toc 1"/>
    <w:basedOn w:val="TOCBase"/>
    <w:next w:val="Normal"/>
    <w:rsid w:val="007A39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9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995"/>
    <w:rPr>
      <w:rFonts w:ascii="Times New Roman" w:eastAsia="Times New Roman" w:hAnsi="Times New Roman" w:cs="Times New Roman"/>
      <w:sz w:val="16"/>
      <w:lang w:eastAsia="en-US"/>
    </w:rPr>
  </w:style>
  <w:style w:type="paragraph" w:styleId="Title">
    <w:name w:val="Title"/>
    <w:basedOn w:val="HeadingBase"/>
    <w:link w:val="TitleChar"/>
    <w:qFormat/>
    <w:rsid w:val="007A3995"/>
    <w:pPr>
      <w:spacing w:before="5040"/>
      <w:jc w:val="center"/>
    </w:pPr>
    <w:rPr>
      <w:sz w:val="48"/>
      <w:szCs w:val="72"/>
      <w:lang w:val="en-US"/>
    </w:rPr>
  </w:style>
  <w:style w:type="character" w:customStyle="1" w:styleId="TitleChar">
    <w:name w:val="Title Char"/>
    <w:basedOn w:val="DefaultParagraphFont"/>
    <w:link w:val="Title"/>
    <w:rsid w:val="007A39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995"/>
    <w:pPr>
      <w:tabs>
        <w:tab w:val="left" w:pos="3600"/>
        <w:tab w:val="left" w:pos="3958"/>
      </w:tabs>
    </w:pPr>
  </w:style>
  <w:style w:type="paragraph" w:styleId="List">
    <w:name w:val="List"/>
    <w:basedOn w:val="BodyText"/>
    <w:next w:val="BodyText"/>
    <w:rsid w:val="007A3995"/>
    <w:pPr>
      <w:tabs>
        <w:tab w:val="left" w:pos="340"/>
      </w:tabs>
      <w:spacing w:before="60" w:after="60"/>
      <w:ind w:left="340" w:hanging="340"/>
    </w:pPr>
  </w:style>
  <w:style w:type="paragraph" w:customStyle="1" w:styleId="Note">
    <w:name w:val="Note"/>
    <w:basedOn w:val="BodyText"/>
    <w:rsid w:val="007A39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995"/>
    <w:pPr>
      <w:framePr w:wrap="auto" w:hAnchor="text" w:y="6049"/>
    </w:pPr>
    <w:rPr>
      <w:color w:val="000000"/>
      <w:sz w:val="40"/>
    </w:rPr>
  </w:style>
  <w:style w:type="paragraph" w:customStyle="1" w:styleId="TOCTitle">
    <w:name w:val="TOCTitle"/>
    <w:basedOn w:val="Heading1"/>
    <w:rsid w:val="007A3995"/>
    <w:pPr>
      <w:spacing w:after="240"/>
      <w:jc w:val="center"/>
      <w:outlineLvl w:val="9"/>
    </w:pPr>
    <w:rPr>
      <w:caps/>
    </w:rPr>
  </w:style>
  <w:style w:type="paragraph" w:customStyle="1" w:styleId="Version">
    <w:name w:val="Version"/>
    <w:rsid w:val="007A39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3995"/>
    <w:pPr>
      <w:keepNext w:val="0"/>
      <w:tabs>
        <w:tab w:val="right" w:pos="4176"/>
      </w:tabs>
      <w:ind w:left="198" w:hanging="198"/>
    </w:pPr>
    <w:rPr>
      <w:rFonts w:ascii="Garamond" w:hAnsi="Garamond"/>
    </w:rPr>
  </w:style>
  <w:style w:type="paragraph" w:styleId="IndexHeading">
    <w:name w:val="index heading"/>
    <w:basedOn w:val="Normal"/>
    <w:next w:val="Index1"/>
    <w:semiHidden/>
    <w:rsid w:val="007A3995"/>
    <w:pPr>
      <w:spacing w:before="120" w:after="120"/>
    </w:pPr>
    <w:rPr>
      <w:rFonts w:ascii="Arial" w:hAnsi="Arial"/>
      <w:b/>
      <w:color w:val="918585"/>
      <w:sz w:val="24"/>
    </w:rPr>
  </w:style>
  <w:style w:type="paragraph" w:styleId="Header">
    <w:name w:val="header"/>
    <w:basedOn w:val="Normal"/>
    <w:link w:val="HeaderChar"/>
    <w:rsid w:val="007A39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995"/>
    <w:rPr>
      <w:rFonts w:ascii="Times New Roman" w:eastAsia="Times New Roman" w:hAnsi="Times New Roman" w:cs="Times New Roman"/>
      <w:sz w:val="16"/>
      <w:szCs w:val="20"/>
      <w:lang w:val="en-GB" w:eastAsia="en-US"/>
    </w:rPr>
  </w:style>
  <w:style w:type="paragraph" w:customStyle="1" w:styleId="Chapter">
    <w:name w:val="Chapter"/>
    <w:basedOn w:val="Normal"/>
    <w:rsid w:val="007A3995"/>
    <w:pPr>
      <w:spacing w:before="240"/>
    </w:pPr>
    <w:rPr>
      <w:rFonts w:ascii="Times New Roman" w:hAnsi="Times New Roman"/>
      <w:smallCaps/>
      <w:spacing w:val="80"/>
      <w:sz w:val="28"/>
    </w:rPr>
  </w:style>
  <w:style w:type="paragraph" w:customStyle="1" w:styleId="InChapter">
    <w:name w:val="InChapter"/>
    <w:basedOn w:val="Heading3"/>
    <w:rsid w:val="007A3995"/>
    <w:pPr>
      <w:spacing w:after="240"/>
      <w:outlineLvl w:val="9"/>
    </w:pPr>
    <w:rPr>
      <w:noProof/>
    </w:rPr>
  </w:style>
  <w:style w:type="paragraph" w:styleId="Index2">
    <w:name w:val="index 2"/>
    <w:basedOn w:val="Normal"/>
    <w:next w:val="Normal"/>
    <w:semiHidden/>
    <w:rsid w:val="007A3995"/>
    <w:pPr>
      <w:tabs>
        <w:tab w:val="right" w:pos="4176"/>
      </w:tabs>
      <w:ind w:left="568" w:hanging="284"/>
    </w:pPr>
    <w:rPr>
      <w:rFonts w:ascii="Garamond" w:hAnsi="Garamond"/>
    </w:rPr>
  </w:style>
  <w:style w:type="paragraph" w:customStyle="1" w:styleId="Byline">
    <w:name w:val="Byline"/>
    <w:rsid w:val="007A39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995"/>
    <w:pPr>
      <w:tabs>
        <w:tab w:val="clear" w:pos="3600"/>
        <w:tab w:val="clear" w:pos="3958"/>
      </w:tabs>
      <w:jc w:val="right"/>
    </w:pPr>
  </w:style>
  <w:style w:type="character" w:styleId="Emphasis">
    <w:name w:val="Emphasis"/>
    <w:basedOn w:val="DefaultParagraphFont"/>
    <w:qFormat/>
    <w:rsid w:val="007A3995"/>
    <w:rPr>
      <w:i/>
    </w:rPr>
  </w:style>
  <w:style w:type="paragraph" w:styleId="Caption">
    <w:name w:val="caption"/>
    <w:basedOn w:val="BodyText"/>
    <w:next w:val="Normal"/>
    <w:qFormat/>
    <w:rsid w:val="007A3995"/>
    <w:pPr>
      <w:framePr w:w="2268" w:hSpace="181" w:vSpace="181" w:wrap="around" w:vAnchor="text" w:hAnchor="page" w:x="1135" w:y="285" w:anchorLock="1"/>
    </w:pPr>
    <w:rPr>
      <w:i/>
    </w:rPr>
  </w:style>
  <w:style w:type="paragraph" w:customStyle="1" w:styleId="MiniTOCTitle">
    <w:name w:val="MiniTOCTitle"/>
    <w:basedOn w:val="Heading4"/>
    <w:rsid w:val="007A3995"/>
    <w:pPr>
      <w:spacing w:before="240"/>
      <w:outlineLvl w:val="9"/>
    </w:pPr>
    <w:rPr>
      <w:noProof/>
      <w:sz w:val="24"/>
    </w:rPr>
  </w:style>
  <w:style w:type="paragraph" w:customStyle="1" w:styleId="MiniTOCItem">
    <w:name w:val="MiniTOCItem"/>
    <w:basedOn w:val="ListBullet"/>
    <w:rsid w:val="007A3995"/>
    <w:pPr>
      <w:numPr>
        <w:numId w:val="0"/>
      </w:numPr>
      <w:tabs>
        <w:tab w:val="right" w:leader="dot" w:pos="6521"/>
      </w:tabs>
      <w:spacing w:before="0" w:after="0"/>
    </w:pPr>
  </w:style>
  <w:style w:type="paragraph" w:customStyle="1" w:styleId="TOFTitle">
    <w:name w:val="TOFTitle"/>
    <w:basedOn w:val="TOCTitle"/>
    <w:rsid w:val="007A3995"/>
  </w:style>
  <w:style w:type="paragraph" w:styleId="TableofFigures">
    <w:name w:val="table of figures"/>
    <w:basedOn w:val="Normal"/>
    <w:next w:val="Normal"/>
    <w:semiHidden/>
    <w:rsid w:val="007A3995"/>
    <w:pPr>
      <w:tabs>
        <w:tab w:val="right" w:leader="dot" w:pos="9072"/>
      </w:tabs>
      <w:ind w:left="970" w:hanging="403"/>
    </w:pPr>
    <w:rPr>
      <w:rFonts w:ascii="Times New Roman" w:hAnsi="Times New Roman"/>
      <w:b/>
    </w:rPr>
  </w:style>
  <w:style w:type="paragraph" w:styleId="ListNumber">
    <w:name w:val="List Number"/>
    <w:basedOn w:val="List"/>
    <w:rsid w:val="007A3995"/>
    <w:pPr>
      <w:numPr>
        <w:numId w:val="11"/>
      </w:numPr>
    </w:pPr>
  </w:style>
  <w:style w:type="character" w:customStyle="1" w:styleId="WingdingSymbols">
    <w:name w:val="Wingding Symbols"/>
    <w:rsid w:val="007A3995"/>
    <w:rPr>
      <w:rFonts w:ascii="Wingdings" w:hAnsi="Wingdings"/>
    </w:rPr>
  </w:style>
  <w:style w:type="paragraph" w:customStyle="1" w:styleId="TableHeading">
    <w:name w:val="Table Heading"/>
    <w:basedOn w:val="HeadingBase"/>
    <w:rsid w:val="007A3995"/>
    <w:pPr>
      <w:keepLines/>
      <w:pBdr>
        <w:bottom w:val="single" w:sz="6" w:space="1" w:color="918585"/>
      </w:pBdr>
      <w:spacing w:before="240"/>
    </w:pPr>
  </w:style>
  <w:style w:type="character" w:customStyle="1" w:styleId="HotSpot">
    <w:name w:val="HotSpot"/>
    <w:rsid w:val="007A3995"/>
    <w:rPr>
      <w:color w:val="0033CC"/>
      <w:u w:val="none"/>
    </w:rPr>
  </w:style>
  <w:style w:type="paragraph" w:customStyle="1" w:styleId="BodyTextRight">
    <w:name w:val="Body Text Right"/>
    <w:basedOn w:val="BodyText"/>
    <w:rsid w:val="007A3995"/>
    <w:pPr>
      <w:spacing w:before="0" w:after="0"/>
      <w:jc w:val="right"/>
    </w:pPr>
  </w:style>
  <w:style w:type="paragraph" w:styleId="Index3">
    <w:name w:val="index 3"/>
    <w:basedOn w:val="ListNumber2"/>
    <w:next w:val="Normal"/>
    <w:semiHidden/>
    <w:rsid w:val="007A3995"/>
    <w:pPr>
      <w:numPr>
        <w:numId w:val="0"/>
      </w:numPr>
      <w:tabs>
        <w:tab w:val="right" w:leader="dot" w:pos="4176"/>
      </w:tabs>
    </w:pPr>
  </w:style>
  <w:style w:type="paragraph" w:styleId="ListNumber2">
    <w:name w:val="List Number 2"/>
    <w:basedOn w:val="List2"/>
    <w:rsid w:val="007A3995"/>
    <w:pPr>
      <w:numPr>
        <w:numId w:val="10"/>
      </w:numPr>
      <w:tabs>
        <w:tab w:val="clear" w:pos="1060"/>
      </w:tabs>
    </w:pPr>
  </w:style>
  <w:style w:type="paragraph" w:customStyle="1" w:styleId="MarginNote">
    <w:name w:val="Margin Note"/>
    <w:basedOn w:val="BodyText"/>
    <w:rsid w:val="007A39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9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9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995"/>
    <w:rPr>
      <w:sz w:val="32"/>
    </w:rPr>
  </w:style>
  <w:style w:type="paragraph" w:customStyle="1" w:styleId="HeadingProcedure">
    <w:name w:val="Heading Procedure"/>
    <w:basedOn w:val="HeadingBase"/>
    <w:next w:val="Normal"/>
    <w:rsid w:val="007A3995"/>
    <w:pPr>
      <w:tabs>
        <w:tab w:val="left" w:pos="0"/>
      </w:tabs>
      <w:spacing w:before="120" w:after="60"/>
    </w:pPr>
    <w:rPr>
      <w:i/>
      <w:color w:val="918585"/>
      <w:sz w:val="22"/>
    </w:rPr>
  </w:style>
  <w:style w:type="paragraph" w:customStyle="1" w:styleId="TableBodyText">
    <w:name w:val="Table Body Text"/>
    <w:basedOn w:val="BodyText"/>
    <w:rsid w:val="007A3995"/>
    <w:pPr>
      <w:spacing w:before="60" w:after="60"/>
    </w:pPr>
  </w:style>
  <w:style w:type="paragraph" w:styleId="ListContinue">
    <w:name w:val="List Continue"/>
    <w:basedOn w:val="List"/>
    <w:rsid w:val="007A3995"/>
    <w:pPr>
      <w:ind w:firstLine="0"/>
    </w:pPr>
  </w:style>
  <w:style w:type="paragraph" w:customStyle="1" w:styleId="ListNote">
    <w:name w:val="List Note"/>
    <w:basedOn w:val="List"/>
    <w:rsid w:val="007A3995"/>
    <w:pPr>
      <w:pBdr>
        <w:top w:val="single" w:sz="6" w:space="2" w:color="918585"/>
        <w:bottom w:val="single" w:sz="6" w:space="2" w:color="918585"/>
      </w:pBdr>
      <w:tabs>
        <w:tab w:val="left" w:pos="1021"/>
      </w:tabs>
      <w:ind w:firstLine="0"/>
    </w:pPr>
  </w:style>
  <w:style w:type="paragraph" w:customStyle="1" w:styleId="Warning">
    <w:name w:val="Warning"/>
    <w:basedOn w:val="BodyText"/>
    <w:rsid w:val="007A3995"/>
    <w:pPr>
      <w:shd w:val="clear" w:color="auto" w:fill="D9D9D9"/>
      <w:tabs>
        <w:tab w:val="left" w:pos="992"/>
      </w:tabs>
      <w:ind w:left="119" w:right="119"/>
    </w:pPr>
    <w:rPr>
      <w:sz w:val="20"/>
    </w:rPr>
  </w:style>
  <w:style w:type="paragraph" w:customStyle="1" w:styleId="MarginIcons">
    <w:name w:val="Margin Icons"/>
    <w:basedOn w:val="BodyText"/>
    <w:rsid w:val="007A39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995"/>
    <w:rPr>
      <w:rFonts w:ascii="Courier New" w:hAnsi="Courier New"/>
    </w:rPr>
  </w:style>
  <w:style w:type="paragraph" w:customStyle="1" w:styleId="NoteBullet">
    <w:name w:val="Note Bullet"/>
    <w:basedOn w:val="Note"/>
    <w:rsid w:val="007A3995"/>
    <w:pPr>
      <w:tabs>
        <w:tab w:val="clear" w:pos="680"/>
      </w:tabs>
      <w:spacing w:before="60" w:after="60"/>
    </w:pPr>
  </w:style>
  <w:style w:type="paragraph" w:customStyle="1" w:styleId="SubHeading2">
    <w:name w:val="SubHeading2"/>
    <w:basedOn w:val="HeadingBase"/>
    <w:rsid w:val="007A3995"/>
    <w:pPr>
      <w:spacing w:before="240" w:after="60"/>
    </w:pPr>
    <w:rPr>
      <w:sz w:val="20"/>
    </w:rPr>
  </w:style>
  <w:style w:type="paragraph" w:customStyle="1" w:styleId="SubHeading1">
    <w:name w:val="SubHeading1"/>
    <w:basedOn w:val="HeadingBase"/>
    <w:rsid w:val="007A3995"/>
    <w:pPr>
      <w:spacing w:before="240" w:after="60"/>
    </w:pPr>
    <w:rPr>
      <w:color w:val="918585"/>
      <w:sz w:val="22"/>
    </w:rPr>
  </w:style>
  <w:style w:type="paragraph" w:customStyle="1" w:styleId="SideHeading">
    <w:name w:val="Side Heading"/>
    <w:basedOn w:val="HeadingBase"/>
    <w:rsid w:val="007A39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995"/>
    <w:pPr>
      <w:numPr>
        <w:numId w:val="12"/>
      </w:numPr>
    </w:pPr>
  </w:style>
  <w:style w:type="paragraph" w:styleId="PlainText">
    <w:name w:val="Plain Text"/>
    <w:basedOn w:val="Normal"/>
    <w:link w:val="PlainTextChar"/>
    <w:rsid w:val="007A3995"/>
    <w:rPr>
      <w:sz w:val="20"/>
    </w:rPr>
  </w:style>
  <w:style w:type="character" w:customStyle="1" w:styleId="PlainTextChar">
    <w:name w:val="Plain Text Char"/>
    <w:basedOn w:val="DefaultParagraphFont"/>
    <w:link w:val="PlainText"/>
    <w:rsid w:val="007A3995"/>
    <w:rPr>
      <w:rFonts w:ascii="Courier New" w:eastAsia="Times New Roman" w:hAnsi="Courier New" w:cs="Times New Roman"/>
      <w:sz w:val="20"/>
      <w:szCs w:val="20"/>
      <w:lang w:eastAsia="en-US"/>
    </w:rPr>
  </w:style>
  <w:style w:type="character" w:customStyle="1" w:styleId="MenuOption">
    <w:name w:val="Menu Option"/>
    <w:basedOn w:val="DefaultParagraphFont"/>
    <w:rsid w:val="007A3995"/>
    <w:rPr>
      <w:b/>
      <w:smallCaps/>
    </w:rPr>
  </w:style>
  <w:style w:type="paragraph" w:customStyle="1" w:styleId="TableListNumber">
    <w:name w:val="Table List Number"/>
    <w:basedOn w:val="ListNumber"/>
    <w:rsid w:val="007A3995"/>
    <w:pPr>
      <w:numPr>
        <w:numId w:val="0"/>
      </w:numPr>
    </w:pPr>
  </w:style>
  <w:style w:type="paragraph" w:styleId="TOC4">
    <w:name w:val="toc 4"/>
    <w:basedOn w:val="TOCBase"/>
    <w:next w:val="Normal"/>
    <w:semiHidden/>
    <w:rsid w:val="007A3995"/>
    <w:pPr>
      <w:tabs>
        <w:tab w:val="right" w:leader="dot" w:pos="9071"/>
      </w:tabs>
      <w:ind w:left="1701"/>
    </w:pPr>
  </w:style>
  <w:style w:type="paragraph" w:customStyle="1" w:styleId="ListAlpha">
    <w:name w:val="List Alpha"/>
    <w:basedOn w:val="List"/>
    <w:rsid w:val="007A3995"/>
    <w:pPr>
      <w:numPr>
        <w:numId w:val="9"/>
      </w:numPr>
    </w:pPr>
  </w:style>
  <w:style w:type="paragraph" w:customStyle="1" w:styleId="ListAlpha2">
    <w:name w:val="List Alpha 2"/>
    <w:basedOn w:val="List2"/>
    <w:rsid w:val="007A3995"/>
    <w:pPr>
      <w:numPr>
        <w:numId w:val="8"/>
      </w:numPr>
    </w:pPr>
  </w:style>
  <w:style w:type="paragraph" w:styleId="List2">
    <w:name w:val="List 2"/>
    <w:basedOn w:val="BodyText"/>
    <w:rsid w:val="007A3995"/>
    <w:pPr>
      <w:tabs>
        <w:tab w:val="left" w:pos="680"/>
      </w:tabs>
      <w:spacing w:before="60" w:after="60"/>
      <w:ind w:left="680" w:hanging="340"/>
    </w:pPr>
  </w:style>
  <w:style w:type="paragraph" w:styleId="List3">
    <w:name w:val="List 3"/>
    <w:basedOn w:val="BodyText"/>
    <w:rsid w:val="007A3995"/>
    <w:pPr>
      <w:tabs>
        <w:tab w:val="left" w:pos="1021"/>
      </w:tabs>
      <w:spacing w:before="60" w:after="60"/>
      <w:ind w:left="1020" w:hanging="340"/>
    </w:pPr>
  </w:style>
  <w:style w:type="paragraph" w:styleId="List4">
    <w:name w:val="List 4"/>
    <w:basedOn w:val="BodyText"/>
    <w:rsid w:val="007A3995"/>
    <w:pPr>
      <w:tabs>
        <w:tab w:val="left" w:pos="1361"/>
      </w:tabs>
      <w:spacing w:before="60" w:after="60"/>
      <w:ind w:left="1361" w:hanging="340"/>
    </w:pPr>
  </w:style>
  <w:style w:type="paragraph" w:styleId="List5">
    <w:name w:val="List 5"/>
    <w:basedOn w:val="BodyText"/>
    <w:rsid w:val="007A3995"/>
    <w:pPr>
      <w:tabs>
        <w:tab w:val="left" w:pos="1701"/>
      </w:tabs>
      <w:spacing w:before="60" w:after="60"/>
      <w:ind w:left="1701" w:hanging="340"/>
    </w:pPr>
  </w:style>
  <w:style w:type="paragraph" w:styleId="ListBullet3">
    <w:name w:val="List Bullet 3"/>
    <w:basedOn w:val="List3"/>
    <w:rsid w:val="007A3995"/>
    <w:pPr>
      <w:numPr>
        <w:numId w:val="15"/>
      </w:numPr>
      <w:tabs>
        <w:tab w:val="clear" w:pos="1021"/>
      </w:tabs>
      <w:ind w:left="1037" w:hanging="357"/>
    </w:pPr>
  </w:style>
  <w:style w:type="paragraph" w:styleId="ListBullet4">
    <w:name w:val="List Bullet 4"/>
    <w:basedOn w:val="List4"/>
    <w:rsid w:val="007A3995"/>
    <w:pPr>
      <w:numPr>
        <w:numId w:val="3"/>
      </w:numPr>
    </w:pPr>
  </w:style>
  <w:style w:type="paragraph" w:styleId="ListBullet5">
    <w:name w:val="List Bullet 5"/>
    <w:basedOn w:val="List5"/>
    <w:rsid w:val="007A3995"/>
    <w:pPr>
      <w:numPr>
        <w:numId w:val="4"/>
      </w:numPr>
    </w:pPr>
  </w:style>
  <w:style w:type="paragraph" w:styleId="ListContinue2">
    <w:name w:val="List Continue 2"/>
    <w:basedOn w:val="List2"/>
    <w:rsid w:val="007A3995"/>
    <w:pPr>
      <w:ind w:firstLine="0"/>
    </w:pPr>
  </w:style>
  <w:style w:type="paragraph" w:styleId="ListContinue3">
    <w:name w:val="List Continue 3"/>
    <w:basedOn w:val="List3"/>
    <w:rsid w:val="007A3995"/>
    <w:pPr>
      <w:ind w:left="1021" w:firstLine="0"/>
    </w:pPr>
  </w:style>
  <w:style w:type="paragraph" w:styleId="ListContinue4">
    <w:name w:val="List Continue 4"/>
    <w:basedOn w:val="List4"/>
    <w:rsid w:val="007A3995"/>
    <w:pPr>
      <w:ind w:firstLine="0"/>
    </w:pPr>
  </w:style>
  <w:style w:type="paragraph" w:styleId="ListContinue5">
    <w:name w:val="List Continue 5"/>
    <w:basedOn w:val="List5"/>
    <w:rsid w:val="007A3995"/>
    <w:pPr>
      <w:ind w:firstLine="0"/>
    </w:pPr>
  </w:style>
  <w:style w:type="paragraph" w:styleId="ListNumber3">
    <w:name w:val="List Number 3"/>
    <w:basedOn w:val="List3"/>
    <w:rsid w:val="007A3995"/>
    <w:pPr>
      <w:numPr>
        <w:numId w:val="5"/>
      </w:numPr>
    </w:pPr>
  </w:style>
  <w:style w:type="paragraph" w:styleId="ListNumber4">
    <w:name w:val="List Number 4"/>
    <w:basedOn w:val="List4"/>
    <w:rsid w:val="007A3995"/>
    <w:pPr>
      <w:numPr>
        <w:numId w:val="6"/>
      </w:numPr>
    </w:pPr>
  </w:style>
  <w:style w:type="paragraph" w:styleId="ListNumber5">
    <w:name w:val="List Number 5"/>
    <w:basedOn w:val="List5"/>
    <w:rsid w:val="007A3995"/>
    <w:pPr>
      <w:numPr>
        <w:numId w:val="7"/>
      </w:numPr>
    </w:pPr>
  </w:style>
  <w:style w:type="paragraph" w:styleId="BlockText">
    <w:name w:val="Block Text"/>
    <w:basedOn w:val="Normal"/>
    <w:rsid w:val="007A3995"/>
    <w:pPr>
      <w:spacing w:after="120"/>
      <w:ind w:left="1440" w:right="1440"/>
    </w:pPr>
  </w:style>
  <w:style w:type="character" w:customStyle="1" w:styleId="Subscript">
    <w:name w:val="Subscript"/>
    <w:basedOn w:val="DefaultParagraphFont"/>
    <w:rsid w:val="007A3995"/>
    <w:rPr>
      <w:sz w:val="16"/>
      <w:vertAlign w:val="subscript"/>
    </w:rPr>
  </w:style>
  <w:style w:type="character" w:customStyle="1" w:styleId="Superscript">
    <w:name w:val="Superscript"/>
    <w:basedOn w:val="DefaultParagraphFont"/>
    <w:rsid w:val="007A3995"/>
    <w:rPr>
      <w:sz w:val="16"/>
      <w:vertAlign w:val="superscript"/>
    </w:rPr>
  </w:style>
  <w:style w:type="character" w:customStyle="1" w:styleId="Symbols">
    <w:name w:val="Symbols"/>
    <w:basedOn w:val="DefaultParagraphFont"/>
    <w:rsid w:val="007A3995"/>
    <w:rPr>
      <w:rFonts w:ascii="Symbol" w:hAnsi="Symbol"/>
    </w:rPr>
  </w:style>
  <w:style w:type="character" w:customStyle="1" w:styleId="MenuOptions">
    <w:name w:val="Menu Options"/>
    <w:basedOn w:val="DefaultParagraphFont"/>
    <w:rsid w:val="007A3995"/>
    <w:rPr>
      <w:rFonts w:ascii="Arial Narrow" w:hAnsi="Arial Narrow"/>
      <w:smallCaps/>
    </w:rPr>
  </w:style>
  <w:style w:type="character" w:customStyle="1" w:styleId="Buttons">
    <w:name w:val="Buttons"/>
    <w:basedOn w:val="DefaultParagraphFont"/>
    <w:rsid w:val="007A3995"/>
    <w:rPr>
      <w:b/>
    </w:rPr>
  </w:style>
  <w:style w:type="character" w:customStyle="1" w:styleId="Underlined">
    <w:name w:val="Underlined"/>
    <w:basedOn w:val="DefaultParagraphFont"/>
    <w:rsid w:val="007A3995"/>
    <w:rPr>
      <w:u w:val="single"/>
    </w:rPr>
  </w:style>
  <w:style w:type="paragraph" w:customStyle="1" w:styleId="TableBodyTextRight">
    <w:name w:val="Table Body Text Right"/>
    <w:basedOn w:val="TableBodyText"/>
    <w:rsid w:val="007A3995"/>
    <w:pPr>
      <w:widowControl w:val="0"/>
      <w:autoSpaceDE w:val="0"/>
      <w:autoSpaceDN w:val="0"/>
      <w:adjustRightInd w:val="0"/>
      <w:jc w:val="right"/>
    </w:pPr>
    <w:rPr>
      <w:rFonts w:cs="Arial"/>
      <w:szCs w:val="18"/>
    </w:rPr>
  </w:style>
  <w:style w:type="paragraph" w:customStyle="1" w:styleId="CopyrightText">
    <w:name w:val="Copyright Text"/>
    <w:basedOn w:val="BodyText"/>
    <w:rsid w:val="007A3995"/>
    <w:rPr>
      <w:sz w:val="18"/>
    </w:rPr>
  </w:style>
  <w:style w:type="paragraph" w:customStyle="1" w:styleId="BodySmallRight">
    <w:name w:val="Body Small Right"/>
    <w:basedOn w:val="BodyTextRight"/>
    <w:rsid w:val="007A3995"/>
    <w:rPr>
      <w:sz w:val="18"/>
      <w:szCs w:val="18"/>
    </w:rPr>
  </w:style>
  <w:style w:type="paragraph" w:customStyle="1" w:styleId="MarginEdition">
    <w:name w:val="Margin Edition"/>
    <w:basedOn w:val="MarginNote"/>
    <w:rsid w:val="007A3995"/>
    <w:pPr>
      <w:spacing w:before="0" w:after="0"/>
    </w:pPr>
    <w:rPr>
      <w:rFonts w:ascii="Times New Roman" w:hAnsi="Times New Roman"/>
      <w:color w:val="999999"/>
    </w:rPr>
  </w:style>
  <w:style w:type="paragraph" w:customStyle="1" w:styleId="Spacer">
    <w:name w:val="Spacer"/>
    <w:basedOn w:val="Normal"/>
    <w:rsid w:val="007A3995"/>
    <w:rPr>
      <w:sz w:val="2"/>
      <w:szCs w:val="2"/>
    </w:rPr>
  </w:style>
  <w:style w:type="character" w:customStyle="1" w:styleId="Small">
    <w:name w:val="Small"/>
    <w:basedOn w:val="DefaultParagraphFont"/>
    <w:rsid w:val="007A3995"/>
    <w:rPr>
      <w:sz w:val="16"/>
    </w:rPr>
  </w:style>
  <w:style w:type="paragraph" w:customStyle="1" w:styleId="WideTable">
    <w:name w:val="Wide Table"/>
    <w:basedOn w:val="Normal"/>
    <w:rsid w:val="007A3995"/>
    <w:pPr>
      <w:ind w:left="-1418"/>
    </w:pPr>
    <w:rPr>
      <w:sz w:val="2"/>
      <w:szCs w:val="2"/>
    </w:rPr>
  </w:style>
  <w:style w:type="character" w:styleId="PageNumber">
    <w:name w:val="page number"/>
    <w:basedOn w:val="DefaultParagraphFont"/>
    <w:rsid w:val="007A3995"/>
  </w:style>
  <w:style w:type="paragraph" w:styleId="Quote">
    <w:name w:val="Quote"/>
    <w:basedOn w:val="Heading1"/>
    <w:link w:val="QuoteChar"/>
    <w:qFormat/>
    <w:rsid w:val="007A3995"/>
    <w:rPr>
      <w:b w:val="0"/>
      <w:sz w:val="72"/>
      <w:szCs w:val="72"/>
      <w:lang w:val="en-NZ"/>
    </w:rPr>
  </w:style>
  <w:style w:type="character" w:customStyle="1" w:styleId="QuoteChar">
    <w:name w:val="Quote Char"/>
    <w:basedOn w:val="DefaultParagraphFont"/>
    <w:link w:val="Quote"/>
    <w:rsid w:val="007A39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995"/>
    <w:pPr>
      <w:pageBreakBefore/>
    </w:pPr>
  </w:style>
  <w:style w:type="paragraph" w:customStyle="1" w:styleId="Border">
    <w:name w:val="Border"/>
    <w:basedOn w:val="Normal"/>
    <w:qFormat/>
    <w:rsid w:val="007A39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995"/>
    <w:rPr>
      <w:b/>
      <w:bCs/>
      <w:i/>
      <w:iCs/>
      <w:color w:val="auto"/>
    </w:rPr>
  </w:style>
  <w:style w:type="paragraph" w:styleId="IntenseQuote">
    <w:name w:val="Intense Quote"/>
    <w:basedOn w:val="Normal"/>
    <w:next w:val="Normal"/>
    <w:link w:val="IntenseQuoteChar"/>
    <w:uiPriority w:val="30"/>
    <w:qFormat/>
    <w:rsid w:val="007A39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9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995"/>
    <w:rPr>
      <w:smallCaps/>
      <w:color w:val="auto"/>
      <w:u w:val="single"/>
    </w:rPr>
  </w:style>
  <w:style w:type="character" w:styleId="IntenseReference">
    <w:name w:val="Intense Reference"/>
    <w:basedOn w:val="DefaultParagraphFont"/>
    <w:uiPriority w:val="32"/>
    <w:qFormat/>
    <w:rsid w:val="007A3995"/>
    <w:rPr>
      <w:b/>
      <w:bCs/>
      <w:smallCaps/>
      <w:color w:val="auto"/>
      <w:spacing w:val="5"/>
      <w:u w:val="single"/>
    </w:rPr>
  </w:style>
  <w:style w:type="paragraph" w:customStyle="1" w:styleId="2ColumnHeading">
    <w:name w:val="2Column Heading"/>
    <w:basedOn w:val="BodyText"/>
    <w:qFormat/>
    <w:rsid w:val="007A3995"/>
    <w:pPr>
      <w:spacing w:after="60"/>
      <w:ind w:left="-2268"/>
    </w:pPr>
    <w:rPr>
      <w:b/>
    </w:rPr>
  </w:style>
  <w:style w:type="paragraph" w:customStyle="1" w:styleId="Heading1TOC">
    <w:name w:val="Heading1 TOC"/>
    <w:basedOn w:val="Normal"/>
    <w:qFormat/>
    <w:rsid w:val="007A3995"/>
    <w:pPr>
      <w:spacing w:before="240" w:after="120"/>
    </w:pPr>
    <w:rPr>
      <w:rFonts w:ascii="Times New Roman" w:hAnsi="Times New Roman"/>
      <w:b/>
      <w:sz w:val="32"/>
    </w:rPr>
  </w:style>
  <w:style w:type="paragraph" w:customStyle="1" w:styleId="Heading2TOC">
    <w:name w:val="Heading2 TOC"/>
    <w:basedOn w:val="Normal"/>
    <w:qFormat/>
    <w:rsid w:val="007A3995"/>
    <w:pPr>
      <w:spacing w:before="240" w:after="60"/>
    </w:pPr>
    <w:rPr>
      <w:rFonts w:ascii="Times New Roman" w:hAnsi="Times New Roman"/>
      <w:b/>
      <w:sz w:val="28"/>
    </w:rPr>
  </w:style>
  <w:style w:type="character" w:customStyle="1" w:styleId="Underline">
    <w:name w:val="Underline"/>
    <w:basedOn w:val="DefaultParagraphFont"/>
    <w:qFormat/>
    <w:rsid w:val="007A3995"/>
    <w:rPr>
      <w:u w:val="single"/>
    </w:rPr>
  </w:style>
  <w:style w:type="paragraph" w:styleId="BalloonText">
    <w:name w:val="Balloon Text"/>
    <w:basedOn w:val="Normal"/>
    <w:link w:val="BalloonTextChar"/>
    <w:rsid w:val="007A3995"/>
    <w:rPr>
      <w:rFonts w:ascii="Tahoma" w:hAnsi="Tahoma" w:cs="Tahoma"/>
      <w:sz w:val="16"/>
      <w:szCs w:val="16"/>
    </w:rPr>
  </w:style>
  <w:style w:type="character" w:customStyle="1" w:styleId="BalloonTextChar">
    <w:name w:val="Balloon Text Char"/>
    <w:basedOn w:val="DefaultParagraphFont"/>
    <w:link w:val="BalloonText"/>
    <w:rsid w:val="007A39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9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39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995"/>
    <w:rPr>
      <w:b/>
      <w:color w:val="660033"/>
      <w:spacing w:val="0"/>
    </w:rPr>
  </w:style>
  <w:style w:type="paragraph" w:customStyle="1" w:styleId="Nameditemlist">
    <w:name w:val="Named item list"/>
    <w:basedOn w:val="BodyText"/>
    <w:qFormat/>
    <w:rsid w:val="007A39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1511</Words>
  <Characters>9887</Characters>
  <Application>Microsoft Office Word</Application>
  <DocSecurity>0</DocSecurity>
  <Lines>418</Lines>
  <Paragraphs>266</Paragraphs>
  <ScaleCrop>false</ScaleCrop>
  <Company>Author-it Software Corporation Ltd.</Company>
  <LinksUpToDate>false</LinksUpToDate>
  <CharactersWithSpaces>11300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CPPSIS5060A Use complex spreadsheets for spatial information</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2012-11-27T01:35:00Z</dcterms:created>
  <dcterms:modified xsi:type="dcterms:W3CDTF">2012-11-27T01:35:00Z</dcterms:modified>
</cp:coreProperties>
</file>