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7E6E" w:rsidP="002A7E6E">
      <w:pPr>
        <w:pStyle w:val="Title"/>
      </w:pPr>
      <w:bookmarkStart w:id="0" w:name="_GoBack"/>
      <w:bookmarkEnd w:id="0"/>
      <w:r>
        <w:fldChar w:fldCharType="begin"/>
      </w:r>
      <w:r>
        <w:instrText xml:space="preserve"> TITLE   \* MERGEFORMAT </w:instrText>
      </w:r>
      <w:r>
        <w:fldChar w:fldCharType="separate"/>
      </w:r>
      <w:r>
        <w:t>CPPSIS5014A Develop a subdivision survey design for local government approval</w:t>
      </w:r>
      <w:r>
        <w:fldChar w:fldCharType="end"/>
      </w:r>
    </w:p>
    <w:p w:rsidR="002A7E6E" w:rsidP="002A7E6E">
      <w:pPr>
        <w:pStyle w:val="Version"/>
        <w:sectPr w:rsidSect="00A621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21DA" w:rsidP="00A621DA">
      <w:pPr>
        <w:pStyle w:val="SuperHeading"/>
      </w:pPr>
      <w:r w:rsidRPr="00A621DA">
        <w:t>CPPSIS5014A Develop a subdivision survey design for local government approval</w:t>
      </w:r>
    </w:p>
    <w:p w:rsidR="00000000" w:rsidRPr="00A621DA" w:rsidP="00A621DA">
      <w:pPr>
        <w:pStyle w:val="Heading1"/>
      </w:pPr>
      <w:bookmarkStart w:id="1" w:name="O_270321"/>
      <w:bookmarkEnd w:id="1"/>
      <w:r w:rsidRPr="00A621DA">
        <w:t>Modification History</w:t>
      </w:r>
    </w:p>
    <w:p w:rsidR="00000000" w:rsidRPr="00A621DA" w:rsidP="00A621DA">
      <w:pPr>
        <w:pStyle w:val="BodyText"/>
      </w:pPr>
      <w:r w:rsidRPr="00A621DA">
        <w:t>Not Applicable</w:t>
      </w:r>
    </w:p>
    <w:p w:rsidR="00000000" w:rsidRPr="00A621DA" w:rsidP="00A621DA">
      <w:pPr>
        <w:pStyle w:val="AllowPageBreak"/>
      </w:pPr>
    </w:p>
    <w:p w:rsidR="00000000" w:rsidRPr="00A621DA" w:rsidP="00A621DA">
      <w:pPr>
        <w:pStyle w:val="Heading1"/>
      </w:pPr>
      <w:bookmarkStart w:id="2" w:name="O_202400"/>
      <w:bookmarkEnd w:id="2"/>
      <w:r w:rsidRPr="00A621DA">
        <w:t>Unit Descriptor</w:t>
      </w:r>
    </w:p>
    <w:tbl>
      <w:tblPr>
        <w:tblW w:w="0" w:type="auto"/>
        <w:tblLayout w:type="fixed"/>
        <w:tblCellMar>
          <w:left w:w="62" w:type="dxa"/>
          <w:right w:w="62" w:type="dxa"/>
        </w:tblCellMar>
        <w:tblLook w:val="0000"/>
      </w:tblPr>
      <w:tblGrid>
        <w:gridCol w:w="2846"/>
        <w:gridCol w:w="5645"/>
      </w:tblGrid>
      <w:tr w:rsidTr="002A7E6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r w:rsidRPr="00A621DA">
              <w:rPr>
                <w:rStyle w:val="SpecialBold"/>
              </w:rPr>
              <w:t>Uni</w:t>
            </w:r>
            <w:r w:rsidRPr="00A621DA">
              <w:rPr>
                <w:rStyle w:val="SpecialBold"/>
              </w:rPr>
              <w:t>t descriptor</w:t>
            </w:r>
          </w:p>
        </w:tc>
        <w:tc>
          <w:tcPr>
            <w:tcW w:w="5645" w:type="dxa"/>
            <w:tcBorders>
              <w:top w:val="nil"/>
              <w:left w:val="nil"/>
              <w:bottom w:val="nil"/>
              <w:right w:val="nil"/>
            </w:tcBorders>
            <w:tcMar>
              <w:top w:w="0" w:type="dxa"/>
              <w:left w:w="62" w:type="dxa"/>
              <w:bottom w:w="0" w:type="dxa"/>
              <w:right w:w="62" w:type="dxa"/>
            </w:tcMar>
          </w:tcPr>
          <w:p w:rsidR="00000000" w:rsidRPr="00A621DA" w:rsidP="00A621DA">
            <w:pPr>
              <w:pStyle w:val="BodyText"/>
            </w:pPr>
            <w:r w:rsidRPr="00A621DA">
              <w:t>This unit of competency specifies the outcomes required to develop a subdivision survey design for local government approval. It requires the ability to determine, collect and write specifications for appropriate documentation and compile a pl</w:t>
            </w:r>
            <w:r w:rsidRPr="00A621DA">
              <w:t>an to accompany a development application to an approving authority. Functions would be carried out within organisational guidelines.</w:t>
            </w:r>
          </w:p>
        </w:tc>
      </w:tr>
    </w:tbl>
    <w:p w:rsidR="002A7E6E" w:rsidP="00A621DA">
      <w:pPr>
        <w:pStyle w:val="BodyText"/>
      </w:pPr>
    </w:p>
    <w:p w:rsidR="002A7E6E" w:rsidP="00A621DA">
      <w:pPr>
        <w:pStyle w:val="BodyText"/>
      </w:pPr>
    </w:p>
    <w:p w:rsidR="00000000" w:rsidRPr="00A621DA" w:rsidP="00A621DA">
      <w:pPr>
        <w:pStyle w:val="Heading1"/>
      </w:pPr>
      <w:bookmarkStart w:id="3" w:name="O_202403"/>
      <w:bookmarkEnd w:id="3"/>
      <w:r w:rsidRPr="00A621DA">
        <w:t>Application of the Unit</w:t>
      </w:r>
    </w:p>
    <w:tbl>
      <w:tblPr>
        <w:tblW w:w="0" w:type="auto"/>
        <w:tblLayout w:type="fixed"/>
        <w:tblCellMar>
          <w:left w:w="62" w:type="dxa"/>
          <w:right w:w="62" w:type="dxa"/>
        </w:tblCellMar>
        <w:tblLook w:val="0000"/>
      </w:tblPr>
      <w:tblGrid>
        <w:gridCol w:w="2846"/>
        <w:gridCol w:w="5645"/>
      </w:tblGrid>
      <w:tr w:rsidTr="002A7E6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r w:rsidRPr="00A621DA">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A621DA" w:rsidP="00A621DA">
            <w:pPr>
              <w:pStyle w:val="BodyText"/>
            </w:pPr>
            <w:r w:rsidRPr="00A621DA">
              <w:t>This unit of competency supports the application of self-management and verbal and written communication skills, understanding of technology, interpreting legal requirements and technical writing. The skills and knowledge acquired upon completion of this u</w:t>
            </w:r>
            <w:r w:rsidRPr="00A621DA">
              <w:t>nit would apply to the needs of employees in supporting positions for town planning, surveying and mapping.</w:t>
            </w:r>
          </w:p>
          <w:p w:rsidR="00000000" w:rsidRPr="00A621DA" w:rsidP="00A621DA">
            <w:pPr>
              <w:pStyle w:val="BodyText"/>
            </w:pPr>
            <w:r w:rsidRPr="00A621DA">
              <w:t>Legislative, regulatory requirements impact on this unit according to local, state, territory and federal legislation and regulations.</w:t>
            </w:r>
          </w:p>
        </w:tc>
      </w:tr>
    </w:tbl>
    <w:p w:rsidR="002A7E6E" w:rsidP="00A621DA">
      <w:pPr>
        <w:pStyle w:val="BodyText"/>
      </w:pPr>
    </w:p>
    <w:p w:rsidR="002A7E6E" w:rsidP="00A621DA">
      <w:pPr>
        <w:pStyle w:val="BodyText"/>
      </w:pPr>
    </w:p>
    <w:p w:rsidR="00000000" w:rsidRPr="00A621DA" w:rsidP="00A621DA">
      <w:pPr>
        <w:pStyle w:val="Heading1"/>
      </w:pPr>
      <w:bookmarkStart w:id="4" w:name="O_278581"/>
      <w:bookmarkEnd w:id="4"/>
      <w:r w:rsidRPr="00A621DA">
        <w:t>Licensing/Regulatory Information</w:t>
      </w:r>
    </w:p>
    <w:p w:rsidR="00000000" w:rsidRPr="00A621DA" w:rsidP="00A621DA">
      <w:pPr>
        <w:pStyle w:val="BodyText"/>
      </w:pPr>
      <w:r w:rsidRPr="00A621DA">
        <w:t>Not Applicable</w:t>
      </w:r>
    </w:p>
    <w:p w:rsidR="00000000" w:rsidRPr="00A621DA" w:rsidP="00A621DA">
      <w:pPr>
        <w:pStyle w:val="AllowPageBreak"/>
      </w:pPr>
    </w:p>
    <w:p w:rsidR="00000000" w:rsidRPr="00A621DA" w:rsidP="00A621DA">
      <w:pPr>
        <w:pStyle w:val="Heading1"/>
      </w:pPr>
      <w:bookmarkStart w:id="5" w:name="O_202402"/>
      <w:bookmarkEnd w:id="5"/>
      <w:r w:rsidRPr="00A621DA">
        <w:t>Pre-Requisites</w:t>
      </w:r>
    </w:p>
    <w:tbl>
      <w:tblPr>
        <w:tblW w:w="0" w:type="auto"/>
        <w:tblLayout w:type="fixed"/>
        <w:tblCellMar>
          <w:left w:w="62" w:type="dxa"/>
          <w:right w:w="62" w:type="dxa"/>
        </w:tblCellMar>
        <w:tblLook w:val="0000"/>
      </w:tblPr>
      <w:tblGrid>
        <w:gridCol w:w="2846"/>
        <w:gridCol w:w="5645"/>
      </w:tblGrid>
      <w:tr w:rsidTr="002A7E6E">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r w:rsidRPr="00A621DA">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A621DA" w:rsidP="00A621DA">
            <w:pPr>
              <w:pStyle w:val="BodyText"/>
            </w:pPr>
            <w:r w:rsidRPr="00A621DA">
              <w:t>Nil</w:t>
            </w:r>
          </w:p>
        </w:tc>
      </w:tr>
    </w:tbl>
    <w:p w:rsidR="002A7E6E" w:rsidP="00A621DA">
      <w:pPr>
        <w:pStyle w:val="BodyText"/>
      </w:pPr>
    </w:p>
    <w:p w:rsidR="002A7E6E" w:rsidP="00A621DA">
      <w:pPr>
        <w:pStyle w:val="BodyText"/>
      </w:pPr>
    </w:p>
    <w:p w:rsidR="00000000" w:rsidRPr="00A621DA" w:rsidP="00A621DA">
      <w:pPr>
        <w:pStyle w:val="Heading1"/>
      </w:pPr>
      <w:bookmarkStart w:id="6" w:name="O_202401"/>
      <w:bookmarkEnd w:id="6"/>
      <w:r w:rsidRPr="00A621DA">
        <w:t>Employability Skills Information</w:t>
      </w:r>
    </w:p>
    <w:tbl>
      <w:tblPr>
        <w:tblW w:w="0" w:type="auto"/>
        <w:tblLayout w:type="fixed"/>
        <w:tblCellMar>
          <w:left w:w="62" w:type="dxa"/>
          <w:right w:w="62" w:type="dxa"/>
        </w:tblCellMar>
        <w:tblLook w:val="0000"/>
      </w:tblPr>
      <w:tblGrid>
        <w:gridCol w:w="2846"/>
        <w:gridCol w:w="5645"/>
      </w:tblGrid>
      <w:tr w:rsidTr="002A7E6E">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r w:rsidRPr="00A621DA">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A621DA" w:rsidP="00A621DA">
            <w:pPr>
              <w:pStyle w:val="BodyText"/>
            </w:pPr>
            <w:r w:rsidRPr="00A621DA">
              <w:t>The required outcomes described in this unit of competency contain applicable facets of employability skills. The Employability Skills Summary of the qualification in which this unit of competency is packaged, will assist in identifying employability skill</w:t>
            </w:r>
            <w:r w:rsidRPr="00A621DA">
              <w:t>s requirements.</w:t>
            </w:r>
          </w:p>
        </w:tc>
      </w:tr>
    </w:tbl>
    <w:p w:rsidR="002A7E6E" w:rsidP="00A621DA">
      <w:pPr>
        <w:pStyle w:val="BodyText"/>
      </w:pPr>
    </w:p>
    <w:p w:rsidR="002A7E6E" w:rsidP="00A621DA">
      <w:pPr>
        <w:pStyle w:val="BodyText"/>
      </w:pPr>
    </w:p>
    <w:p w:rsidR="00000000" w:rsidRPr="00A621DA" w:rsidP="00A621DA">
      <w:pPr>
        <w:pStyle w:val="Heading1"/>
      </w:pPr>
      <w:bookmarkStart w:id="7" w:name="O_288367"/>
      <w:bookmarkEnd w:id="7"/>
      <w:r w:rsidRPr="00A621DA">
        <w:t>Elements and Performance Criteria Pre-Content</w:t>
      </w:r>
    </w:p>
    <w:tbl>
      <w:tblPr>
        <w:tblW w:w="0" w:type="auto"/>
        <w:tblLayout w:type="fixed"/>
        <w:tblCellMar>
          <w:left w:w="62" w:type="dxa"/>
          <w:right w:w="62" w:type="dxa"/>
        </w:tblCellMar>
        <w:tblLook w:val="0000"/>
      </w:tblPr>
      <w:tblGrid>
        <w:gridCol w:w="2905"/>
        <w:gridCol w:w="5775"/>
      </w:tblGrid>
      <w:tr w:rsidTr="002A7E6E">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r w:rsidRPr="00A621DA">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A621DA" w:rsidP="00A621DA">
            <w:pPr>
              <w:pStyle w:val="BodyText"/>
            </w:pPr>
            <w:r w:rsidRPr="00A621DA">
              <w:t>Performance criteria describe the required performance needed to demonstrate achievement of the element. Whe</w:t>
            </w:r>
            <w:r w:rsidRPr="00A621DA">
              <w:t xml:space="preserve">re </w:t>
            </w:r>
            <w:r w:rsidRPr="00A621DA">
              <w:rPr>
                <w:rStyle w:val="BoldandItalics"/>
              </w:rPr>
              <w:t>bold italicised</w:t>
            </w:r>
            <w:r w:rsidRPr="00A621DA">
              <w:t xml:space="preserve"> text is used, further information is detailed in the required skills and knowledge and/or the range statement. Assessment of performance is to be consistent with the evidence guide.</w:t>
            </w:r>
          </w:p>
        </w:tc>
      </w:tr>
    </w:tbl>
    <w:p w:rsidR="00000000" w:rsidRPr="00A621DA" w:rsidP="00A621DA">
      <w:pPr>
        <w:pStyle w:val="BodyText"/>
      </w:pPr>
    </w:p>
    <w:p w:rsidR="00000000" w:rsidRPr="00A621DA" w:rsidP="00A621DA">
      <w:pPr>
        <w:pStyle w:val="AllowPageBreak"/>
      </w:pPr>
    </w:p>
    <w:p w:rsidR="00000000" w:rsidRPr="00A621DA" w:rsidP="00A621DA">
      <w:pPr>
        <w:pStyle w:val="Heading1"/>
      </w:pPr>
      <w:bookmarkStart w:id="8" w:name="O_235034"/>
      <w:bookmarkEnd w:id="8"/>
      <w:r w:rsidRPr="00A621DA">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2A7E6E">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A621DA" w:rsidP="00A621DA">
            <w:pPr>
              <w:pStyle w:val="List"/>
            </w:pPr>
            <w:r w:rsidRPr="00A621DA">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A621DA">
            <w:pPr>
              <w:pStyle w:val="List"/>
              <w:rPr>
                <w:lang w:val="en-NZ"/>
              </w:rPr>
            </w:pPr>
            <w:r w:rsidRPr="00A621DA">
              <w:rPr>
                <w:rStyle w:val="SpecialBold"/>
              </w:rPr>
              <w:t>PERFORMANCE CRITERIA</w:t>
            </w:r>
          </w:p>
        </w:tc>
      </w:tr>
      <w:tr w:rsidTr="002A7E6E">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A621DA">
            <w:pPr>
              <w:pStyle w:val="List"/>
              <w:rPr>
                <w:lang w:val="en-NZ"/>
              </w:rPr>
            </w:pPr>
            <w:r w:rsidRPr="00A621DA">
              <w:rPr>
                <w:rStyle w:val="SpecialBold"/>
              </w:rPr>
              <w:t>1</w:t>
            </w:r>
            <w:r w:rsidRPr="00A621DA">
              <w:tab/>
            </w:r>
            <w:r w:rsidRPr="00A621DA">
              <w:rPr>
                <w:rStyle w:val="SpecialBold"/>
              </w:rPr>
              <w:t>Identify nature and type of service requests</w:t>
            </w:r>
            <w:r w:rsidRPr="00A621DA">
              <w:t>.</w:t>
            </w:r>
          </w:p>
        </w:tc>
        <w:tc>
          <w:tcPr>
            <w:tcW w:w="5775" w:type="dxa"/>
            <w:gridSpan w:val="2"/>
            <w:tcBorders>
              <w:top w:val="nil"/>
              <w:left w:val="nil"/>
              <w:bottom w:val="nil"/>
              <w:right w:val="nil"/>
            </w:tcBorders>
            <w:tcMar>
              <w:top w:w="0" w:type="dxa"/>
              <w:left w:w="62" w:type="dxa"/>
              <w:bottom w:w="0" w:type="dxa"/>
              <w:right w:w="62" w:type="dxa"/>
            </w:tcMar>
          </w:tcPr>
          <w:p w:rsidR="00000000" w:rsidRPr="00A621DA" w:rsidP="00A621DA">
            <w:pPr>
              <w:pStyle w:val="List"/>
            </w:pPr>
            <w:r w:rsidRPr="00A621DA">
              <w:t>1.1</w:t>
            </w:r>
            <w:r w:rsidRPr="00A621DA">
              <w:tab/>
            </w:r>
            <w:r w:rsidRPr="00A621DA">
              <w:rPr>
                <w:rStyle w:val="BoldandItalics"/>
              </w:rPr>
              <w:t>Requests</w:t>
            </w:r>
            <w:r w:rsidRPr="00A621DA">
              <w:t xml:space="preserve"> are assessed to establish if they are within the </w:t>
            </w:r>
            <w:r w:rsidRPr="00A621DA">
              <w:rPr>
                <w:rStyle w:val="BoldandItalics"/>
              </w:rPr>
              <w:t>jurisdiction and ability</w:t>
            </w:r>
            <w:r w:rsidRPr="00A621DA">
              <w:t xml:space="preserve"> of the building or planning area of relevant authority.</w:t>
            </w:r>
          </w:p>
          <w:p w:rsidR="00000000" w:rsidRPr="00A621DA" w:rsidP="00A621DA">
            <w:pPr>
              <w:pStyle w:val="List"/>
            </w:pPr>
            <w:r w:rsidRPr="00A621DA">
              <w:t>1.2</w:t>
            </w:r>
            <w:r w:rsidRPr="00A621DA">
              <w:tab/>
              <w:t>Requests are assessed to establ</w:t>
            </w:r>
            <w:r w:rsidRPr="00A621DA">
              <w:t>ish necessity for compliance with statutory requirements.</w:t>
            </w:r>
          </w:p>
          <w:p w:rsidR="00000000" w:rsidP="00A621DA">
            <w:pPr>
              <w:pStyle w:val="List"/>
              <w:rPr>
                <w:lang w:val="en-NZ"/>
              </w:rPr>
            </w:pPr>
            <w:r w:rsidRPr="00A621DA">
              <w:t>1.3</w:t>
            </w:r>
            <w:r w:rsidRPr="00A621DA">
              <w:tab/>
              <w:t xml:space="preserve">Time required to service requests is established to identify if an immediate </w:t>
            </w:r>
            <w:r w:rsidRPr="00A621DA">
              <w:rPr>
                <w:rStyle w:val="BoldandItalics"/>
              </w:rPr>
              <w:t>response</w:t>
            </w:r>
            <w:r w:rsidRPr="00A621DA">
              <w:t xml:space="preserve"> is required.</w:t>
            </w:r>
          </w:p>
        </w:tc>
      </w:tr>
      <w:tr w:rsidTr="002A7E6E">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A621DA" w:rsidP="00A621DA">
            <w:pPr>
              <w:pStyle w:val="List"/>
            </w:pPr>
            <w:r w:rsidRPr="00A621DA">
              <w:t>1.4</w:t>
            </w:r>
            <w:r w:rsidRPr="00A621DA">
              <w:tab/>
              <w:t xml:space="preserve">Requests requiring additional </w:t>
            </w:r>
            <w:r w:rsidRPr="00A621DA">
              <w:rPr>
                <w:rStyle w:val="BoldandItalics"/>
              </w:rPr>
              <w:t>research</w:t>
            </w:r>
            <w:r w:rsidRPr="00A621DA">
              <w:t xml:space="preserve"> are prioritised and recorded to ensure important m</w:t>
            </w:r>
            <w:r w:rsidRPr="00A621DA">
              <w:t>atters are finalised promptly.</w:t>
            </w:r>
          </w:p>
          <w:p w:rsidR="00000000" w:rsidP="00A621DA">
            <w:pPr>
              <w:pStyle w:val="List"/>
              <w:rPr>
                <w:lang w:val="en-NZ"/>
              </w:rPr>
            </w:pPr>
            <w:r w:rsidRPr="00A621DA">
              <w:t>1.5</w:t>
            </w:r>
            <w:r w:rsidRPr="00A621DA">
              <w:tab/>
              <w:t>Skills and knowledge are updated to accommodate changes in nature of service request.</w:t>
            </w:r>
          </w:p>
        </w:tc>
      </w:tr>
      <w:tr w:rsidTr="002A7E6E">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A621DA">
            <w:pPr>
              <w:pStyle w:val="List"/>
              <w:rPr>
                <w:lang w:val="en-NZ"/>
              </w:rPr>
            </w:pPr>
            <w:r w:rsidRPr="00A621DA">
              <w:rPr>
                <w:rStyle w:val="SpecialBold"/>
              </w:rPr>
              <w:t>2</w:t>
            </w:r>
            <w:r w:rsidRPr="00A621DA">
              <w:tab/>
            </w:r>
            <w:r w:rsidRPr="00A621DA">
              <w:rPr>
                <w:rStyle w:val="SpecialBold"/>
              </w:rPr>
              <w:t>Research information relevant to service requests</w:t>
            </w:r>
            <w:r w:rsidRPr="00A621DA">
              <w:t>.</w:t>
            </w:r>
          </w:p>
        </w:tc>
        <w:tc>
          <w:tcPr>
            <w:tcW w:w="5775" w:type="dxa"/>
            <w:gridSpan w:val="2"/>
            <w:tcBorders>
              <w:top w:val="nil"/>
              <w:left w:val="nil"/>
              <w:bottom w:val="nil"/>
              <w:right w:val="nil"/>
            </w:tcBorders>
            <w:tcMar>
              <w:top w:w="0" w:type="dxa"/>
              <w:left w:w="62" w:type="dxa"/>
              <w:bottom w:w="0" w:type="dxa"/>
              <w:right w:w="62" w:type="dxa"/>
            </w:tcMar>
          </w:tcPr>
          <w:p w:rsidR="00000000" w:rsidRPr="00A621DA" w:rsidP="00A621DA">
            <w:pPr>
              <w:pStyle w:val="List"/>
            </w:pPr>
            <w:r w:rsidRPr="00A621DA">
              <w:t>2.1</w:t>
            </w:r>
            <w:r w:rsidRPr="00A621DA">
              <w:tab/>
            </w:r>
            <w:r w:rsidRPr="00A621DA">
              <w:t xml:space="preserve">Accurate research and action are undertaken in order of priority to obtain required </w:t>
            </w:r>
            <w:r w:rsidRPr="00A621DA">
              <w:rPr>
                <w:rStyle w:val="BoldandItalics"/>
              </w:rPr>
              <w:t>information</w:t>
            </w:r>
            <w:r w:rsidRPr="00A621DA">
              <w:t>.</w:t>
            </w:r>
          </w:p>
          <w:p w:rsidR="00000000" w:rsidRPr="00A621DA" w:rsidP="00A621DA">
            <w:pPr>
              <w:pStyle w:val="List"/>
            </w:pPr>
            <w:r w:rsidRPr="00A621DA">
              <w:t>2.2</w:t>
            </w:r>
            <w:r w:rsidRPr="00A621DA">
              <w:tab/>
              <w:t>Information is collated to enable preparation of a satisfactory response.</w:t>
            </w:r>
          </w:p>
          <w:p w:rsidR="00000000" w:rsidP="00A621DA">
            <w:pPr>
              <w:pStyle w:val="List"/>
              <w:rPr>
                <w:lang w:val="en-NZ"/>
              </w:rPr>
            </w:pPr>
            <w:r w:rsidRPr="00A621DA">
              <w:t>2.3</w:t>
            </w:r>
            <w:r w:rsidRPr="00A621DA">
              <w:tab/>
            </w:r>
            <w:r w:rsidRPr="00A621DA">
              <w:rPr>
                <w:rStyle w:val="BoldandItalics"/>
              </w:rPr>
              <w:t>Professional advice</w:t>
            </w:r>
            <w:r w:rsidRPr="00A621DA">
              <w:t xml:space="preserve"> is identified and incorporated where appropriate.</w:t>
            </w:r>
          </w:p>
        </w:tc>
      </w:tr>
      <w:tr w:rsidTr="002A7E6E">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A621DA">
            <w:pPr>
              <w:pStyle w:val="List"/>
              <w:rPr>
                <w:lang w:val="en-NZ"/>
              </w:rPr>
            </w:pPr>
            <w:r w:rsidRPr="00A621DA">
              <w:rPr>
                <w:rStyle w:val="SpecialBold"/>
              </w:rPr>
              <w:t>3</w:t>
            </w:r>
            <w:r w:rsidRPr="00A621DA">
              <w:tab/>
            </w:r>
            <w:r w:rsidRPr="00A621DA">
              <w:rPr>
                <w:rStyle w:val="SpecialBold"/>
              </w:rPr>
              <w:t>Deve</w:t>
            </w:r>
            <w:r w:rsidRPr="00A621DA">
              <w:rPr>
                <w:rStyle w:val="SpecialBold"/>
              </w:rPr>
              <w:t>lop a submission for the request</w:t>
            </w:r>
            <w:r w:rsidRPr="00A621DA">
              <w:t>.</w:t>
            </w:r>
          </w:p>
        </w:tc>
        <w:tc>
          <w:tcPr>
            <w:tcW w:w="5775" w:type="dxa"/>
            <w:gridSpan w:val="2"/>
            <w:tcBorders>
              <w:top w:val="nil"/>
              <w:left w:val="nil"/>
              <w:bottom w:val="nil"/>
              <w:right w:val="nil"/>
            </w:tcBorders>
            <w:tcMar>
              <w:top w:w="0" w:type="dxa"/>
              <w:left w:w="62" w:type="dxa"/>
              <w:bottom w:w="0" w:type="dxa"/>
              <w:right w:w="62" w:type="dxa"/>
            </w:tcMar>
          </w:tcPr>
          <w:p w:rsidR="00000000" w:rsidRPr="00A621DA" w:rsidP="00A621DA">
            <w:pPr>
              <w:pStyle w:val="List"/>
            </w:pPr>
            <w:r w:rsidRPr="00A621DA">
              <w:t>3.1</w:t>
            </w:r>
            <w:r w:rsidRPr="00A621DA">
              <w:tab/>
              <w:t xml:space="preserve">Base plan and draft subdivision or development proposal are prepared using current </w:t>
            </w:r>
            <w:r w:rsidRPr="00A621DA">
              <w:rPr>
                <w:rStyle w:val="BoldandItalics"/>
              </w:rPr>
              <w:t>design</w:t>
            </w:r>
            <w:r w:rsidRPr="00A621DA">
              <w:t xml:space="preserve"> guidelines.</w:t>
            </w:r>
          </w:p>
          <w:p w:rsidR="00000000" w:rsidRPr="00A621DA" w:rsidP="00A621DA">
            <w:pPr>
              <w:pStyle w:val="List"/>
            </w:pPr>
            <w:r w:rsidRPr="00A621DA">
              <w:t>3.2</w:t>
            </w:r>
            <w:r w:rsidRPr="00A621DA">
              <w:tab/>
              <w:t xml:space="preserve">Development process and </w:t>
            </w:r>
            <w:r w:rsidRPr="00A621DA">
              <w:rPr>
                <w:rStyle w:val="BoldandItalics"/>
              </w:rPr>
              <w:t>appropriate application documentation</w:t>
            </w:r>
            <w:r w:rsidRPr="00A621DA">
              <w:t xml:space="preserve"> are explained to the </w:t>
            </w:r>
            <w:r w:rsidRPr="00A621DA">
              <w:rPr>
                <w:rStyle w:val="BoldandItalics"/>
              </w:rPr>
              <w:t>client</w:t>
            </w:r>
            <w:r w:rsidRPr="00A621DA">
              <w:t>.</w:t>
            </w:r>
          </w:p>
          <w:p w:rsidR="00000000" w:rsidRPr="00A621DA" w:rsidP="00A621DA">
            <w:pPr>
              <w:pStyle w:val="List"/>
            </w:pPr>
            <w:r w:rsidRPr="00A621DA">
              <w:t>3.3</w:t>
            </w:r>
            <w:r w:rsidRPr="00A621DA">
              <w:tab/>
            </w:r>
            <w:r w:rsidRPr="00A621DA">
              <w:rPr>
                <w:rStyle w:val="BoldandItalics"/>
              </w:rPr>
              <w:t>Physical constrai</w:t>
            </w:r>
            <w:r w:rsidRPr="00A621DA">
              <w:rPr>
                <w:rStyle w:val="BoldandItalics"/>
              </w:rPr>
              <w:t>nts</w:t>
            </w:r>
            <w:r w:rsidRPr="00A621DA">
              <w:t xml:space="preserve"> and environmental impact of the development are incorporated into the application.</w:t>
            </w:r>
          </w:p>
          <w:p w:rsidR="00000000" w:rsidRPr="00A621DA" w:rsidP="00A621DA">
            <w:pPr>
              <w:pStyle w:val="List"/>
            </w:pPr>
            <w:r w:rsidRPr="00A621DA">
              <w:t>3.4</w:t>
            </w:r>
            <w:r w:rsidRPr="00A621DA">
              <w:tab/>
              <w:t>Availability of existing services and costs of supply are investigated.</w:t>
            </w:r>
          </w:p>
          <w:p w:rsidR="00000000" w:rsidRPr="00A621DA" w:rsidP="00A621DA">
            <w:pPr>
              <w:pStyle w:val="List"/>
            </w:pPr>
            <w:r w:rsidRPr="00A621DA">
              <w:t>3.5</w:t>
            </w:r>
            <w:r w:rsidRPr="00A621DA">
              <w:tab/>
              <w:t>Local government and utility authority contributions are determined.</w:t>
            </w:r>
          </w:p>
          <w:p w:rsidR="00000000" w:rsidRPr="00A621DA" w:rsidP="00A621DA">
            <w:pPr>
              <w:pStyle w:val="List"/>
            </w:pPr>
            <w:r w:rsidRPr="00A621DA">
              <w:t>3.6</w:t>
            </w:r>
            <w:r w:rsidRPr="00A621DA">
              <w:tab/>
            </w:r>
            <w:r w:rsidRPr="00A621DA">
              <w:rPr>
                <w:rStyle w:val="BoldandItalics"/>
              </w:rPr>
              <w:t>Engineering aspe</w:t>
            </w:r>
            <w:r w:rsidRPr="00A621DA">
              <w:rPr>
                <w:rStyle w:val="BoldandItalics"/>
              </w:rPr>
              <w:t>cts in subdivision design</w:t>
            </w:r>
            <w:r w:rsidRPr="00A621DA">
              <w:t xml:space="preserve"> are considered and documented appropriately according to local government requirements.</w:t>
            </w:r>
          </w:p>
          <w:p w:rsidR="00000000" w:rsidRPr="00A621DA" w:rsidP="00A621DA">
            <w:pPr>
              <w:pStyle w:val="List"/>
            </w:pPr>
            <w:r w:rsidRPr="00A621DA">
              <w:t>3.7</w:t>
            </w:r>
            <w:r w:rsidRPr="00A621DA">
              <w:tab/>
              <w:t xml:space="preserve">Response is prepared according to </w:t>
            </w:r>
            <w:r w:rsidRPr="00A621DA">
              <w:rPr>
                <w:rStyle w:val="BoldandItalics"/>
              </w:rPr>
              <w:t>OHS</w:t>
            </w:r>
            <w:r w:rsidRPr="00A621DA">
              <w:t xml:space="preserve"> and </w:t>
            </w:r>
            <w:r w:rsidRPr="00A621DA">
              <w:rPr>
                <w:rStyle w:val="BoldandItalics"/>
              </w:rPr>
              <w:t>legislative requirements</w:t>
            </w:r>
            <w:r w:rsidRPr="00A621DA">
              <w:t xml:space="preserve">, and </w:t>
            </w:r>
            <w:r w:rsidRPr="00A621DA">
              <w:rPr>
                <w:rStyle w:val="BoldandItalics"/>
              </w:rPr>
              <w:t>organisational guidelines</w:t>
            </w:r>
            <w:r w:rsidRPr="00A621DA">
              <w:t>.</w:t>
            </w:r>
          </w:p>
          <w:p w:rsidR="00000000" w:rsidP="00A621DA">
            <w:pPr>
              <w:pStyle w:val="List"/>
              <w:rPr>
                <w:lang w:val="en-NZ"/>
              </w:rPr>
            </w:pPr>
            <w:r w:rsidRPr="00A621DA">
              <w:t>3.8</w:t>
            </w:r>
            <w:r w:rsidRPr="00A621DA">
              <w:tab/>
              <w:t xml:space="preserve">Pertinent </w:t>
            </w:r>
            <w:r w:rsidRPr="00A621DA">
              <w:rPr>
                <w:rStyle w:val="BoldandItalics"/>
              </w:rPr>
              <w:t>legal and statutory</w:t>
            </w:r>
            <w:r w:rsidRPr="00A621DA">
              <w:t xml:space="preserve"> </w:t>
            </w:r>
            <w:r w:rsidRPr="00A621DA">
              <w:rPr>
                <w:rStyle w:val="BoldandItalics"/>
              </w:rPr>
              <w:t>stand</w:t>
            </w:r>
            <w:r w:rsidRPr="00A621DA">
              <w:rPr>
                <w:rStyle w:val="BoldandItalics"/>
              </w:rPr>
              <w:t>ards</w:t>
            </w:r>
            <w:r w:rsidRPr="00A621DA">
              <w:t xml:space="preserve"> are considered and adhered to.</w:t>
            </w:r>
          </w:p>
        </w:tc>
      </w:tr>
      <w:tr w:rsidTr="002A7E6E">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A621DA">
            <w:pPr>
              <w:pStyle w:val="List"/>
              <w:rPr>
                <w:lang w:val="en-NZ"/>
              </w:rPr>
            </w:pPr>
            <w:r w:rsidRPr="00A621DA">
              <w:rPr>
                <w:rStyle w:val="SpecialBold"/>
              </w:rPr>
              <w:t>4</w:t>
            </w:r>
            <w:r w:rsidRPr="00A621DA">
              <w:tab/>
            </w:r>
            <w:r w:rsidRPr="00A621DA">
              <w:rPr>
                <w:rStyle w:val="SpecialBold"/>
              </w:rPr>
              <w:t>Monitor approval process</w:t>
            </w:r>
            <w:r w:rsidRPr="00A621DA">
              <w:t>.</w:t>
            </w:r>
          </w:p>
        </w:tc>
        <w:tc>
          <w:tcPr>
            <w:tcW w:w="5775" w:type="dxa"/>
            <w:gridSpan w:val="2"/>
            <w:tcBorders>
              <w:top w:val="nil"/>
              <w:left w:val="nil"/>
              <w:bottom w:val="nil"/>
              <w:right w:val="nil"/>
            </w:tcBorders>
            <w:tcMar>
              <w:top w:w="0" w:type="dxa"/>
              <w:left w:w="62" w:type="dxa"/>
              <w:bottom w:w="0" w:type="dxa"/>
              <w:right w:w="62" w:type="dxa"/>
            </w:tcMar>
          </w:tcPr>
          <w:p w:rsidR="00000000" w:rsidRPr="00A621DA" w:rsidP="00A621DA">
            <w:pPr>
              <w:pStyle w:val="List"/>
            </w:pPr>
            <w:r w:rsidRPr="00A621DA">
              <w:t>4.1</w:t>
            </w:r>
            <w:r w:rsidRPr="00A621DA">
              <w:tab/>
              <w:t>Assessment criteria for approval are further examined.</w:t>
            </w:r>
          </w:p>
          <w:p w:rsidR="00000000" w:rsidRPr="00A621DA" w:rsidP="00A621DA">
            <w:pPr>
              <w:pStyle w:val="List"/>
            </w:pPr>
            <w:r w:rsidRPr="00A621DA">
              <w:t>4.2</w:t>
            </w:r>
            <w:r w:rsidRPr="00A621DA">
              <w:tab/>
              <w:t>Advertising and exhibition requirements are observed.</w:t>
            </w:r>
          </w:p>
          <w:p w:rsidR="00000000" w:rsidP="00A621DA">
            <w:pPr>
              <w:pStyle w:val="List"/>
              <w:rPr>
                <w:lang w:val="en-NZ"/>
              </w:rPr>
            </w:pPr>
            <w:r w:rsidRPr="00A621DA">
              <w:t>4.3</w:t>
            </w:r>
            <w:r w:rsidRPr="00A621DA">
              <w:tab/>
              <w:t xml:space="preserve">Approval or refusal outcomes are reviewed according to organisational </w:t>
            </w:r>
            <w:r w:rsidRPr="00A621DA">
              <w:t>guidelines.</w:t>
            </w:r>
          </w:p>
        </w:tc>
      </w:tr>
      <w:tr w:rsidTr="002A7E6E">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A621DA">
            <w:pPr>
              <w:pStyle w:val="List"/>
              <w:rPr>
                <w:lang w:val="en-NZ"/>
              </w:rPr>
            </w:pPr>
            <w:r w:rsidRPr="00A621DA">
              <w:rPr>
                <w:rStyle w:val="SpecialBold"/>
              </w:rPr>
              <w:t>5</w:t>
            </w:r>
            <w:r w:rsidRPr="00A621DA">
              <w:tab/>
            </w:r>
            <w:r w:rsidRPr="00A621DA">
              <w:rPr>
                <w:rStyle w:val="SpecialBold"/>
              </w:rPr>
              <w:t>Communicate information and advice</w:t>
            </w:r>
            <w:r w:rsidRPr="00A621DA">
              <w:t>.</w:t>
            </w:r>
          </w:p>
        </w:tc>
        <w:tc>
          <w:tcPr>
            <w:tcW w:w="5775" w:type="dxa"/>
            <w:gridSpan w:val="2"/>
            <w:tcBorders>
              <w:top w:val="nil"/>
              <w:left w:val="nil"/>
              <w:bottom w:val="nil"/>
              <w:right w:val="nil"/>
            </w:tcBorders>
            <w:tcMar>
              <w:top w:w="0" w:type="dxa"/>
              <w:left w:w="62" w:type="dxa"/>
              <w:bottom w:w="0" w:type="dxa"/>
              <w:right w:w="62" w:type="dxa"/>
            </w:tcMar>
          </w:tcPr>
          <w:p w:rsidR="00000000" w:rsidRPr="00A621DA" w:rsidP="00A621DA">
            <w:pPr>
              <w:pStyle w:val="List"/>
            </w:pPr>
            <w:r w:rsidRPr="00A621DA">
              <w:t>5.1</w:t>
            </w:r>
            <w:r w:rsidRPr="00A621DA">
              <w:tab/>
              <w:t>Written information and advice provided are clear and concise to minimise the need for follow-up action.</w:t>
            </w:r>
          </w:p>
          <w:p w:rsidR="00000000" w:rsidRPr="00A621DA" w:rsidP="00A621DA">
            <w:pPr>
              <w:pStyle w:val="List"/>
            </w:pPr>
            <w:r w:rsidRPr="00A621DA">
              <w:t>5.2</w:t>
            </w:r>
            <w:r w:rsidRPr="00A621DA">
              <w:tab/>
            </w:r>
            <w:r w:rsidRPr="00A621DA">
              <w:t>Verbal advice is presented clearly and in a courteous manner to minimise the need for follow-up action.</w:t>
            </w:r>
          </w:p>
          <w:p w:rsidR="00000000" w:rsidRPr="00A621DA" w:rsidP="00A621DA">
            <w:pPr>
              <w:pStyle w:val="List"/>
            </w:pPr>
            <w:r w:rsidRPr="00A621DA">
              <w:t>5.3</w:t>
            </w:r>
            <w:r w:rsidRPr="00A621DA">
              <w:tab/>
              <w:t>Advice is recorded according to organisational guidelines.</w:t>
            </w:r>
          </w:p>
          <w:p w:rsidR="00000000" w:rsidRPr="00A621DA" w:rsidP="00A621DA">
            <w:pPr>
              <w:pStyle w:val="List"/>
            </w:pPr>
            <w:r w:rsidRPr="00A621DA">
              <w:t>5.4</w:t>
            </w:r>
            <w:r w:rsidRPr="00A621DA">
              <w:tab/>
              <w:t>Rights of appeal are explained to the client where appropriate.</w:t>
            </w:r>
          </w:p>
        </w:tc>
      </w:tr>
    </w:tbl>
    <w:p w:rsidR="002A7E6E" w:rsidP="00A621DA">
      <w:pPr>
        <w:pStyle w:val="BodyText"/>
      </w:pPr>
    </w:p>
    <w:p w:rsidR="002A7E6E" w:rsidP="00A621DA">
      <w:pPr>
        <w:pStyle w:val="BodyText"/>
      </w:pPr>
    </w:p>
    <w:p w:rsidR="00000000" w:rsidRPr="00A621DA" w:rsidP="00A621DA">
      <w:pPr>
        <w:pStyle w:val="Heading1"/>
      </w:pPr>
      <w:bookmarkStart w:id="9" w:name="O_258984"/>
      <w:bookmarkEnd w:id="9"/>
      <w:r w:rsidRPr="00A621DA">
        <w:t>Required Skills and Knowledge</w:t>
      </w:r>
    </w:p>
    <w:tbl>
      <w:tblPr>
        <w:tblW w:w="0" w:type="auto"/>
        <w:tblLayout w:type="fixed"/>
        <w:tblCellMar>
          <w:left w:w="62" w:type="dxa"/>
          <w:right w:w="62" w:type="dxa"/>
        </w:tblCellMar>
        <w:tblLook w:val="0000"/>
      </w:tblPr>
      <w:tblGrid>
        <w:gridCol w:w="8483"/>
        <w:gridCol w:w="8"/>
      </w:tblGrid>
      <w:tr w:rsidTr="002A7E6E">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A621DA">
            <w:pPr>
              <w:pStyle w:val="BodyText"/>
              <w:rPr>
                <w:lang w:val="en-NZ"/>
              </w:rPr>
            </w:pPr>
            <w:r w:rsidRPr="00A621DA">
              <w:rPr>
                <w:rStyle w:val="SpecialBold"/>
              </w:rPr>
              <w:t>REQUIRED SKILLS AND KNOWLEDGE</w:t>
            </w:r>
          </w:p>
        </w:tc>
      </w:tr>
      <w:tr w:rsidTr="002A7E6E">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r w:rsidRPr="00A621DA">
              <w:t>This section describes the essential skills and knowledge and their level, required for this unit.</w:t>
            </w:r>
          </w:p>
        </w:tc>
      </w:tr>
      <w:tr w:rsidTr="002A7E6E">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A621DA" w:rsidP="00A621DA">
            <w:pPr>
              <w:pStyle w:val="BodyText"/>
            </w:pPr>
            <w:r w:rsidRPr="00A621DA">
              <w:rPr>
                <w:rStyle w:val="SpecialBold"/>
              </w:rPr>
              <w:t>Required skills</w:t>
            </w:r>
            <w:r w:rsidRPr="00A621DA">
              <w:t>:</w:t>
            </w:r>
          </w:p>
          <w:p w:rsidR="00000000" w:rsidRPr="00A621DA" w:rsidP="00A621DA">
            <w:pPr>
              <w:pStyle w:val="ListBullet"/>
            </w:pPr>
            <w:r w:rsidRPr="00A621DA">
              <w:t>ability to relate to people from a range of social, cultural and ethnic backgrounds and with a range of physical and mental abilities</w:t>
            </w:r>
          </w:p>
          <w:p w:rsidR="00000000" w:rsidRPr="00A621DA" w:rsidP="00A621DA">
            <w:pPr>
              <w:pStyle w:val="ListBullet"/>
            </w:pPr>
            <w:r w:rsidRPr="00A621DA">
              <w:t>analytical skills</w:t>
            </w:r>
          </w:p>
          <w:p w:rsidR="00000000" w:rsidRPr="00A621DA" w:rsidP="00A621DA">
            <w:pPr>
              <w:pStyle w:val="ListBullet"/>
            </w:pPr>
            <w:r w:rsidRPr="00A621DA">
              <w:t>ability to translate requirements into design</w:t>
            </w:r>
          </w:p>
          <w:p w:rsidR="00000000" w:rsidRPr="00A621DA" w:rsidP="00A621DA">
            <w:pPr>
              <w:pStyle w:val="ListBullet"/>
            </w:pPr>
            <w:r w:rsidRPr="00A621DA">
              <w:t>communication skills to:</w:t>
            </w:r>
          </w:p>
          <w:p w:rsidR="00000000" w:rsidRPr="00A621DA" w:rsidP="00A621DA">
            <w:pPr>
              <w:pStyle w:val="ListBullet2"/>
            </w:pPr>
            <w:r w:rsidRPr="00A621DA">
              <w:t>consult effectively with clients</w:t>
            </w:r>
            <w:r w:rsidRPr="00A621DA">
              <w:t xml:space="preserve"> and colleagues</w:t>
            </w:r>
          </w:p>
          <w:p w:rsidR="00000000" w:rsidRPr="00A621DA" w:rsidP="00A621DA">
            <w:pPr>
              <w:pStyle w:val="ListBullet2"/>
            </w:pPr>
            <w:r w:rsidRPr="00A621DA">
              <w:t>impart knowledge and ideas through oral, written and visual means</w:t>
            </w:r>
          </w:p>
          <w:p w:rsidR="00000000" w:rsidRPr="00A621DA" w:rsidP="00A621DA">
            <w:pPr>
              <w:pStyle w:val="ListBullet"/>
            </w:pPr>
            <w:r w:rsidRPr="00A621DA">
              <w:t>computer skills (high technical user level) to complete business documentation</w:t>
            </w:r>
          </w:p>
          <w:p w:rsidR="00000000" w:rsidRPr="00A621DA" w:rsidP="00A621DA">
            <w:pPr>
              <w:pStyle w:val="ListBullet"/>
            </w:pPr>
            <w:r w:rsidRPr="00A621DA">
              <w:t>interpreting project requirements</w:t>
            </w:r>
          </w:p>
          <w:p w:rsidR="00000000" w:rsidRPr="00A621DA" w:rsidP="00A621DA">
            <w:pPr>
              <w:pStyle w:val="ListBullet"/>
            </w:pPr>
            <w:r w:rsidRPr="00A621DA">
              <w:t>interpreting technical requirements</w:t>
            </w:r>
          </w:p>
          <w:p w:rsidR="00000000" w:rsidRPr="00A621DA" w:rsidP="00A621DA">
            <w:pPr>
              <w:pStyle w:val="ListBullet"/>
            </w:pPr>
            <w:r w:rsidRPr="00A621DA">
              <w:t>literacy skills to:</w:t>
            </w:r>
          </w:p>
          <w:p w:rsidR="00000000" w:rsidRPr="00A621DA" w:rsidP="00A621DA">
            <w:pPr>
              <w:pStyle w:val="ListBullet2"/>
            </w:pPr>
            <w:r w:rsidRPr="00A621DA">
              <w:t>assess and use workplace information</w:t>
            </w:r>
          </w:p>
          <w:p w:rsidR="00000000" w:rsidRPr="00A621DA" w:rsidP="00A621DA">
            <w:pPr>
              <w:pStyle w:val="ListBullet2"/>
            </w:pPr>
            <w:r w:rsidRPr="00A621DA">
              <w:t>locate and interpret legislation and other written documentation</w:t>
            </w:r>
          </w:p>
          <w:p w:rsidR="00000000" w:rsidRPr="00A621DA" w:rsidP="00A621DA">
            <w:pPr>
              <w:pStyle w:val="ListBullet2"/>
            </w:pPr>
            <w:r w:rsidRPr="00A621DA">
              <w:t>prepare and manage documentation</w:t>
            </w:r>
          </w:p>
          <w:p w:rsidR="00000000" w:rsidRPr="00A621DA" w:rsidP="00A621DA">
            <w:pPr>
              <w:pStyle w:val="ListBullet2"/>
            </w:pPr>
            <w:r w:rsidRPr="00A621DA">
              <w:t>read and write technical reports</w:t>
            </w:r>
          </w:p>
          <w:p w:rsidR="00000000" w:rsidRPr="00A621DA" w:rsidP="00A621DA">
            <w:pPr>
              <w:pStyle w:val="ListBullet2"/>
            </w:pPr>
            <w:r w:rsidRPr="00A621DA">
              <w:t>research and evaluate</w:t>
            </w:r>
          </w:p>
          <w:p w:rsidR="00000000" w:rsidRPr="00A621DA" w:rsidP="00A621DA">
            <w:pPr>
              <w:pStyle w:val="ListBullet"/>
            </w:pPr>
            <w:r w:rsidRPr="00A621DA">
              <w:t>negotiation skills</w:t>
            </w:r>
          </w:p>
          <w:p w:rsidR="00000000" w:rsidRPr="00A621DA" w:rsidP="00A621DA">
            <w:pPr>
              <w:pStyle w:val="ListBullet"/>
            </w:pPr>
            <w:r w:rsidRPr="00A621DA">
              <w:t>numeracy skills to:</w:t>
            </w:r>
          </w:p>
          <w:p w:rsidR="00000000" w:rsidRPr="00A621DA" w:rsidP="00A621DA">
            <w:pPr>
              <w:pStyle w:val="ListBullet2"/>
            </w:pPr>
            <w:r w:rsidRPr="00A621DA">
              <w:t>analyse errors</w:t>
            </w:r>
          </w:p>
          <w:p w:rsidR="00000000" w:rsidRPr="00A621DA" w:rsidP="00A621DA">
            <w:pPr>
              <w:pStyle w:val="ListBullet2"/>
            </w:pPr>
            <w:r w:rsidRPr="00A621DA">
              <w:t>conduct ima</w:t>
            </w:r>
            <w:r w:rsidRPr="00A621DA">
              <w:t>ge analysis</w:t>
            </w:r>
          </w:p>
          <w:p w:rsidR="00000000" w:rsidRPr="00A621DA" w:rsidP="00A621DA">
            <w:pPr>
              <w:pStyle w:val="ListBullet2"/>
            </w:pPr>
            <w:r w:rsidRPr="00A621DA">
              <w:t>interpret and analyse statistics</w:t>
            </w:r>
          </w:p>
          <w:p w:rsidR="00000000" w:rsidRPr="00A621DA" w:rsidP="00A621DA">
            <w:pPr>
              <w:pStyle w:val="ListBullet2"/>
            </w:pPr>
            <w:r w:rsidRPr="00A621DA">
              <w:t>perform mental calculations</w:t>
            </w:r>
          </w:p>
          <w:p w:rsidR="00000000" w:rsidRPr="00A621DA" w:rsidP="00A621DA">
            <w:pPr>
              <w:pStyle w:val="ListBullet2"/>
            </w:pPr>
            <w:r w:rsidRPr="00A621DA">
              <w:t>record with accuracy and precision</w:t>
            </w:r>
          </w:p>
          <w:p w:rsidR="00000000" w:rsidRPr="00A621DA" w:rsidP="00A621DA">
            <w:pPr>
              <w:pStyle w:val="ListBullet2"/>
            </w:pPr>
            <w:r w:rsidRPr="00A621DA">
              <w:t>undertake computations</w:t>
            </w:r>
          </w:p>
          <w:p w:rsidR="00000000" w:rsidRPr="00A621DA" w:rsidP="00A621DA">
            <w:pPr>
              <w:pStyle w:val="ListBullet"/>
            </w:pPr>
            <w:r w:rsidRPr="00A621DA">
              <w:t>organisational skills to:</w:t>
            </w:r>
          </w:p>
          <w:p w:rsidR="00000000" w:rsidRPr="00A621DA" w:rsidP="00A621DA">
            <w:pPr>
              <w:pStyle w:val="ListBullet2"/>
            </w:pPr>
            <w:r w:rsidRPr="00A621DA">
              <w:t>coordinate technical and human resource inputs to research activities</w:t>
            </w:r>
          </w:p>
          <w:p w:rsidR="00000000" w:rsidRPr="00A621DA" w:rsidP="00A621DA">
            <w:pPr>
              <w:pStyle w:val="ListBullet2"/>
            </w:pPr>
            <w:r w:rsidRPr="00A621DA">
              <w:t>prioritise activities to mee</w:t>
            </w:r>
            <w:r w:rsidRPr="00A621DA">
              <w:t>t contractual requirements</w:t>
            </w:r>
          </w:p>
          <w:p w:rsidR="00000000" w:rsidRPr="00A621DA" w:rsidP="00A621DA">
            <w:pPr>
              <w:pStyle w:val="ListBullet"/>
            </w:pPr>
            <w:r w:rsidRPr="00A621DA">
              <w:t>spatial skills to:</w:t>
            </w:r>
          </w:p>
          <w:p w:rsidR="00000000" w:rsidRPr="00A621DA" w:rsidP="00A621DA">
            <w:pPr>
              <w:pStyle w:val="ListBullet2"/>
            </w:pPr>
            <w:r w:rsidRPr="00A621DA">
              <w:t>exercise precision and accuracy in relation to spatial and aspatial data design</w:t>
            </w:r>
          </w:p>
          <w:p w:rsidR="00000000" w:rsidRPr="00A621DA" w:rsidP="00A621DA">
            <w:pPr>
              <w:pStyle w:val="ListBullet2"/>
            </w:pPr>
            <w:r w:rsidRPr="00A621DA">
              <w:t>perform spatial data archival and retrieval and train others in this task</w:t>
            </w:r>
          </w:p>
          <w:p w:rsidR="00000000" w:rsidRPr="00A621DA" w:rsidP="00A621DA">
            <w:pPr>
              <w:pStyle w:val="ListBullet2"/>
            </w:pPr>
            <w:r w:rsidRPr="00A621DA">
              <w:t>perform spatial data management and manipulation and train others in this task</w:t>
            </w:r>
          </w:p>
          <w:p w:rsidR="00000000" w:rsidRPr="00A621DA" w:rsidP="00A621DA">
            <w:pPr>
              <w:pStyle w:val="ListBullet2"/>
            </w:pPr>
            <w:r w:rsidRPr="00A621DA">
              <w:t>perform file management and train others in this task</w:t>
            </w:r>
          </w:p>
          <w:p w:rsidR="00000000" w:rsidRPr="00A621DA" w:rsidP="00A621DA">
            <w:pPr>
              <w:pStyle w:val="ListBullet2"/>
            </w:pPr>
            <w:r w:rsidRPr="00A621DA">
              <w:t>solve problems relating to height, depth, breadth, dimension, direction and position in actual operational activity and vir</w:t>
            </w:r>
            <w:r w:rsidRPr="00A621DA">
              <w:t>tual representation</w:t>
            </w:r>
          </w:p>
          <w:p w:rsidR="00000000" w:rsidRPr="00A621DA" w:rsidP="00A621DA">
            <w:pPr>
              <w:pStyle w:val="ListBullet2"/>
            </w:pPr>
            <w:r w:rsidRPr="00A621DA">
              <w:t>understand implications of height, depth, breadth, dimension and position to actual operational activity and virtual representation</w:t>
            </w:r>
          </w:p>
          <w:p w:rsidR="00000000" w:rsidP="00A621DA">
            <w:pPr>
              <w:pStyle w:val="ListBullet"/>
              <w:rPr>
                <w:lang w:val="en-NZ"/>
              </w:rPr>
            </w:pPr>
            <w:r w:rsidRPr="00A621DA">
              <w:t>working in a team.</w:t>
            </w:r>
          </w:p>
        </w:tc>
      </w:tr>
      <w:tr w:rsidTr="002A7E6E">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A621DA" w:rsidP="00A621DA">
            <w:pPr>
              <w:pStyle w:val="BodyText"/>
            </w:pPr>
            <w:r w:rsidRPr="00A621DA">
              <w:rPr>
                <w:rStyle w:val="SpecialBold"/>
              </w:rPr>
              <w:t>Required knowledge and understanding</w:t>
            </w:r>
            <w:r w:rsidRPr="00A621DA">
              <w:t>:</w:t>
            </w:r>
          </w:p>
          <w:p w:rsidR="00000000" w:rsidRPr="00A621DA" w:rsidP="00A621DA">
            <w:pPr>
              <w:pStyle w:val="ListBullet"/>
            </w:pPr>
            <w:r w:rsidRPr="00A621DA">
              <w:t>data formats</w:t>
            </w:r>
          </w:p>
          <w:p w:rsidR="00000000" w:rsidRPr="00A621DA" w:rsidP="00A621DA">
            <w:pPr>
              <w:pStyle w:val="ListBullet"/>
            </w:pPr>
            <w:r w:rsidRPr="00A621DA">
              <w:t>errors, accuracy and precision in</w:t>
            </w:r>
            <w:r w:rsidRPr="00A621DA">
              <w:t xml:space="preserve"> technical reporting</w:t>
            </w:r>
          </w:p>
          <w:p w:rsidR="00000000" w:rsidRPr="00A621DA" w:rsidP="00A621DA">
            <w:pPr>
              <w:pStyle w:val="ListBullet"/>
            </w:pPr>
            <w:r w:rsidRPr="00A621DA">
              <w:t>industry standards</w:t>
            </w:r>
          </w:p>
          <w:p w:rsidR="00000000" w:rsidRPr="00A621DA" w:rsidP="00A621DA">
            <w:pPr>
              <w:pStyle w:val="ListBullet"/>
            </w:pPr>
            <w:r w:rsidRPr="00A621DA">
              <w:t>organisational policies and guidelines, such as OHS guidelines</w:t>
            </w:r>
          </w:p>
          <w:p w:rsidR="00000000" w:rsidRPr="00A621DA" w:rsidP="00A621DA">
            <w:pPr>
              <w:pStyle w:val="ListBullet"/>
            </w:pPr>
            <w:r w:rsidRPr="00A621DA">
              <w:t>planning and control processes</w:t>
            </w:r>
          </w:p>
          <w:p w:rsidR="00000000" w:rsidRPr="00A621DA" w:rsidP="00A621DA">
            <w:pPr>
              <w:pStyle w:val="ListBullet"/>
            </w:pPr>
            <w:r w:rsidRPr="00A621DA">
              <w:t>possible community issues and repercussions with regard to building permits</w:t>
            </w:r>
          </w:p>
          <w:p w:rsidR="00000000" w:rsidRPr="00A621DA" w:rsidP="00A621DA">
            <w:pPr>
              <w:pStyle w:val="ListBullet"/>
            </w:pPr>
            <w:r w:rsidRPr="00A621DA">
              <w:t>safe work practices</w:t>
            </w:r>
          </w:p>
          <w:p w:rsidR="00000000" w:rsidRPr="00A621DA" w:rsidP="00A621DA">
            <w:pPr>
              <w:pStyle w:val="ListBullet"/>
            </w:pPr>
            <w:r w:rsidRPr="00A621DA">
              <w:t>surveying reference systems</w:t>
            </w:r>
          </w:p>
          <w:p w:rsidR="00000000" w:rsidRPr="00A621DA" w:rsidP="00A621DA">
            <w:pPr>
              <w:pStyle w:val="ListBullet"/>
            </w:pPr>
            <w:r w:rsidRPr="00A621DA">
              <w:t>surveying data capture and data set out methodologies</w:t>
            </w:r>
          </w:p>
          <w:p w:rsidR="00000000" w:rsidRPr="00A621DA" w:rsidP="00A621DA">
            <w:pPr>
              <w:pStyle w:val="ListBullet"/>
            </w:pPr>
            <w:r w:rsidRPr="00A621DA">
              <w:t>understanding and application of road alignment design and associated computations.</w:t>
            </w:r>
          </w:p>
        </w:tc>
      </w:tr>
    </w:tbl>
    <w:p w:rsidR="002A7E6E" w:rsidP="00A621DA">
      <w:pPr>
        <w:pStyle w:val="BodyText"/>
      </w:pPr>
    </w:p>
    <w:p w:rsidR="002A7E6E" w:rsidP="00A621DA">
      <w:pPr>
        <w:pStyle w:val="BodyText"/>
      </w:pPr>
    </w:p>
    <w:p w:rsidR="00000000" w:rsidRPr="00A621DA" w:rsidP="00A621DA">
      <w:pPr>
        <w:pStyle w:val="Heading1"/>
      </w:pPr>
      <w:bookmarkStart w:id="10" w:name="O_243018"/>
      <w:bookmarkEnd w:id="10"/>
      <w:r w:rsidRPr="00A621DA">
        <w:t>Evidence Guide</w:t>
      </w:r>
    </w:p>
    <w:p w:rsidR="00000000" w:rsidRPr="00A621DA" w:rsidP="00A621DA">
      <w:pPr>
        <w:pStyle w:val="BodyText"/>
      </w:pPr>
      <w:r w:rsidRPr="00A621DA">
        <w:rPr>
          <w:rStyle w:val="SpecialBold"/>
        </w:rPr>
        <w:t>EVIDENCE GUIDE</w:t>
      </w:r>
    </w:p>
    <w:p w:rsidR="00000000" w:rsidRPr="00A621DA" w:rsidP="00A621DA">
      <w:pPr>
        <w:pStyle w:val="BodyText"/>
      </w:pPr>
      <w:r w:rsidRPr="00A621DA">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2A7E6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r w:rsidRPr="00A621DA">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r w:rsidRPr="00A621DA">
              <w:t xml:space="preserve">This unit of </w:t>
            </w:r>
            <w:r w:rsidRPr="00A621DA">
              <w:t>competency could be assessed on its own or in combination with other units relevant to the job function, for example unit CPPSIS4003A Facilitate effective spatial client relationships.</w:t>
            </w:r>
          </w:p>
        </w:tc>
      </w:tr>
      <w:tr w:rsidTr="002A7E6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r w:rsidRPr="00A621DA">
              <w:rPr>
                <w:rStyle w:val="SpecialBold"/>
              </w:rPr>
              <w:t>Critical aspects for 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A621DA" w:rsidP="00A621DA">
            <w:pPr>
              <w:pStyle w:val="BodyText"/>
            </w:pPr>
            <w:r w:rsidRPr="00A621DA">
              <w:t>A person who demonstrates competency in this unit must be able to provide evidence of:</w:t>
            </w:r>
          </w:p>
          <w:p w:rsidR="00000000" w:rsidRPr="00A621DA" w:rsidP="00A621DA">
            <w:pPr>
              <w:pStyle w:val="ListBullet"/>
            </w:pPr>
            <w:r w:rsidRPr="00A621DA">
              <w:t>matching objectives with resources to ensure project proceeds in an organise</w:t>
            </w:r>
            <w:r w:rsidRPr="00A621DA">
              <w:t>d and timely manner</w:t>
            </w:r>
          </w:p>
          <w:p w:rsidR="00000000" w:rsidRPr="00A621DA" w:rsidP="00A621DA">
            <w:pPr>
              <w:pStyle w:val="ListBullet"/>
            </w:pPr>
            <w:r w:rsidRPr="00A621DA">
              <w:t>taking responsibility for own outputs in work and learning</w:t>
            </w:r>
          </w:p>
          <w:p w:rsidR="00000000" w:rsidRPr="00A621DA" w:rsidP="00A621DA">
            <w:pPr>
              <w:pStyle w:val="ListBullet"/>
            </w:pPr>
            <w:r w:rsidRPr="00A621DA">
              <w:t>ensuring that non-conformity aspects are recorded and reported</w:t>
            </w:r>
          </w:p>
          <w:p w:rsidR="00000000" w:rsidRPr="00A621DA" w:rsidP="00A621DA">
            <w:pPr>
              <w:pStyle w:val="ListBullet"/>
            </w:pPr>
            <w:r w:rsidRPr="00A621DA">
              <w:t>ensuring that achievement of required accuracy has been attempted by:</w:t>
            </w:r>
          </w:p>
          <w:p w:rsidR="00000000" w:rsidRPr="00A621DA" w:rsidP="00A621DA">
            <w:pPr>
              <w:pStyle w:val="ListBullet2"/>
            </w:pPr>
            <w:r w:rsidRPr="00A621DA">
              <w:t>accessing and interpreting design informati</w:t>
            </w:r>
            <w:r w:rsidRPr="00A621DA">
              <w:t>on to identify the components to be measured and monitored</w:t>
            </w:r>
          </w:p>
          <w:p w:rsidR="00000000" w:rsidRPr="00A621DA" w:rsidP="00A621DA">
            <w:pPr>
              <w:pStyle w:val="ListBullet2"/>
            </w:pPr>
            <w:r w:rsidRPr="00A621DA">
              <w:t>applying solutions to a range of problems</w:t>
            </w:r>
          </w:p>
          <w:p w:rsidR="00000000" w:rsidRPr="00A621DA" w:rsidP="00A621DA">
            <w:pPr>
              <w:pStyle w:val="ListBullet2"/>
            </w:pPr>
            <w:r w:rsidRPr="00A621DA">
              <w:t>documenting and reporting</w:t>
            </w:r>
          </w:p>
          <w:p w:rsidR="00000000" w:rsidRPr="00A621DA" w:rsidP="00A621DA">
            <w:pPr>
              <w:pStyle w:val="ListBullet2"/>
            </w:pPr>
            <w:r w:rsidRPr="00A621DA">
              <w:t>organising and prioritising activities</w:t>
            </w:r>
          </w:p>
          <w:p w:rsidR="00000000" w:rsidP="00A621DA">
            <w:pPr>
              <w:pStyle w:val="ListBullet2"/>
              <w:rPr>
                <w:lang w:val="en-NZ"/>
              </w:rPr>
            </w:pPr>
            <w:r w:rsidRPr="00A621DA">
              <w:t>providing timely and accurate advice.</w:t>
            </w:r>
          </w:p>
        </w:tc>
      </w:tr>
      <w:tr w:rsidTr="002A7E6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r w:rsidRPr="00A621DA">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A621DA" w:rsidP="00A621DA">
            <w:pPr>
              <w:pStyle w:val="BodyText"/>
            </w:pPr>
            <w:r w:rsidRPr="00A621DA">
              <w:t>Resource implications for assessment include access to:</w:t>
            </w:r>
          </w:p>
          <w:p w:rsidR="00000000" w:rsidRPr="00A621DA" w:rsidP="00A621DA">
            <w:pPr>
              <w:pStyle w:val="ListBullet"/>
            </w:pPr>
            <w:r w:rsidRPr="00A621DA">
              <w:t>assessment instruments, including personal planner and assessment record book</w:t>
            </w:r>
          </w:p>
          <w:p w:rsidR="00000000" w:rsidRPr="00A621DA" w:rsidP="00A621DA">
            <w:pPr>
              <w:pStyle w:val="ListBullet"/>
            </w:pPr>
            <w:r w:rsidRPr="00A621DA">
              <w:t>assignment instructions, work plans and schedules, policy documents and duty statements</w:t>
            </w:r>
          </w:p>
          <w:p w:rsidR="00000000" w:rsidRPr="00A621DA" w:rsidP="00A621DA">
            <w:pPr>
              <w:pStyle w:val="ListBullet"/>
            </w:pPr>
            <w:r w:rsidRPr="00A621DA">
              <w:t>registered training provider of as</w:t>
            </w:r>
            <w:r w:rsidRPr="00A621DA">
              <w:t>sessment services</w:t>
            </w:r>
          </w:p>
          <w:p w:rsidR="00000000" w:rsidRPr="00A621DA" w:rsidP="00A621DA">
            <w:pPr>
              <w:pStyle w:val="ListBullet"/>
            </w:pPr>
            <w:r w:rsidRPr="00A621DA">
              <w:t>relevant guidelines, regulations and codes of practice</w:t>
            </w:r>
          </w:p>
          <w:p w:rsidR="00000000" w:rsidP="00A621DA">
            <w:pPr>
              <w:pStyle w:val="ListBullet"/>
              <w:rPr>
                <w:lang w:val="en-NZ"/>
              </w:rPr>
            </w:pPr>
            <w:r w:rsidRPr="00A621DA">
              <w:t>suitable venue and equipment.</w:t>
            </w:r>
          </w:p>
        </w:tc>
      </w:tr>
      <w:tr w:rsidTr="002A7E6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A621DA" w:rsidP="00A621DA">
            <w:pPr>
              <w:pStyle w:val="BodyText"/>
            </w:pPr>
            <w:r w:rsidRPr="00A621DA">
              <w:t>Access must be provided to appropriate learning and assessment support when required.</w:t>
            </w:r>
          </w:p>
          <w:p w:rsidR="00000000" w:rsidP="00A621DA">
            <w:pPr>
              <w:pStyle w:val="BodyText"/>
              <w:rPr>
                <w:lang w:val="en-NZ"/>
              </w:rPr>
            </w:pPr>
            <w:r w:rsidRPr="00A621DA">
              <w:t>Where applicable, physical resources should include equipment modified for people with disabilities.</w:t>
            </w:r>
          </w:p>
        </w:tc>
      </w:tr>
      <w:tr w:rsidTr="002A7E6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r w:rsidRPr="00A621DA">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r w:rsidRPr="00A621DA">
              <w:t>Holistic: based on the performance criteria, evidence guide, range statement, and required skills and knowledge.</w:t>
            </w:r>
          </w:p>
        </w:tc>
      </w:tr>
      <w:tr w:rsidTr="002A7E6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r w:rsidRPr="00A621DA">
              <w:rPr>
                <w:rStyle w:val="SpecialBold"/>
              </w:rPr>
              <w:t>Method of assessme</w:t>
            </w:r>
            <w:r w:rsidRPr="00A621DA">
              <w:rPr>
                <w:rStyle w:val="SpecialBold"/>
              </w:rPr>
              <w:t>nt</w:t>
            </w:r>
          </w:p>
        </w:tc>
        <w:tc>
          <w:tcPr>
            <w:tcW w:w="5775" w:type="dxa"/>
            <w:tcBorders>
              <w:top w:val="nil"/>
              <w:left w:val="nil"/>
              <w:bottom w:val="nil"/>
              <w:right w:val="nil"/>
            </w:tcBorders>
            <w:tcMar>
              <w:top w:w="0" w:type="dxa"/>
              <w:left w:w="62" w:type="dxa"/>
              <w:bottom w:w="0" w:type="dxa"/>
              <w:right w:w="62" w:type="dxa"/>
            </w:tcMar>
          </w:tcPr>
          <w:p w:rsidR="00000000" w:rsidRPr="00A621DA" w:rsidP="00A621DA">
            <w:pPr>
              <w:pStyle w:val="BodyText"/>
            </w:pPr>
            <w:r w:rsidRPr="00A621DA">
              <w:t>Demonstrated over a period of time and observed by the assessor (or assessment team working together to conduct the assessment).</w:t>
            </w:r>
          </w:p>
          <w:p w:rsidR="00000000" w:rsidRPr="00A621DA" w:rsidP="00A621DA">
            <w:pPr>
              <w:pStyle w:val="BodyText"/>
            </w:pPr>
            <w:r w:rsidRPr="00A621DA">
              <w:t>Demonstrated competency in a range of situations, that may include customer/workplace interruptions and involvement in relat</w:t>
            </w:r>
            <w:r w:rsidRPr="00A621DA">
              <w:t>ed activities normally experienced in the workplace.</w:t>
            </w:r>
          </w:p>
          <w:p w:rsidR="00000000" w:rsidP="00A621DA">
            <w:pPr>
              <w:pStyle w:val="BodyText"/>
              <w:rPr>
                <w:lang w:val="en-NZ"/>
              </w:rPr>
            </w:pPr>
            <w:r w:rsidRPr="00A621DA">
              <w:t>Obtained by observing activities in the field and reviewing induction information. If this is not practicable, observation in realistic simulated environments may be substituted.</w:t>
            </w:r>
          </w:p>
        </w:tc>
      </w:tr>
      <w:tr w:rsidTr="002A7E6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r w:rsidRPr="00A621DA">
              <w:rPr>
                <w:rStyle w:val="SpecialBold"/>
              </w:rPr>
              <w:t>Guidance information fo</w:t>
            </w:r>
            <w:r w:rsidRPr="00A621DA">
              <w:rPr>
                <w:rStyle w:val="SpecialBold"/>
              </w:rPr>
              <w:t>r assessment</w:t>
            </w:r>
          </w:p>
        </w:tc>
        <w:tc>
          <w:tcPr>
            <w:tcW w:w="5775" w:type="dxa"/>
            <w:tcBorders>
              <w:top w:val="nil"/>
              <w:left w:val="nil"/>
              <w:bottom w:val="nil"/>
              <w:right w:val="nil"/>
            </w:tcBorders>
            <w:tcMar>
              <w:top w:w="0" w:type="dxa"/>
              <w:left w:w="62" w:type="dxa"/>
              <w:bottom w:w="0" w:type="dxa"/>
              <w:right w:w="62" w:type="dxa"/>
            </w:tcMar>
          </w:tcPr>
          <w:p w:rsidR="00000000" w:rsidRPr="00A621DA" w:rsidP="00A621DA">
            <w:pPr>
              <w:pStyle w:val="BodyText"/>
            </w:pPr>
            <w:r w:rsidRPr="00A621DA">
              <w:t>Assessment requires that the clients' objectives and industry expectations are met. If the clients' objectives are narrowly defined or not representative of industry needs, it may be necessary to refer to portfolio case studies of a variety of</w:t>
            </w:r>
            <w:r w:rsidRPr="00A621DA">
              <w:t xml:space="preserve"> spatial information services requirements to assess competency.</w:t>
            </w:r>
          </w:p>
          <w:p w:rsidR="00000000" w:rsidRPr="00A621DA" w:rsidP="00A621DA">
            <w:pPr>
              <w:pStyle w:val="BodyText"/>
            </w:pPr>
            <w:r w:rsidRPr="00A621DA">
              <w:t>Oral questioning or written assessment and hypothetical situations (scenarios) may be used to assess underpinning knowledge (in assessment situations where the candidate is offered a preferen</w:t>
            </w:r>
            <w:r w:rsidRPr="00A621DA">
              <w:t>ce between oral questioning or written assessment, questions are to be identical).</w:t>
            </w:r>
          </w:p>
          <w:p w:rsidR="00000000" w:rsidRPr="00A621DA" w:rsidP="00A621DA">
            <w:pPr>
              <w:pStyle w:val="BodyText"/>
            </w:pPr>
            <w:r w:rsidRPr="00A621DA">
              <w:t>Supplementary evidence may be obtained from relevant authenticated correspondence from existing supervisors, team leaders or specialist training staff.</w:t>
            </w:r>
          </w:p>
          <w:p w:rsidR="00000000" w:rsidRPr="00A621DA" w:rsidP="00A621DA">
            <w:pPr>
              <w:pStyle w:val="BodyText"/>
            </w:pPr>
            <w:r w:rsidRPr="00A621DA">
              <w:t>All practical demonst</w:t>
            </w:r>
            <w:r w:rsidRPr="00A621DA">
              <w:t>ration must adhere to the safety and environmental regulations relevant to each State or Territory.</w:t>
            </w:r>
          </w:p>
          <w:p w:rsidR="00000000" w:rsidRPr="00A621DA" w:rsidP="00A621DA">
            <w:pPr>
              <w:pStyle w:val="BodyText"/>
            </w:pPr>
            <w:r w:rsidRPr="00A621DA">
              <w:t>Where assessment is for the purpose of recognition (recognition of current competencies [RCC] or recognition of prior learning [RPL]), the evidence provided</w:t>
            </w:r>
            <w:r w:rsidRPr="00A621DA">
              <w:t xml:space="preserve"> will need to be authenticated and show that it represents competency demonstrated over a period of time.</w:t>
            </w:r>
          </w:p>
          <w:p w:rsidR="00000000" w:rsidRPr="00A621DA" w:rsidP="00A621DA">
            <w:pPr>
              <w:pStyle w:val="BodyText"/>
            </w:pPr>
            <w:r w:rsidRPr="00A621DA">
              <w:t>In all cases where practical assessment is used it will be combined with targeted questioning to assess the underpinning knowledge.</w:t>
            </w:r>
          </w:p>
          <w:p w:rsidR="00000000" w:rsidRPr="00A621DA" w:rsidP="00A621DA">
            <w:pPr>
              <w:pStyle w:val="BodyText"/>
            </w:pPr>
            <w:r w:rsidRPr="00A621DA">
              <w:t>Assessment process</w:t>
            </w:r>
            <w:r w:rsidRPr="00A621DA">
              <w:t>es will be appropriate to the language and literacy levels of the candidate and any cultural issues that may affect responses to the questions, and will reflect the requirements of the competency and the work being performed.</w:t>
            </w:r>
          </w:p>
        </w:tc>
      </w:tr>
    </w:tbl>
    <w:p w:rsidR="002A7E6E" w:rsidP="00A621DA">
      <w:pPr>
        <w:pStyle w:val="BodyText"/>
      </w:pPr>
    </w:p>
    <w:p w:rsidR="002A7E6E" w:rsidP="00A621DA">
      <w:pPr>
        <w:pStyle w:val="BodyText"/>
      </w:pPr>
    </w:p>
    <w:p w:rsidR="00000000" w:rsidRPr="00A621DA" w:rsidP="00A621DA">
      <w:pPr>
        <w:pStyle w:val="Heading1"/>
      </w:pPr>
      <w:bookmarkStart w:id="11" w:name="O_251001"/>
      <w:bookmarkEnd w:id="11"/>
      <w:r w:rsidRPr="00A621DA">
        <w:t>Range Statement</w:t>
      </w:r>
    </w:p>
    <w:p w:rsidR="00000000" w:rsidRPr="00A621DA" w:rsidP="00A621DA">
      <w:pPr>
        <w:pStyle w:val="BodyText"/>
      </w:pPr>
      <w:r w:rsidRPr="00A621DA">
        <w:rPr>
          <w:rStyle w:val="SpecialBold"/>
        </w:rPr>
        <w:t>RANGE STATEMENT</w:t>
      </w:r>
    </w:p>
    <w:p w:rsidR="00000000" w:rsidRPr="00A621DA" w:rsidP="00A621DA">
      <w:pPr>
        <w:pStyle w:val="BodyText"/>
      </w:pPr>
      <w:r w:rsidRPr="00A621DA">
        <w:t xml:space="preserve">The range statement relates to the unit of competency as a whole. It allows for different work environments and situations that may affect performance. </w:t>
      </w:r>
      <w:r w:rsidRPr="00A621DA">
        <w:rPr>
          <w:rStyle w:val="BoldandItalics"/>
        </w:rPr>
        <w:t>Bold italicised</w:t>
      </w:r>
      <w:r w:rsidRPr="00A621DA">
        <w:t xml:space="preserve"> wording in the performance criteria is detailed below. A</w:t>
      </w:r>
      <w:r w:rsidRPr="00A621DA">
        <w:t>dd any essential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2A7E6E">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r w:rsidRPr="00A621DA">
              <w:rPr>
                <w:rStyle w:val="BoldandItalics"/>
              </w:rPr>
              <w:t>Requests</w:t>
            </w:r>
            <w:r w:rsidRPr="00A621D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621DA" w:rsidP="00A621DA">
            <w:pPr>
              <w:pStyle w:val="ListBullet"/>
            </w:pPr>
            <w:r w:rsidRPr="00A621DA">
              <w:t>copies of plans</w:t>
            </w:r>
          </w:p>
          <w:p w:rsidR="00000000" w:rsidRPr="00A621DA" w:rsidP="00A621DA">
            <w:pPr>
              <w:pStyle w:val="ListBullet"/>
            </w:pPr>
            <w:r w:rsidRPr="00A621DA">
              <w:t>compl</w:t>
            </w:r>
            <w:r w:rsidRPr="00A621DA">
              <w:t>aints</w:t>
            </w:r>
          </w:p>
          <w:p w:rsidR="00000000" w:rsidRPr="00A621DA" w:rsidP="00A621DA">
            <w:pPr>
              <w:pStyle w:val="ListBullet"/>
            </w:pPr>
            <w:r w:rsidRPr="00A621DA">
              <w:t>local government requirements</w:t>
            </w:r>
          </w:p>
          <w:p w:rsidR="00000000" w:rsidRPr="00A621DA" w:rsidP="00A621DA">
            <w:pPr>
              <w:pStyle w:val="ListBullet"/>
            </w:pPr>
            <w:r w:rsidRPr="00A621DA">
              <w:t>problems</w:t>
            </w:r>
          </w:p>
          <w:p w:rsidR="00000000" w:rsidRPr="00A621DA" w:rsidP="00A621DA">
            <w:pPr>
              <w:pStyle w:val="ListBullet"/>
            </w:pPr>
            <w:r w:rsidRPr="00A621DA">
              <w:t>property requirements</w:t>
            </w:r>
          </w:p>
          <w:p w:rsidR="00000000" w:rsidP="00A621DA">
            <w:pPr>
              <w:pStyle w:val="ListBullet"/>
              <w:rPr>
                <w:lang w:val="en-NZ"/>
              </w:rPr>
            </w:pPr>
            <w:r w:rsidRPr="00A621DA">
              <w:t>technical advice</w:t>
            </w:r>
          </w:p>
        </w:tc>
      </w:tr>
      <w:tr w:rsidTr="002A7E6E">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p>
        </w:tc>
        <w:tc>
          <w:tcPr>
            <w:tcW w:w="5775" w:type="dxa"/>
            <w:tcBorders>
              <w:top w:val="nil"/>
              <w:left w:val="nil"/>
              <w:bottom w:val="nil"/>
              <w:right w:val="nil"/>
            </w:tcBorders>
            <w:tcMar>
              <w:top w:w="0" w:type="dxa"/>
              <w:left w:w="62" w:type="dxa"/>
              <w:bottom w:w="0" w:type="dxa"/>
              <w:right w:w="62" w:type="dxa"/>
            </w:tcMar>
          </w:tcPr>
          <w:p w:rsidR="00000000" w:rsidRPr="00A621DA" w:rsidP="00A621DA">
            <w:pPr>
              <w:pStyle w:val="ListBullet"/>
            </w:pPr>
            <w:r w:rsidRPr="00A621DA">
              <w:t>verbal (face to face or telephone)</w:t>
            </w:r>
          </w:p>
          <w:p w:rsidR="00000000" w:rsidP="00A621DA">
            <w:pPr>
              <w:pStyle w:val="ListBullet"/>
              <w:rPr>
                <w:lang w:val="en-NZ"/>
              </w:rPr>
            </w:pPr>
            <w:r w:rsidRPr="00A621DA">
              <w:t>written.</w:t>
            </w:r>
          </w:p>
        </w:tc>
      </w:tr>
      <w:tr w:rsidTr="002A7E6E">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r w:rsidRPr="00A621DA">
              <w:rPr>
                <w:rStyle w:val="BoldandItalics"/>
              </w:rPr>
              <w:t>Jurisdiction and ability</w:t>
            </w:r>
            <w:r w:rsidRPr="00A621D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621DA" w:rsidP="00A621DA">
            <w:pPr>
              <w:pStyle w:val="ListBullet"/>
            </w:pPr>
            <w:r w:rsidRPr="00A621DA">
              <w:t>copyright</w:t>
            </w:r>
          </w:p>
          <w:p w:rsidR="00000000" w:rsidRPr="00A621DA" w:rsidP="00A621DA">
            <w:pPr>
              <w:pStyle w:val="ListBullet"/>
            </w:pPr>
            <w:r w:rsidRPr="00A621DA">
              <w:t>freedom of information</w:t>
            </w:r>
          </w:p>
          <w:p w:rsidR="00000000" w:rsidRPr="00A621DA" w:rsidP="00A621DA">
            <w:pPr>
              <w:pStyle w:val="ListBullet"/>
            </w:pPr>
            <w:r w:rsidRPr="00A621DA">
              <w:t>local government policy</w:t>
            </w:r>
          </w:p>
          <w:p w:rsidR="00000000" w:rsidRPr="00A621DA" w:rsidP="00A621DA">
            <w:pPr>
              <w:pStyle w:val="ListBullet"/>
            </w:pPr>
            <w:r w:rsidRPr="00A621DA">
              <w:t>relevant building and planning legislation</w:t>
            </w:r>
          </w:p>
          <w:p w:rsidR="00000000" w:rsidP="00A621DA">
            <w:pPr>
              <w:pStyle w:val="ListBullet"/>
              <w:rPr>
                <w:lang w:val="en-NZ"/>
              </w:rPr>
            </w:pPr>
            <w:r w:rsidRPr="00A621DA">
              <w:t>state, territory and federal Acts and policies.</w:t>
            </w:r>
          </w:p>
        </w:tc>
      </w:tr>
      <w:tr w:rsidTr="002A7E6E">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r w:rsidRPr="00A621DA">
              <w:rPr>
                <w:rStyle w:val="BoldandItalics"/>
              </w:rPr>
              <w:t>Response</w:t>
            </w:r>
            <w:r w:rsidRPr="00A621D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621DA" w:rsidP="00A621DA">
            <w:pPr>
              <w:pStyle w:val="ListBullet"/>
            </w:pPr>
            <w:r w:rsidRPr="00A621DA">
              <w:t>verbal</w:t>
            </w:r>
          </w:p>
          <w:p w:rsidR="00000000" w:rsidP="00A621DA">
            <w:pPr>
              <w:pStyle w:val="ListBullet"/>
              <w:rPr>
                <w:lang w:val="en-NZ"/>
              </w:rPr>
            </w:pPr>
            <w:r w:rsidRPr="00A621DA">
              <w:t>written.</w:t>
            </w:r>
          </w:p>
        </w:tc>
      </w:tr>
      <w:tr w:rsidTr="002A7E6E">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r w:rsidRPr="00A621DA">
              <w:rPr>
                <w:rStyle w:val="BoldandItalics"/>
              </w:rPr>
              <w:t>Research</w:t>
            </w:r>
            <w:r w:rsidRPr="00A621D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621DA" w:rsidP="00A621DA">
            <w:pPr>
              <w:pStyle w:val="ListBullet"/>
            </w:pPr>
            <w:r w:rsidRPr="00A621DA">
              <w:t>checking local government reports</w:t>
            </w:r>
          </w:p>
          <w:p w:rsidR="00000000" w:rsidRPr="00A621DA" w:rsidP="00A621DA">
            <w:pPr>
              <w:pStyle w:val="ListBullet"/>
            </w:pPr>
            <w:r w:rsidRPr="00A621DA">
              <w:t>literature survey</w:t>
            </w:r>
          </w:p>
          <w:p w:rsidR="00000000" w:rsidRPr="00A621DA" w:rsidP="00A621DA">
            <w:pPr>
              <w:pStyle w:val="ListBullet"/>
            </w:pPr>
            <w:r w:rsidRPr="00A621DA">
              <w:t>obtaining telephone information</w:t>
            </w:r>
          </w:p>
          <w:p w:rsidR="00000000" w:rsidP="00A621DA">
            <w:pPr>
              <w:pStyle w:val="ListBullet"/>
              <w:rPr>
                <w:lang w:val="en-NZ"/>
              </w:rPr>
            </w:pPr>
            <w:r w:rsidRPr="00A621DA">
              <w:t>statutory controls.</w:t>
            </w:r>
          </w:p>
        </w:tc>
      </w:tr>
      <w:tr w:rsidTr="002A7E6E">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r w:rsidRPr="00A621DA">
              <w:rPr>
                <w:rStyle w:val="BoldandItalics"/>
              </w:rPr>
              <w:t>Information</w:t>
            </w:r>
            <w:r w:rsidRPr="00A621D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621DA" w:rsidP="00A621DA">
            <w:pPr>
              <w:pStyle w:val="ListBullet"/>
            </w:pPr>
            <w:r w:rsidRPr="00A621DA">
              <w:t>boundary dimensions</w:t>
            </w:r>
          </w:p>
          <w:p w:rsidR="00000000" w:rsidRPr="00A621DA" w:rsidP="00A621DA">
            <w:pPr>
              <w:pStyle w:val="ListBullet"/>
            </w:pPr>
            <w:r w:rsidRPr="00A621DA">
              <w:t>design information:</w:t>
            </w:r>
          </w:p>
          <w:p w:rsidR="00000000" w:rsidRPr="00A621DA" w:rsidP="00A621DA">
            <w:pPr>
              <w:pStyle w:val="ListBullet2"/>
            </w:pPr>
            <w:r w:rsidRPr="00A621DA">
              <w:t>digital</w:t>
            </w:r>
          </w:p>
          <w:p w:rsidR="00000000" w:rsidRPr="00A621DA" w:rsidP="00A621DA">
            <w:pPr>
              <w:pStyle w:val="ListBullet2"/>
            </w:pPr>
            <w:r w:rsidRPr="00A621DA">
              <w:t>hard copy plans</w:t>
            </w:r>
          </w:p>
          <w:p w:rsidR="00000000" w:rsidRPr="00A621DA" w:rsidP="00A621DA">
            <w:pPr>
              <w:pStyle w:val="ListBullet2"/>
            </w:pPr>
            <w:r w:rsidRPr="00A621DA">
              <w:t>maps</w:t>
            </w:r>
          </w:p>
          <w:p w:rsidR="00000000" w:rsidRPr="00A621DA" w:rsidP="00A621DA">
            <w:pPr>
              <w:pStyle w:val="ListBullet2"/>
            </w:pPr>
            <w:r w:rsidRPr="00A621DA">
              <w:t>written instructions</w:t>
            </w:r>
          </w:p>
          <w:p w:rsidR="00000000" w:rsidRPr="00A621DA" w:rsidP="00A621DA">
            <w:pPr>
              <w:pStyle w:val="ListBullet"/>
            </w:pPr>
            <w:r w:rsidRPr="00A621DA">
              <w:t>land title</w:t>
            </w:r>
          </w:p>
          <w:p w:rsidR="00000000" w:rsidP="00A621DA">
            <w:pPr>
              <w:pStyle w:val="ListBullet"/>
              <w:rPr>
                <w:lang w:val="en-NZ"/>
              </w:rPr>
            </w:pPr>
            <w:r w:rsidRPr="00A621DA">
              <w:t>topographic features.</w:t>
            </w:r>
          </w:p>
        </w:tc>
      </w:tr>
      <w:tr w:rsidTr="002A7E6E">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r w:rsidRPr="00A621DA">
              <w:rPr>
                <w:rStyle w:val="BoldandItalics"/>
              </w:rPr>
              <w:t>Professional advice</w:t>
            </w:r>
            <w:r w:rsidRPr="00A621D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621DA" w:rsidP="00A621DA">
            <w:pPr>
              <w:pStyle w:val="ListBullet"/>
            </w:pPr>
            <w:r w:rsidRPr="00A621DA">
              <w:t>builders</w:t>
            </w:r>
          </w:p>
          <w:p w:rsidR="00000000" w:rsidRPr="00A621DA" w:rsidP="00A621DA">
            <w:pPr>
              <w:pStyle w:val="ListBullet"/>
            </w:pPr>
            <w:r w:rsidRPr="00A621DA">
              <w:t>engineers</w:t>
            </w:r>
          </w:p>
          <w:p w:rsidR="00000000" w:rsidRPr="00A621DA" w:rsidP="00A621DA">
            <w:pPr>
              <w:pStyle w:val="ListBullet"/>
            </w:pPr>
            <w:r w:rsidRPr="00A621DA">
              <w:t>statutory authorities</w:t>
            </w:r>
          </w:p>
          <w:p w:rsidR="00000000" w:rsidRPr="00A621DA" w:rsidP="00A621DA">
            <w:pPr>
              <w:pStyle w:val="ListBullet"/>
            </w:pPr>
            <w:r w:rsidRPr="00A621DA">
              <w:t>surveyors</w:t>
            </w:r>
          </w:p>
          <w:p w:rsidR="00000000" w:rsidP="00A621DA">
            <w:pPr>
              <w:pStyle w:val="ListBullet"/>
              <w:rPr>
                <w:lang w:val="en-NZ"/>
              </w:rPr>
            </w:pPr>
            <w:r w:rsidRPr="00A621DA">
              <w:t>town planners.</w:t>
            </w:r>
          </w:p>
        </w:tc>
      </w:tr>
      <w:tr w:rsidTr="002A7E6E">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r w:rsidRPr="00A621DA">
              <w:rPr>
                <w:rStyle w:val="BoldandItalics"/>
              </w:rPr>
              <w:t>Design</w:t>
            </w:r>
            <w:r w:rsidRPr="00A621D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621DA" w:rsidP="00A621DA">
            <w:pPr>
              <w:pStyle w:val="ListBullet"/>
            </w:pPr>
            <w:r w:rsidRPr="00A621DA">
              <w:t>digital information</w:t>
            </w:r>
          </w:p>
          <w:p w:rsidR="00000000" w:rsidRPr="00A621DA" w:rsidP="00A621DA">
            <w:pPr>
              <w:pStyle w:val="ListBullet"/>
            </w:pPr>
            <w:r w:rsidRPr="00A621DA">
              <w:t>hard copy plans</w:t>
            </w:r>
          </w:p>
          <w:p w:rsidR="00000000" w:rsidP="00A621DA">
            <w:pPr>
              <w:pStyle w:val="ListBullet"/>
              <w:rPr>
                <w:lang w:val="en-NZ"/>
              </w:rPr>
            </w:pPr>
            <w:r w:rsidRPr="00A621DA">
              <w:t>maps.</w:t>
            </w:r>
          </w:p>
        </w:tc>
      </w:tr>
      <w:tr w:rsidTr="002A7E6E">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r w:rsidRPr="00A621DA">
              <w:rPr>
                <w:rStyle w:val="BoldandItalics"/>
              </w:rPr>
              <w:t>Appropriate application documentation</w:t>
            </w:r>
            <w:r w:rsidRPr="00A621DA">
              <w:t>:</w:t>
            </w:r>
          </w:p>
        </w:tc>
        <w:tc>
          <w:tcPr>
            <w:tcW w:w="5775" w:type="dxa"/>
            <w:tcBorders>
              <w:top w:val="nil"/>
              <w:left w:val="nil"/>
              <w:bottom w:val="nil"/>
              <w:right w:val="nil"/>
            </w:tcBorders>
            <w:tcMar>
              <w:top w:w="0" w:type="dxa"/>
              <w:left w:w="62" w:type="dxa"/>
              <w:bottom w:w="0" w:type="dxa"/>
              <w:right w:w="62" w:type="dxa"/>
            </w:tcMar>
          </w:tcPr>
          <w:p w:rsidR="00000000" w:rsidP="00A621DA">
            <w:pPr>
              <w:pStyle w:val="ListBullet"/>
              <w:rPr>
                <w:lang w:val="en-NZ"/>
              </w:rPr>
            </w:pPr>
            <w:r w:rsidRPr="00A621DA">
              <w:t>is determined by local government.</w:t>
            </w:r>
          </w:p>
        </w:tc>
      </w:tr>
      <w:tr w:rsidTr="002A7E6E">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r w:rsidRPr="00A621DA">
              <w:rPr>
                <w:rStyle w:val="BoldandItalics"/>
              </w:rPr>
              <w:t>Client</w:t>
            </w:r>
            <w:r w:rsidRPr="00A621D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621DA" w:rsidP="00A621DA">
            <w:pPr>
              <w:pStyle w:val="ListBullet"/>
            </w:pPr>
            <w:r w:rsidRPr="00A621DA">
              <w:t>builder</w:t>
            </w:r>
          </w:p>
          <w:p w:rsidR="00000000" w:rsidRPr="00A621DA" w:rsidP="00A621DA">
            <w:pPr>
              <w:pStyle w:val="ListBullet"/>
            </w:pPr>
            <w:r w:rsidRPr="00A621DA">
              <w:t>developer</w:t>
            </w:r>
          </w:p>
          <w:p w:rsidR="00000000" w:rsidRPr="00A621DA" w:rsidP="00A621DA">
            <w:pPr>
              <w:pStyle w:val="ListBullet"/>
            </w:pPr>
            <w:r w:rsidRPr="00A621DA">
              <w:t>land owner</w:t>
            </w:r>
          </w:p>
          <w:p w:rsidR="00000000" w:rsidP="00A621DA">
            <w:pPr>
              <w:pStyle w:val="ListBullet"/>
              <w:rPr>
                <w:lang w:val="en-NZ"/>
              </w:rPr>
            </w:pPr>
            <w:r w:rsidRPr="00A621DA">
              <w:t>local government representative</w:t>
            </w:r>
          </w:p>
        </w:tc>
      </w:tr>
      <w:tr w:rsidTr="002A7E6E">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p>
        </w:tc>
        <w:tc>
          <w:tcPr>
            <w:tcW w:w="5775" w:type="dxa"/>
            <w:tcBorders>
              <w:top w:val="nil"/>
              <w:left w:val="nil"/>
              <w:bottom w:val="nil"/>
              <w:right w:val="nil"/>
            </w:tcBorders>
            <w:tcMar>
              <w:top w:w="0" w:type="dxa"/>
              <w:left w:w="62" w:type="dxa"/>
              <w:bottom w:w="0" w:type="dxa"/>
              <w:right w:w="62" w:type="dxa"/>
            </w:tcMar>
          </w:tcPr>
          <w:p w:rsidR="00000000" w:rsidRPr="00A621DA" w:rsidP="00A621DA">
            <w:pPr>
              <w:pStyle w:val="ListBullet"/>
            </w:pPr>
            <w:r w:rsidRPr="00A621DA">
              <w:t>organisational representative</w:t>
            </w:r>
          </w:p>
          <w:p w:rsidR="00000000" w:rsidP="00A621DA">
            <w:pPr>
              <w:pStyle w:val="ListBullet"/>
              <w:rPr>
                <w:lang w:val="en-NZ"/>
              </w:rPr>
            </w:pPr>
            <w:r w:rsidRPr="00A621DA">
              <w:t>private citizen.</w:t>
            </w:r>
          </w:p>
        </w:tc>
      </w:tr>
      <w:tr w:rsidTr="002A7E6E">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r w:rsidRPr="00A621DA">
              <w:rPr>
                <w:rStyle w:val="BoldandItalics"/>
              </w:rPr>
              <w:t>Physical constraints</w:t>
            </w:r>
            <w:r w:rsidRPr="00A621D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621DA" w:rsidP="00A621DA">
            <w:pPr>
              <w:pStyle w:val="ListBullet"/>
            </w:pPr>
            <w:r w:rsidRPr="00A621DA">
              <w:t>drainage, including:</w:t>
            </w:r>
          </w:p>
          <w:p w:rsidR="00000000" w:rsidRPr="00A621DA" w:rsidP="00A621DA">
            <w:pPr>
              <w:pStyle w:val="ListBullet2"/>
            </w:pPr>
            <w:r w:rsidRPr="00A621DA">
              <w:t>lot drainage</w:t>
            </w:r>
          </w:p>
          <w:p w:rsidR="00000000" w:rsidRPr="00A621DA" w:rsidP="00A621DA">
            <w:pPr>
              <w:pStyle w:val="ListBullet2"/>
            </w:pPr>
            <w:r w:rsidRPr="00A621DA">
              <w:t>road pavement drainage</w:t>
            </w:r>
          </w:p>
          <w:p w:rsidR="00000000" w:rsidRPr="00A621DA" w:rsidP="00A621DA">
            <w:pPr>
              <w:pStyle w:val="ListBullet"/>
            </w:pPr>
            <w:r w:rsidRPr="00A621DA">
              <w:t>easements</w:t>
            </w:r>
          </w:p>
          <w:p w:rsidR="00000000" w:rsidRPr="00A621DA" w:rsidP="00A621DA">
            <w:pPr>
              <w:pStyle w:val="ListBullet"/>
            </w:pPr>
            <w:r w:rsidRPr="00A621DA">
              <w:t>public reserve requirements</w:t>
            </w:r>
          </w:p>
          <w:p w:rsidR="00000000" w:rsidRPr="00A621DA" w:rsidP="00A621DA">
            <w:pPr>
              <w:pStyle w:val="ListBullet"/>
            </w:pPr>
            <w:r w:rsidRPr="00A621DA">
              <w:t>sediment control</w:t>
            </w:r>
          </w:p>
          <w:p w:rsidR="00000000" w:rsidP="00A621DA">
            <w:pPr>
              <w:pStyle w:val="ListBullet"/>
              <w:rPr>
                <w:lang w:val="en-NZ"/>
              </w:rPr>
            </w:pPr>
            <w:r w:rsidRPr="00A621DA">
              <w:t>sewerage control.</w:t>
            </w:r>
          </w:p>
        </w:tc>
      </w:tr>
      <w:tr w:rsidTr="002A7E6E">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r w:rsidRPr="00A621DA">
              <w:rPr>
                <w:rStyle w:val="BoldandItalics"/>
              </w:rPr>
              <w:t>Engineering aspects in subdivision design</w:t>
            </w:r>
            <w:r w:rsidRPr="00A621D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621DA" w:rsidP="00A621DA">
            <w:pPr>
              <w:pStyle w:val="ListBullet"/>
            </w:pPr>
            <w:r w:rsidRPr="00A621DA">
              <w:t>design engineering criteria requirements for:</w:t>
            </w:r>
          </w:p>
          <w:p w:rsidR="00000000" w:rsidRPr="00A621DA" w:rsidP="00A621DA">
            <w:pPr>
              <w:pStyle w:val="ListBullet2"/>
            </w:pPr>
            <w:r w:rsidRPr="00A621DA">
              <w:t>crossfalls</w:t>
            </w:r>
          </w:p>
          <w:p w:rsidR="00000000" w:rsidRPr="00A621DA" w:rsidP="00A621DA">
            <w:pPr>
              <w:pStyle w:val="ListBullet2"/>
            </w:pPr>
            <w:r w:rsidRPr="00A621DA">
              <w:t>cul de sacs</w:t>
            </w:r>
          </w:p>
          <w:p w:rsidR="00000000" w:rsidRPr="00A621DA" w:rsidP="00A621DA">
            <w:pPr>
              <w:pStyle w:val="ListBullet2"/>
            </w:pPr>
            <w:r w:rsidRPr="00A621DA">
              <w:t>cycleways</w:t>
            </w:r>
          </w:p>
          <w:p w:rsidR="00000000" w:rsidRPr="00A621DA" w:rsidP="00A621DA">
            <w:pPr>
              <w:pStyle w:val="ListBullet2"/>
            </w:pPr>
            <w:r w:rsidRPr="00A621DA">
              <w:t>gradients</w:t>
            </w:r>
          </w:p>
          <w:p w:rsidR="00000000" w:rsidRPr="00A621DA" w:rsidP="00A621DA">
            <w:pPr>
              <w:pStyle w:val="ListBullet2"/>
            </w:pPr>
            <w:r w:rsidRPr="00A621DA">
              <w:t>intersections</w:t>
            </w:r>
          </w:p>
          <w:p w:rsidR="00000000" w:rsidRPr="00A621DA" w:rsidP="00A621DA">
            <w:pPr>
              <w:pStyle w:val="ListBullet2"/>
            </w:pPr>
            <w:r w:rsidRPr="00A621DA">
              <w:t>kerb returns</w:t>
            </w:r>
          </w:p>
          <w:p w:rsidR="00000000" w:rsidRPr="00A621DA" w:rsidP="00A621DA">
            <w:pPr>
              <w:pStyle w:val="ListBullet2"/>
            </w:pPr>
            <w:r w:rsidRPr="00A621DA">
              <w:t>road widths</w:t>
            </w:r>
          </w:p>
          <w:p w:rsidR="00000000" w:rsidRPr="00A621DA" w:rsidP="00A621DA">
            <w:pPr>
              <w:pStyle w:val="ListBullet2"/>
            </w:pPr>
            <w:r w:rsidRPr="00A621DA">
              <w:t>theory notes</w:t>
            </w:r>
          </w:p>
          <w:p w:rsidR="00000000" w:rsidRPr="00A621DA" w:rsidP="00A621DA">
            <w:pPr>
              <w:pStyle w:val="ListBullet"/>
            </w:pPr>
            <w:r w:rsidRPr="00A621DA">
              <w:t>design methods using contours information</w:t>
            </w:r>
          </w:p>
          <w:p w:rsidR="00000000" w:rsidRPr="00A621DA" w:rsidP="00A621DA">
            <w:pPr>
              <w:pStyle w:val="ListBullet"/>
            </w:pPr>
            <w:r w:rsidRPr="00A621DA">
              <w:t>detail assessment of an approved set of examinations</w:t>
            </w:r>
          </w:p>
          <w:p w:rsidR="00000000" w:rsidRPr="00A621DA" w:rsidP="00A621DA">
            <w:pPr>
              <w:pStyle w:val="ListBullet"/>
            </w:pPr>
            <w:r w:rsidRPr="00A621DA">
              <w:t>engineering design requirements for:</w:t>
            </w:r>
          </w:p>
          <w:p w:rsidR="00000000" w:rsidRPr="00A621DA" w:rsidP="00A621DA">
            <w:pPr>
              <w:pStyle w:val="ListBullet2"/>
            </w:pPr>
            <w:r w:rsidRPr="00A621DA">
              <w:t>lot drainage</w:t>
            </w:r>
          </w:p>
          <w:p w:rsidR="00000000" w:rsidRPr="00A621DA" w:rsidP="00A621DA">
            <w:pPr>
              <w:pStyle w:val="ListBullet2"/>
            </w:pPr>
            <w:r w:rsidRPr="00A621DA">
              <w:t>road pavement drainage</w:t>
            </w:r>
          </w:p>
          <w:p w:rsidR="00000000" w:rsidRPr="00A621DA" w:rsidP="00A621DA">
            <w:pPr>
              <w:pStyle w:val="ListBullet"/>
            </w:pPr>
            <w:r w:rsidRPr="00A621DA">
              <w:t>location of utility services within the footpath area and to proposed lots</w:t>
            </w:r>
          </w:p>
          <w:p w:rsidR="00000000" w:rsidRPr="00A621DA" w:rsidP="00A621DA">
            <w:pPr>
              <w:pStyle w:val="ListBullet"/>
            </w:pPr>
            <w:r w:rsidRPr="00A621DA">
              <w:t>preparation of:</w:t>
            </w:r>
          </w:p>
          <w:p w:rsidR="00000000" w:rsidRPr="00A621DA" w:rsidP="00A621DA">
            <w:pPr>
              <w:pStyle w:val="ListBullet2"/>
            </w:pPr>
            <w:r w:rsidRPr="00A621DA">
              <w:t>information to be shown</w:t>
            </w:r>
          </w:p>
          <w:p w:rsidR="00000000" w:rsidRPr="00A621DA" w:rsidP="00A621DA">
            <w:pPr>
              <w:pStyle w:val="ListBullet2"/>
            </w:pPr>
            <w:r w:rsidRPr="00A621DA">
              <w:t>plan types</w:t>
            </w:r>
          </w:p>
          <w:p w:rsidR="00000000" w:rsidRPr="00A621DA" w:rsidP="00A621DA">
            <w:pPr>
              <w:pStyle w:val="ListBullet2"/>
            </w:pPr>
            <w:r w:rsidRPr="00A621DA">
              <w:t>preliminary design plans</w:t>
            </w:r>
          </w:p>
          <w:p w:rsidR="00000000" w:rsidRPr="00A621DA" w:rsidP="00A621DA">
            <w:pPr>
              <w:pStyle w:val="ListBullet"/>
            </w:pPr>
            <w:r w:rsidRPr="00A621DA">
              <w:t>provision for alteration of ex</w:t>
            </w:r>
            <w:r w:rsidRPr="00A621DA">
              <w:t>isting services for:</w:t>
            </w:r>
          </w:p>
          <w:p w:rsidR="00000000" w:rsidRPr="00A621DA" w:rsidP="00A621DA">
            <w:pPr>
              <w:pStyle w:val="ListBullet2"/>
            </w:pPr>
            <w:r w:rsidRPr="00A621DA">
              <w:t>easement requirements</w:t>
            </w:r>
          </w:p>
          <w:p w:rsidR="00000000" w:rsidRPr="00A621DA" w:rsidP="00A621DA">
            <w:pPr>
              <w:pStyle w:val="ListBullet2"/>
            </w:pPr>
            <w:r w:rsidRPr="00A621DA">
              <w:t>public reserve requirements</w:t>
            </w:r>
          </w:p>
          <w:p w:rsidR="00000000" w:rsidRPr="00A621DA" w:rsidP="00A621DA">
            <w:pPr>
              <w:pStyle w:val="ListBullet2"/>
            </w:pPr>
            <w:r w:rsidRPr="00A621DA">
              <w:t>sediment control</w:t>
            </w:r>
          </w:p>
          <w:p w:rsidR="00000000" w:rsidRPr="00A621DA" w:rsidP="00A621DA">
            <w:pPr>
              <w:pStyle w:val="ListBullet2"/>
            </w:pPr>
            <w:r w:rsidRPr="00A621DA">
              <w:t>typical utility service allocations</w:t>
            </w:r>
          </w:p>
          <w:p w:rsidR="00000000" w:rsidRPr="00A621DA" w:rsidP="00A621DA">
            <w:pPr>
              <w:pStyle w:val="ListBullet"/>
            </w:pPr>
            <w:r w:rsidRPr="00A621DA">
              <w:t>provision for sewerage</w:t>
            </w:r>
          </w:p>
          <w:p w:rsidR="00000000" w:rsidP="00A621DA">
            <w:pPr>
              <w:pStyle w:val="ListBullet"/>
              <w:rPr>
                <w:lang w:val="en-NZ"/>
              </w:rPr>
            </w:pPr>
            <w:r w:rsidRPr="00A621DA">
              <w:t>typical drafting standards for plans.</w:t>
            </w:r>
          </w:p>
        </w:tc>
      </w:tr>
      <w:tr w:rsidTr="002A7E6E">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r w:rsidRPr="00A621DA">
              <w:rPr>
                <w:rStyle w:val="BoldandItalics"/>
              </w:rPr>
              <w:t>OHS</w:t>
            </w:r>
            <w:r w:rsidRPr="00A621D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621DA" w:rsidP="00A621DA">
            <w:pPr>
              <w:pStyle w:val="ListBullet"/>
            </w:pPr>
            <w:r w:rsidRPr="00A621DA">
              <w:t>Australian standards</w:t>
            </w:r>
          </w:p>
          <w:p w:rsidR="00000000" w:rsidRPr="00A621DA" w:rsidP="00A621DA">
            <w:pPr>
              <w:pStyle w:val="ListBullet"/>
            </w:pPr>
            <w:r w:rsidRPr="00A621DA">
              <w:t>development of site safety plan</w:t>
            </w:r>
          </w:p>
          <w:p w:rsidR="00000000" w:rsidRPr="00A621DA" w:rsidP="00A621DA">
            <w:pPr>
              <w:pStyle w:val="ListBullet"/>
            </w:pPr>
            <w:r w:rsidRPr="00A621DA">
              <w:t>identification of potential hazards</w:t>
            </w:r>
          </w:p>
          <w:p w:rsidR="00000000" w:rsidRPr="00A621DA" w:rsidP="00A621DA">
            <w:pPr>
              <w:pStyle w:val="ListBullet"/>
            </w:pPr>
            <w:r w:rsidRPr="00A621DA">
              <w:t>inspection of work sites</w:t>
            </w:r>
          </w:p>
          <w:p w:rsidR="00000000" w:rsidRPr="00A621DA" w:rsidP="00A621DA">
            <w:pPr>
              <w:pStyle w:val="ListBullet"/>
            </w:pPr>
            <w:r w:rsidRPr="00A621DA">
              <w:t>training staff in OHS requirements</w:t>
            </w:r>
          </w:p>
          <w:p w:rsidR="00000000" w:rsidP="00A621DA">
            <w:pPr>
              <w:pStyle w:val="ListBullet"/>
              <w:rPr>
                <w:lang w:val="en-NZ"/>
              </w:rPr>
            </w:pPr>
            <w:r w:rsidRPr="00A621DA">
              <w:t>use of equipment and signage.</w:t>
            </w:r>
          </w:p>
        </w:tc>
      </w:tr>
      <w:tr w:rsidTr="002A7E6E">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r w:rsidRPr="00A621DA">
              <w:rPr>
                <w:rStyle w:val="BoldandItalics"/>
              </w:rPr>
              <w:t>Legislative requirements</w:t>
            </w:r>
            <w:r w:rsidRPr="00A621D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621DA" w:rsidP="00A621DA">
            <w:pPr>
              <w:pStyle w:val="ListBullet"/>
            </w:pPr>
            <w:r w:rsidRPr="00A621DA">
              <w:t>Australian standards</w:t>
            </w:r>
          </w:p>
          <w:p w:rsidR="00000000" w:rsidRPr="00A621DA" w:rsidP="00A621DA">
            <w:pPr>
              <w:pStyle w:val="ListBullet"/>
            </w:pPr>
            <w:r w:rsidRPr="00A621DA">
              <w:t>award and enterprise agreements</w:t>
            </w:r>
          </w:p>
          <w:p w:rsidR="00000000" w:rsidRPr="00A621DA" w:rsidP="00A621DA">
            <w:pPr>
              <w:pStyle w:val="ListBullet"/>
            </w:pPr>
            <w:r w:rsidRPr="00A621DA">
              <w:t>certification requirements</w:t>
            </w:r>
          </w:p>
          <w:p w:rsidR="00000000" w:rsidRPr="00A621DA" w:rsidP="00A621DA">
            <w:pPr>
              <w:pStyle w:val="ListBullet"/>
            </w:pPr>
            <w:r w:rsidRPr="00A621DA">
              <w:t>codes of p</w:t>
            </w:r>
            <w:r w:rsidRPr="00A621DA">
              <w:t>ractice</w:t>
            </w:r>
          </w:p>
          <w:p w:rsidR="00000000" w:rsidRPr="00A621DA" w:rsidP="00A621DA">
            <w:pPr>
              <w:pStyle w:val="ListBullet"/>
            </w:pPr>
            <w:r w:rsidRPr="00A621DA">
              <w:t>equal employment opportunity (EEO)</w:t>
            </w:r>
          </w:p>
          <w:p w:rsidR="00000000" w:rsidP="00A621DA">
            <w:pPr>
              <w:pStyle w:val="ListBullet"/>
              <w:rPr>
                <w:lang w:val="en-NZ"/>
              </w:rPr>
            </w:pPr>
            <w:r w:rsidRPr="00A621DA">
              <w:t>quality assurance requirements.</w:t>
            </w:r>
          </w:p>
        </w:tc>
      </w:tr>
      <w:tr w:rsidTr="002A7E6E">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r w:rsidRPr="00A621DA">
              <w:rPr>
                <w:rStyle w:val="BoldandItalics"/>
              </w:rPr>
              <w:t>Organisational guidelines</w:t>
            </w:r>
            <w:r w:rsidRPr="00A621D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621DA" w:rsidP="00A621DA">
            <w:pPr>
              <w:pStyle w:val="ListBullet"/>
            </w:pPr>
            <w:r w:rsidRPr="00A621DA">
              <w:t>appropriate timelines</w:t>
            </w:r>
          </w:p>
          <w:p w:rsidR="00000000" w:rsidRPr="00A621DA" w:rsidP="00A621DA">
            <w:pPr>
              <w:pStyle w:val="ListBullet"/>
            </w:pPr>
            <w:r w:rsidRPr="00A621DA">
              <w:t>code of ethics</w:t>
            </w:r>
          </w:p>
          <w:p w:rsidR="00000000" w:rsidRPr="00A621DA" w:rsidP="00A621DA">
            <w:pPr>
              <w:pStyle w:val="ListBullet"/>
            </w:pPr>
            <w:r w:rsidRPr="00A621DA">
              <w:t>company policy</w:t>
            </w:r>
          </w:p>
          <w:p w:rsidR="00000000" w:rsidRPr="00A621DA" w:rsidP="00A621DA">
            <w:pPr>
              <w:pStyle w:val="ListBullet"/>
            </w:pPr>
            <w:r w:rsidRPr="00A621DA">
              <w:t>final product formats</w:t>
            </w:r>
          </w:p>
          <w:p w:rsidR="00000000" w:rsidRPr="00A621DA" w:rsidP="00A621DA">
            <w:pPr>
              <w:pStyle w:val="ListBullet"/>
            </w:pPr>
            <w:r w:rsidRPr="00A621DA">
              <w:t>formal design parameters</w:t>
            </w:r>
          </w:p>
          <w:p w:rsidR="00000000" w:rsidRPr="00A621DA" w:rsidP="00A621DA">
            <w:pPr>
              <w:pStyle w:val="ListBullet"/>
            </w:pPr>
            <w:r w:rsidRPr="00A621DA">
              <w:t>legislation relevant to the work or service function</w:t>
            </w:r>
          </w:p>
          <w:p w:rsidR="00000000" w:rsidRPr="00A621DA" w:rsidP="00A621DA">
            <w:pPr>
              <w:pStyle w:val="ListBullet"/>
            </w:pPr>
            <w:r w:rsidRPr="00A621DA">
              <w:t>manuals</w:t>
            </w:r>
          </w:p>
          <w:p w:rsidR="00000000" w:rsidRPr="00A621DA" w:rsidP="00A621DA">
            <w:pPr>
              <w:pStyle w:val="ListBullet"/>
            </w:pPr>
            <w:r w:rsidRPr="00A621DA">
              <w:t>OHS policies and procedures</w:t>
            </w:r>
          </w:p>
          <w:p w:rsidR="00000000" w:rsidRPr="00A621DA" w:rsidP="00A621DA">
            <w:pPr>
              <w:pStyle w:val="ListBullet"/>
            </w:pPr>
            <w:r w:rsidRPr="00A621DA">
              <w:t>personnel practices and guidelines outlining teamwork, work roles and responsibilities</w:t>
            </w:r>
          </w:p>
          <w:p w:rsidR="00000000" w:rsidP="00A621DA">
            <w:pPr>
              <w:pStyle w:val="ListBullet"/>
              <w:rPr>
                <w:lang w:val="en-NZ"/>
              </w:rPr>
            </w:pPr>
            <w:r w:rsidRPr="00A621DA">
              <w:t>requirements for data processing.</w:t>
            </w:r>
          </w:p>
        </w:tc>
      </w:tr>
      <w:tr w:rsidTr="002A7E6E">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r w:rsidRPr="00A621DA">
              <w:rPr>
                <w:rStyle w:val="BoldandItalics"/>
              </w:rPr>
              <w:t>Legal and statutory standards</w:t>
            </w:r>
            <w:r w:rsidRPr="00A621D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621DA" w:rsidP="00A621DA">
            <w:pPr>
              <w:pStyle w:val="ListBullet"/>
            </w:pPr>
            <w:r w:rsidRPr="00A621DA">
              <w:t>as</w:t>
            </w:r>
            <w:r w:rsidRPr="00A621DA">
              <w:t>pects of cadastral law</w:t>
            </w:r>
          </w:p>
          <w:p w:rsidR="00000000" w:rsidRPr="00A621DA" w:rsidP="00A621DA">
            <w:pPr>
              <w:pStyle w:val="ListBullet"/>
            </w:pPr>
            <w:r w:rsidRPr="00A621DA">
              <w:t>common law and old system title</w:t>
            </w:r>
          </w:p>
          <w:p w:rsidR="00000000" w:rsidRPr="00A621DA" w:rsidP="00A621DA">
            <w:pPr>
              <w:pStyle w:val="ListBullet"/>
            </w:pPr>
            <w:r w:rsidRPr="00A621DA">
              <w:t>community title</w:t>
            </w:r>
          </w:p>
          <w:p w:rsidR="00000000" w:rsidRPr="00A621DA" w:rsidP="00A621DA">
            <w:pPr>
              <w:pStyle w:val="ListBullet"/>
            </w:pPr>
            <w:r w:rsidRPr="00A621DA">
              <w:t>crown land, alienation and native title</w:t>
            </w:r>
          </w:p>
          <w:p w:rsidR="00000000" w:rsidRPr="00A621DA" w:rsidP="00A621DA">
            <w:pPr>
              <w:pStyle w:val="ListBullet"/>
            </w:pPr>
            <w:r w:rsidRPr="00A621DA">
              <w:t>local government requirements</w:t>
            </w:r>
          </w:p>
          <w:p w:rsidR="00000000" w:rsidRPr="00A621DA" w:rsidP="00A621DA">
            <w:pPr>
              <w:pStyle w:val="ListBullet"/>
            </w:pPr>
            <w:r w:rsidRPr="00A621DA">
              <w:t>national standards</w:t>
            </w:r>
          </w:p>
          <w:p w:rsidR="00000000" w:rsidRPr="00A621DA" w:rsidP="00A621DA">
            <w:pPr>
              <w:pStyle w:val="ListBullet"/>
            </w:pPr>
            <w:r w:rsidRPr="00A621DA">
              <w:t>state statutes and regulations</w:t>
            </w:r>
          </w:p>
          <w:p w:rsidR="00000000" w:rsidRPr="00A621DA" w:rsidP="00A621DA">
            <w:pPr>
              <w:pStyle w:val="ListBullet"/>
            </w:pPr>
            <w:r w:rsidRPr="00A621DA">
              <w:t>subdivisions and deposited plans (including roads)</w:t>
            </w:r>
          </w:p>
          <w:p w:rsidR="00000000" w:rsidRPr="00A621DA" w:rsidP="00A621DA">
            <w:pPr>
              <w:pStyle w:val="ListBullet"/>
            </w:pPr>
            <w:r w:rsidRPr="00A621DA">
              <w:t xml:space="preserve">Torrens title </w:t>
            </w:r>
            <w:r w:rsidRPr="00A621DA">
              <w:t>system (indefeasibility and the need for registration), including:</w:t>
            </w:r>
          </w:p>
          <w:p w:rsidR="00000000" w:rsidRPr="00A621DA" w:rsidP="00A621DA">
            <w:pPr>
              <w:pStyle w:val="ListBullet2"/>
            </w:pPr>
            <w:r w:rsidRPr="00A621DA">
              <w:t>caveat dealing</w:t>
            </w:r>
          </w:p>
          <w:p w:rsidR="00000000" w:rsidRPr="00A621DA" w:rsidP="00A621DA">
            <w:pPr>
              <w:pStyle w:val="ListBullet2"/>
            </w:pPr>
            <w:r w:rsidRPr="00A621DA">
              <w:t>covenant dealing</w:t>
            </w:r>
          </w:p>
          <w:p w:rsidR="00000000" w:rsidRPr="00A621DA" w:rsidP="00A621DA">
            <w:pPr>
              <w:pStyle w:val="ListBullet2"/>
            </w:pPr>
            <w:r w:rsidRPr="00A621DA">
              <w:t>easement dealing</w:t>
            </w:r>
          </w:p>
          <w:p w:rsidR="00000000" w:rsidRPr="00A621DA" w:rsidP="00A621DA">
            <w:pPr>
              <w:pStyle w:val="ListBullet2"/>
            </w:pPr>
            <w:r w:rsidRPr="00A621DA">
              <w:t>lease dealing</w:t>
            </w:r>
          </w:p>
          <w:p w:rsidR="00000000" w:rsidRPr="00A621DA" w:rsidP="00A621DA">
            <w:pPr>
              <w:pStyle w:val="ListBullet2"/>
            </w:pPr>
            <w:r w:rsidRPr="00A621DA">
              <w:t>mortgage dealing.</w:t>
            </w:r>
          </w:p>
        </w:tc>
      </w:tr>
    </w:tbl>
    <w:p w:rsidR="002A7E6E" w:rsidP="00A621DA">
      <w:pPr>
        <w:pStyle w:val="BodyText"/>
      </w:pPr>
    </w:p>
    <w:p w:rsidR="002A7E6E" w:rsidP="00A621DA">
      <w:pPr>
        <w:pStyle w:val="BodyText"/>
      </w:pPr>
    </w:p>
    <w:p w:rsidR="00000000" w:rsidRPr="00A621DA" w:rsidP="00A621DA">
      <w:pPr>
        <w:pStyle w:val="Heading1"/>
      </w:pPr>
      <w:bookmarkStart w:id="12" w:name="O_202404"/>
      <w:bookmarkEnd w:id="12"/>
      <w:r w:rsidRPr="00A621DA">
        <w:t>Unit Sector(s)</w:t>
      </w:r>
    </w:p>
    <w:tbl>
      <w:tblPr>
        <w:tblW w:w="0" w:type="auto"/>
        <w:tblLayout w:type="fixed"/>
        <w:tblCellMar>
          <w:left w:w="62" w:type="dxa"/>
          <w:right w:w="62" w:type="dxa"/>
        </w:tblCellMar>
        <w:tblLook w:val="0000"/>
      </w:tblPr>
      <w:tblGrid>
        <w:gridCol w:w="2846"/>
        <w:gridCol w:w="5645"/>
      </w:tblGrid>
      <w:tr w:rsidTr="002A7E6E">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A621DA">
            <w:pPr>
              <w:pStyle w:val="BodyText"/>
              <w:rPr>
                <w:lang w:val="en-NZ"/>
              </w:rPr>
            </w:pPr>
            <w:r w:rsidRPr="00A621DA">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A621DA" w:rsidP="00A621DA">
            <w:pPr>
              <w:pStyle w:val="BodyText"/>
            </w:pPr>
            <w:r w:rsidRPr="00A621DA">
              <w:t>Spatial information services</w:t>
            </w:r>
          </w:p>
        </w:tc>
      </w:tr>
    </w:tbl>
    <w:p w:rsidR="002A7E6E" w:rsidP="00A621DA">
      <w:pPr>
        <w:pStyle w:val="BodyText"/>
      </w:pPr>
    </w:p>
    <w:p w:rsidR="002A7E6E" w:rsidP="00A621DA">
      <w:pPr>
        <w:pStyle w:val="BodyText"/>
      </w:pPr>
    </w:p>
    <w:p w:rsidR="00000000" w:rsidRPr="00A621DA" w:rsidP="00A621DA"/>
    <w:sectPr w:rsidSect="00A621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1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7E6E" w:rsidP="002A7E6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1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E6E" w:rsidP="00A621D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2A7E6E" w:rsidP="00A621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A7E6E" w:rsidP="00A621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1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1DA" w:rsidRPr="002A7E6E" w:rsidP="002A7E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1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E6E" w:rsidRPr="002D2AF8" w:rsidP="00A621DA">
    <w:pPr>
      <w:pStyle w:val="Header"/>
      <w:framePr w:wrap="around"/>
    </w:pPr>
    <w:r>
      <w:fldChar w:fldCharType="begin"/>
    </w:r>
    <w:r>
      <w:instrText xml:space="preserve"> TITLE   \* MERGEFORMAT </w:instrText>
    </w:r>
    <w:r>
      <w:fldChar w:fldCharType="separate"/>
    </w:r>
    <w:r>
      <w:t>CPPSIS5014A Develop a subdivision survey design for local government approval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A7E6E" w:rsidP="00A621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52CD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B65F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E64A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1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21DA"/>
    <w:pPr>
      <w:spacing w:before="360" w:after="60"/>
      <w:outlineLvl w:val="0"/>
    </w:pPr>
    <w:rPr>
      <w:sz w:val="32"/>
    </w:rPr>
  </w:style>
  <w:style w:type="paragraph" w:styleId="Heading2">
    <w:name w:val="heading 2"/>
    <w:basedOn w:val="HeadingBase"/>
    <w:next w:val="BodyText"/>
    <w:link w:val="Heading2Char"/>
    <w:qFormat/>
    <w:rsid w:val="00A621DA"/>
    <w:pPr>
      <w:keepLines/>
      <w:spacing w:before="240" w:after="120"/>
      <w:outlineLvl w:val="1"/>
    </w:pPr>
    <w:rPr>
      <w:sz w:val="28"/>
      <w:szCs w:val="40"/>
    </w:rPr>
  </w:style>
  <w:style w:type="paragraph" w:styleId="Heading3">
    <w:name w:val="heading 3"/>
    <w:basedOn w:val="HeadingBase"/>
    <w:next w:val="BodyText"/>
    <w:link w:val="Heading3Char"/>
    <w:qFormat/>
    <w:rsid w:val="00A621DA"/>
    <w:pPr>
      <w:spacing w:before="180" w:after="120"/>
      <w:outlineLvl w:val="2"/>
    </w:pPr>
    <w:rPr>
      <w:spacing w:val="-10"/>
      <w:kern w:val="32"/>
    </w:rPr>
  </w:style>
  <w:style w:type="paragraph" w:styleId="Heading4">
    <w:name w:val="heading 4"/>
    <w:basedOn w:val="HeadingBase"/>
    <w:next w:val="BodyText"/>
    <w:link w:val="Heading4Char"/>
    <w:qFormat/>
    <w:rsid w:val="00A621DA"/>
    <w:pPr>
      <w:spacing w:before="160" w:after="120"/>
      <w:outlineLvl w:val="3"/>
    </w:pPr>
    <w:rPr>
      <w:sz w:val="22"/>
    </w:rPr>
  </w:style>
  <w:style w:type="paragraph" w:styleId="Heading5">
    <w:name w:val="heading 5"/>
    <w:basedOn w:val="HeadingBase"/>
    <w:next w:val="Normal"/>
    <w:link w:val="Heading5Char"/>
    <w:qFormat/>
    <w:rsid w:val="00A621DA"/>
    <w:pPr>
      <w:spacing w:before="80"/>
      <w:outlineLvl w:val="4"/>
    </w:pPr>
    <w:rPr>
      <w:color w:val="918585"/>
      <w:sz w:val="20"/>
    </w:rPr>
  </w:style>
  <w:style w:type="paragraph" w:styleId="Heading6">
    <w:name w:val="heading 6"/>
    <w:basedOn w:val="HeadingBase"/>
    <w:next w:val="Normal"/>
    <w:link w:val="Heading6Char"/>
    <w:qFormat/>
    <w:rsid w:val="00A621DA"/>
    <w:pPr>
      <w:spacing w:before="60"/>
      <w:outlineLvl w:val="5"/>
    </w:pPr>
    <w:rPr>
      <w:color w:val="918585"/>
      <w:sz w:val="20"/>
    </w:rPr>
  </w:style>
  <w:style w:type="paragraph" w:styleId="Heading7">
    <w:name w:val="heading 7"/>
    <w:basedOn w:val="Normal"/>
    <w:next w:val="Normal"/>
    <w:link w:val="Heading7Char"/>
    <w:qFormat/>
    <w:rsid w:val="00A621DA"/>
    <w:pPr>
      <w:ind w:left="720"/>
      <w:outlineLvl w:val="6"/>
    </w:pPr>
    <w:rPr>
      <w:i/>
    </w:rPr>
  </w:style>
  <w:style w:type="paragraph" w:styleId="Heading8">
    <w:name w:val="heading 8"/>
    <w:basedOn w:val="Normal"/>
    <w:next w:val="Normal"/>
    <w:link w:val="Heading8Char"/>
    <w:qFormat/>
    <w:rsid w:val="00A621DA"/>
    <w:pPr>
      <w:ind w:left="720"/>
      <w:outlineLvl w:val="7"/>
    </w:pPr>
    <w:rPr>
      <w:i/>
    </w:rPr>
  </w:style>
  <w:style w:type="paragraph" w:styleId="Heading9">
    <w:name w:val="heading 9"/>
    <w:basedOn w:val="Normal"/>
    <w:next w:val="Normal"/>
    <w:link w:val="Heading9Char"/>
    <w:qFormat/>
    <w:rsid w:val="00A621DA"/>
    <w:pPr>
      <w:ind w:left="720"/>
      <w:outlineLvl w:val="8"/>
    </w:pPr>
    <w:rPr>
      <w:i/>
    </w:rPr>
  </w:style>
  <w:style w:type="character" w:default="1" w:styleId="DefaultParagraphFont">
    <w:name w:val="Default Paragraph Font"/>
    <w:uiPriority w:val="1"/>
    <w:unhideWhenUsed/>
    <w:rsid w:val="00A621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21DA"/>
  </w:style>
  <w:style w:type="character" w:customStyle="1" w:styleId="Heading1Char">
    <w:name w:val="Heading 1 Char"/>
    <w:basedOn w:val="DefaultParagraphFont"/>
    <w:link w:val="Heading1"/>
    <w:rsid w:val="00A621DA"/>
    <w:rPr>
      <w:rFonts w:ascii="Times New Roman" w:eastAsia="Times New Roman" w:hAnsi="Times New Roman" w:cs="Times New Roman"/>
      <w:b/>
      <w:sz w:val="32"/>
      <w:szCs w:val="20"/>
      <w:lang w:eastAsia="en-US"/>
    </w:rPr>
  </w:style>
  <w:style w:type="paragraph" w:styleId="BodyText">
    <w:name w:val="Body Text"/>
    <w:basedOn w:val="Normal"/>
    <w:link w:val="BodyTextChar"/>
    <w:rsid w:val="00A621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21DA"/>
    <w:rPr>
      <w:rFonts w:ascii="Times New Roman" w:eastAsia="Times New Roman" w:hAnsi="Times New Roman" w:cs="Times New Roman"/>
      <w:sz w:val="24"/>
      <w:lang w:eastAsia="en-US"/>
    </w:rPr>
  </w:style>
  <w:style w:type="paragraph" w:styleId="Footer">
    <w:name w:val="footer"/>
    <w:basedOn w:val="Normal"/>
    <w:link w:val="FooterChar"/>
    <w:rsid w:val="00A621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21DA"/>
    <w:rPr>
      <w:rFonts w:ascii="Times New Roman" w:eastAsia="Times New Roman" w:hAnsi="Times New Roman" w:cs="Times New Roman"/>
      <w:sz w:val="16"/>
      <w:lang w:eastAsia="en-US"/>
    </w:rPr>
  </w:style>
  <w:style w:type="paragraph" w:styleId="List">
    <w:name w:val="List"/>
    <w:basedOn w:val="BodyText"/>
    <w:next w:val="BodyText"/>
    <w:rsid w:val="00A621DA"/>
    <w:pPr>
      <w:tabs>
        <w:tab w:val="left" w:pos="340"/>
      </w:tabs>
      <w:spacing w:before="60" w:after="60"/>
      <w:ind w:left="340" w:hanging="340"/>
    </w:pPr>
  </w:style>
  <w:style w:type="paragraph" w:styleId="ListBullet">
    <w:name w:val="List Bullet"/>
    <w:basedOn w:val="List"/>
    <w:rsid w:val="00A621DA"/>
    <w:pPr>
      <w:numPr>
        <w:numId w:val="13"/>
      </w:numPr>
      <w:tabs>
        <w:tab w:val="clear" w:pos="340"/>
      </w:tabs>
      <w:spacing w:before="40" w:after="40"/>
    </w:pPr>
  </w:style>
  <w:style w:type="character" w:customStyle="1" w:styleId="SpecialBold">
    <w:name w:val="Special Bold"/>
    <w:basedOn w:val="DefaultParagraphFont"/>
    <w:rsid w:val="00A621DA"/>
    <w:rPr>
      <w:b/>
      <w:spacing w:val="0"/>
    </w:rPr>
  </w:style>
  <w:style w:type="paragraph" w:styleId="ListBullet2">
    <w:name w:val="List Bullet 2"/>
    <w:basedOn w:val="List2"/>
    <w:rsid w:val="00A621DA"/>
    <w:pPr>
      <w:numPr>
        <w:numId w:val="14"/>
      </w:numPr>
      <w:tabs>
        <w:tab w:val="clear" w:pos="680"/>
      </w:tabs>
    </w:pPr>
  </w:style>
  <w:style w:type="paragraph" w:customStyle="1" w:styleId="SuperHeading">
    <w:name w:val="SuperHeading"/>
    <w:basedOn w:val="Normal"/>
    <w:rsid w:val="00A621DA"/>
    <w:pPr>
      <w:spacing w:before="240" w:after="120"/>
      <w:outlineLvl w:val="0"/>
    </w:pPr>
    <w:rPr>
      <w:rFonts w:ascii="Times New Roman" w:hAnsi="Times New Roman"/>
      <w:b/>
      <w:sz w:val="28"/>
    </w:rPr>
  </w:style>
  <w:style w:type="paragraph" w:customStyle="1" w:styleId="AllowPageBreak">
    <w:name w:val="AllowPageBreak"/>
    <w:rsid w:val="00A621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621DA"/>
    <w:rPr>
      <w:b/>
      <w:i/>
      <w:u w:val="none"/>
    </w:rPr>
  </w:style>
  <w:style w:type="character" w:customStyle="1" w:styleId="Heading2Char">
    <w:name w:val="Heading 2 Char"/>
    <w:basedOn w:val="DefaultParagraphFont"/>
    <w:link w:val="Heading2"/>
    <w:rsid w:val="00A621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21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21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21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21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21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21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21DA"/>
    <w:rPr>
      <w:rFonts w:ascii="Courier New" w:eastAsia="Times New Roman" w:hAnsi="Courier New" w:cs="Times New Roman"/>
      <w:i/>
      <w:szCs w:val="20"/>
      <w:lang w:eastAsia="en-US"/>
    </w:rPr>
  </w:style>
  <w:style w:type="paragraph" w:customStyle="1" w:styleId="HeadingBase">
    <w:name w:val="Heading Base"/>
    <w:rsid w:val="00A621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21DA"/>
    <w:pPr>
      <w:tabs>
        <w:tab w:val="right" w:leader="dot" w:pos="9072"/>
      </w:tabs>
      <w:ind w:left="567"/>
    </w:pPr>
    <w:rPr>
      <w:szCs w:val="22"/>
    </w:rPr>
  </w:style>
  <w:style w:type="paragraph" w:customStyle="1" w:styleId="TOCBase">
    <w:name w:val="TOC Base"/>
    <w:rsid w:val="00A621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21DA"/>
    <w:pPr>
      <w:tabs>
        <w:tab w:val="right" w:leader="dot" w:pos="9072"/>
      </w:tabs>
      <w:spacing w:before="40" w:after="40"/>
      <w:ind w:left="284"/>
    </w:pPr>
    <w:rPr>
      <w:rFonts w:ascii="Times New Roman" w:hAnsi="Times New Roman"/>
    </w:rPr>
  </w:style>
  <w:style w:type="paragraph" w:styleId="TOC1">
    <w:name w:val="toc 1"/>
    <w:basedOn w:val="TOCBase"/>
    <w:next w:val="Normal"/>
    <w:rsid w:val="00A621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21DA"/>
    <w:pPr>
      <w:spacing w:before="5040"/>
      <w:jc w:val="center"/>
    </w:pPr>
    <w:rPr>
      <w:sz w:val="48"/>
      <w:szCs w:val="72"/>
      <w:lang w:val="en-US"/>
    </w:rPr>
  </w:style>
  <w:style w:type="character" w:customStyle="1" w:styleId="TitleChar">
    <w:name w:val="Title Char"/>
    <w:basedOn w:val="DefaultParagraphFont"/>
    <w:link w:val="Title"/>
    <w:rsid w:val="00A621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21DA"/>
    <w:pPr>
      <w:tabs>
        <w:tab w:val="left" w:pos="3600"/>
        <w:tab w:val="left" w:pos="3958"/>
      </w:tabs>
    </w:pPr>
  </w:style>
  <w:style w:type="paragraph" w:customStyle="1" w:styleId="Note">
    <w:name w:val="Note"/>
    <w:basedOn w:val="BodyText"/>
    <w:rsid w:val="00A621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21DA"/>
    <w:pPr>
      <w:framePr w:wrap="auto" w:hAnchor="text" w:y="6049"/>
    </w:pPr>
    <w:rPr>
      <w:color w:val="000000"/>
      <w:sz w:val="40"/>
    </w:rPr>
  </w:style>
  <w:style w:type="paragraph" w:customStyle="1" w:styleId="TOCTitle">
    <w:name w:val="TOCTitle"/>
    <w:basedOn w:val="Heading1"/>
    <w:rsid w:val="00A621DA"/>
    <w:pPr>
      <w:spacing w:after="240"/>
      <w:jc w:val="center"/>
      <w:outlineLvl w:val="9"/>
    </w:pPr>
    <w:rPr>
      <w:caps/>
    </w:rPr>
  </w:style>
  <w:style w:type="paragraph" w:customStyle="1" w:styleId="Version">
    <w:name w:val="Version"/>
    <w:rsid w:val="00A621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21DA"/>
    <w:pPr>
      <w:keepNext w:val="0"/>
      <w:tabs>
        <w:tab w:val="right" w:pos="4176"/>
      </w:tabs>
      <w:ind w:left="198" w:hanging="198"/>
    </w:pPr>
    <w:rPr>
      <w:rFonts w:ascii="Garamond" w:hAnsi="Garamond"/>
    </w:rPr>
  </w:style>
  <w:style w:type="paragraph" w:styleId="IndexHeading">
    <w:name w:val="index heading"/>
    <w:basedOn w:val="Normal"/>
    <w:next w:val="Index1"/>
    <w:semiHidden/>
    <w:rsid w:val="00A621DA"/>
    <w:pPr>
      <w:spacing w:before="120" w:after="120"/>
    </w:pPr>
    <w:rPr>
      <w:rFonts w:ascii="Arial" w:hAnsi="Arial"/>
      <w:b/>
      <w:color w:val="918585"/>
      <w:sz w:val="24"/>
    </w:rPr>
  </w:style>
  <w:style w:type="paragraph" w:styleId="Header">
    <w:name w:val="header"/>
    <w:basedOn w:val="Normal"/>
    <w:link w:val="HeaderChar"/>
    <w:rsid w:val="00A621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21DA"/>
    <w:rPr>
      <w:rFonts w:ascii="Times New Roman" w:eastAsia="Times New Roman" w:hAnsi="Times New Roman" w:cs="Times New Roman"/>
      <w:sz w:val="16"/>
      <w:szCs w:val="20"/>
      <w:lang w:val="en-GB" w:eastAsia="en-US"/>
    </w:rPr>
  </w:style>
  <w:style w:type="paragraph" w:customStyle="1" w:styleId="Chapter">
    <w:name w:val="Chapter"/>
    <w:basedOn w:val="Normal"/>
    <w:rsid w:val="00A621DA"/>
    <w:pPr>
      <w:spacing w:before="240"/>
    </w:pPr>
    <w:rPr>
      <w:rFonts w:ascii="Times New Roman" w:hAnsi="Times New Roman"/>
      <w:smallCaps/>
      <w:spacing w:val="80"/>
      <w:sz w:val="28"/>
    </w:rPr>
  </w:style>
  <w:style w:type="paragraph" w:customStyle="1" w:styleId="InChapter">
    <w:name w:val="InChapter"/>
    <w:basedOn w:val="Heading3"/>
    <w:rsid w:val="00A621DA"/>
    <w:pPr>
      <w:spacing w:after="240"/>
      <w:outlineLvl w:val="9"/>
    </w:pPr>
    <w:rPr>
      <w:noProof/>
    </w:rPr>
  </w:style>
  <w:style w:type="paragraph" w:styleId="Index2">
    <w:name w:val="index 2"/>
    <w:basedOn w:val="Normal"/>
    <w:next w:val="Normal"/>
    <w:semiHidden/>
    <w:rsid w:val="00A621DA"/>
    <w:pPr>
      <w:tabs>
        <w:tab w:val="right" w:pos="4176"/>
      </w:tabs>
      <w:ind w:left="568" w:hanging="284"/>
    </w:pPr>
    <w:rPr>
      <w:rFonts w:ascii="Garamond" w:hAnsi="Garamond"/>
    </w:rPr>
  </w:style>
  <w:style w:type="paragraph" w:customStyle="1" w:styleId="Byline">
    <w:name w:val="Byline"/>
    <w:rsid w:val="00A621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21DA"/>
    <w:pPr>
      <w:tabs>
        <w:tab w:val="clear" w:pos="3600"/>
        <w:tab w:val="clear" w:pos="3958"/>
      </w:tabs>
      <w:jc w:val="right"/>
    </w:pPr>
  </w:style>
  <w:style w:type="character" w:styleId="Emphasis">
    <w:name w:val="Emphasis"/>
    <w:basedOn w:val="DefaultParagraphFont"/>
    <w:qFormat/>
    <w:rsid w:val="00A621DA"/>
    <w:rPr>
      <w:i/>
    </w:rPr>
  </w:style>
  <w:style w:type="paragraph" w:styleId="Caption">
    <w:name w:val="caption"/>
    <w:basedOn w:val="BodyText"/>
    <w:next w:val="Normal"/>
    <w:qFormat/>
    <w:rsid w:val="00A621DA"/>
    <w:pPr>
      <w:framePr w:w="2268" w:hSpace="181" w:vSpace="181" w:wrap="around" w:vAnchor="text" w:hAnchor="page" w:x="1135" w:y="285" w:anchorLock="1"/>
    </w:pPr>
    <w:rPr>
      <w:i/>
    </w:rPr>
  </w:style>
  <w:style w:type="paragraph" w:customStyle="1" w:styleId="MiniTOCTitle">
    <w:name w:val="MiniTOCTitle"/>
    <w:basedOn w:val="Heading4"/>
    <w:rsid w:val="00A621DA"/>
    <w:pPr>
      <w:spacing w:before="240"/>
      <w:outlineLvl w:val="9"/>
    </w:pPr>
    <w:rPr>
      <w:noProof/>
      <w:sz w:val="24"/>
    </w:rPr>
  </w:style>
  <w:style w:type="paragraph" w:customStyle="1" w:styleId="MiniTOCItem">
    <w:name w:val="MiniTOCItem"/>
    <w:basedOn w:val="ListBullet"/>
    <w:rsid w:val="00A621DA"/>
    <w:pPr>
      <w:numPr>
        <w:numId w:val="0"/>
      </w:numPr>
      <w:tabs>
        <w:tab w:val="right" w:leader="dot" w:pos="6521"/>
      </w:tabs>
      <w:spacing w:before="0" w:after="0"/>
    </w:pPr>
  </w:style>
  <w:style w:type="paragraph" w:customStyle="1" w:styleId="TOFTitle">
    <w:name w:val="TOFTitle"/>
    <w:basedOn w:val="TOCTitle"/>
    <w:rsid w:val="00A621DA"/>
  </w:style>
  <w:style w:type="paragraph" w:styleId="TableofFigures">
    <w:name w:val="table of figures"/>
    <w:basedOn w:val="Normal"/>
    <w:next w:val="Normal"/>
    <w:semiHidden/>
    <w:rsid w:val="00A621DA"/>
    <w:pPr>
      <w:tabs>
        <w:tab w:val="right" w:leader="dot" w:pos="9072"/>
      </w:tabs>
      <w:ind w:left="970" w:hanging="403"/>
    </w:pPr>
    <w:rPr>
      <w:rFonts w:ascii="Times New Roman" w:hAnsi="Times New Roman"/>
      <w:b/>
    </w:rPr>
  </w:style>
  <w:style w:type="paragraph" w:styleId="ListNumber">
    <w:name w:val="List Number"/>
    <w:basedOn w:val="List"/>
    <w:rsid w:val="00A621DA"/>
    <w:pPr>
      <w:numPr>
        <w:numId w:val="11"/>
      </w:numPr>
    </w:pPr>
  </w:style>
  <w:style w:type="character" w:customStyle="1" w:styleId="WingdingSymbols">
    <w:name w:val="Wingding Symbols"/>
    <w:rsid w:val="00A621DA"/>
    <w:rPr>
      <w:rFonts w:ascii="Wingdings" w:hAnsi="Wingdings"/>
    </w:rPr>
  </w:style>
  <w:style w:type="paragraph" w:customStyle="1" w:styleId="TableHeading">
    <w:name w:val="Table Heading"/>
    <w:basedOn w:val="HeadingBase"/>
    <w:rsid w:val="00A621DA"/>
    <w:pPr>
      <w:keepLines/>
      <w:pBdr>
        <w:bottom w:val="single" w:sz="6" w:space="1" w:color="918585"/>
      </w:pBdr>
      <w:spacing w:before="240"/>
    </w:pPr>
  </w:style>
  <w:style w:type="character" w:customStyle="1" w:styleId="HotSpot">
    <w:name w:val="HotSpot"/>
    <w:rsid w:val="00A621DA"/>
    <w:rPr>
      <w:color w:val="0033CC"/>
      <w:u w:val="none"/>
    </w:rPr>
  </w:style>
  <w:style w:type="paragraph" w:customStyle="1" w:styleId="BodyTextRight">
    <w:name w:val="Body Text Right"/>
    <w:basedOn w:val="BodyText"/>
    <w:rsid w:val="00A621DA"/>
    <w:pPr>
      <w:spacing w:before="0" w:after="0"/>
      <w:jc w:val="right"/>
    </w:pPr>
  </w:style>
  <w:style w:type="paragraph" w:styleId="Index3">
    <w:name w:val="index 3"/>
    <w:basedOn w:val="ListNumber2"/>
    <w:next w:val="Normal"/>
    <w:semiHidden/>
    <w:rsid w:val="00A621DA"/>
    <w:pPr>
      <w:numPr>
        <w:numId w:val="0"/>
      </w:numPr>
      <w:tabs>
        <w:tab w:val="right" w:leader="dot" w:pos="4176"/>
      </w:tabs>
    </w:pPr>
  </w:style>
  <w:style w:type="paragraph" w:styleId="ListNumber2">
    <w:name w:val="List Number 2"/>
    <w:basedOn w:val="List2"/>
    <w:rsid w:val="00A621DA"/>
    <w:pPr>
      <w:numPr>
        <w:numId w:val="10"/>
      </w:numPr>
      <w:tabs>
        <w:tab w:val="clear" w:pos="1060"/>
      </w:tabs>
    </w:pPr>
  </w:style>
  <w:style w:type="paragraph" w:customStyle="1" w:styleId="MarginNote">
    <w:name w:val="Margin Note"/>
    <w:basedOn w:val="BodyText"/>
    <w:rsid w:val="00A621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21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21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21DA"/>
    <w:rPr>
      <w:sz w:val="32"/>
    </w:rPr>
  </w:style>
  <w:style w:type="paragraph" w:customStyle="1" w:styleId="HeadingProcedure">
    <w:name w:val="Heading Procedure"/>
    <w:basedOn w:val="HeadingBase"/>
    <w:next w:val="Normal"/>
    <w:rsid w:val="00A621DA"/>
    <w:pPr>
      <w:tabs>
        <w:tab w:val="left" w:pos="0"/>
      </w:tabs>
      <w:spacing w:before="120" w:after="60"/>
    </w:pPr>
    <w:rPr>
      <w:i/>
      <w:color w:val="918585"/>
      <w:sz w:val="22"/>
    </w:rPr>
  </w:style>
  <w:style w:type="paragraph" w:customStyle="1" w:styleId="TableBodyText">
    <w:name w:val="Table Body Text"/>
    <w:basedOn w:val="BodyText"/>
    <w:rsid w:val="00A621DA"/>
    <w:pPr>
      <w:spacing w:before="60" w:after="60"/>
    </w:pPr>
  </w:style>
  <w:style w:type="paragraph" w:styleId="ListContinue">
    <w:name w:val="List Continue"/>
    <w:basedOn w:val="List"/>
    <w:rsid w:val="00A621DA"/>
    <w:pPr>
      <w:ind w:firstLine="0"/>
    </w:pPr>
  </w:style>
  <w:style w:type="paragraph" w:customStyle="1" w:styleId="ListNote">
    <w:name w:val="List Note"/>
    <w:basedOn w:val="List"/>
    <w:rsid w:val="00A621DA"/>
    <w:pPr>
      <w:pBdr>
        <w:top w:val="single" w:sz="6" w:space="2" w:color="918585"/>
        <w:bottom w:val="single" w:sz="6" w:space="2" w:color="918585"/>
      </w:pBdr>
      <w:tabs>
        <w:tab w:val="left" w:pos="1021"/>
      </w:tabs>
      <w:ind w:firstLine="0"/>
    </w:pPr>
  </w:style>
  <w:style w:type="paragraph" w:customStyle="1" w:styleId="Warning">
    <w:name w:val="Warning"/>
    <w:basedOn w:val="BodyText"/>
    <w:rsid w:val="00A621DA"/>
    <w:pPr>
      <w:shd w:val="clear" w:color="auto" w:fill="D9D9D9"/>
      <w:tabs>
        <w:tab w:val="left" w:pos="992"/>
      </w:tabs>
      <w:ind w:left="119" w:right="119"/>
    </w:pPr>
    <w:rPr>
      <w:sz w:val="20"/>
    </w:rPr>
  </w:style>
  <w:style w:type="paragraph" w:customStyle="1" w:styleId="MarginIcons">
    <w:name w:val="Margin Icons"/>
    <w:basedOn w:val="BodyText"/>
    <w:rsid w:val="00A621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21DA"/>
    <w:rPr>
      <w:rFonts w:ascii="Courier New" w:hAnsi="Courier New"/>
    </w:rPr>
  </w:style>
  <w:style w:type="paragraph" w:customStyle="1" w:styleId="NoteBullet">
    <w:name w:val="Note Bullet"/>
    <w:basedOn w:val="Note"/>
    <w:rsid w:val="00A621DA"/>
    <w:pPr>
      <w:tabs>
        <w:tab w:val="clear" w:pos="680"/>
      </w:tabs>
      <w:spacing w:before="60" w:after="60"/>
    </w:pPr>
  </w:style>
  <w:style w:type="paragraph" w:customStyle="1" w:styleId="SubHeading2">
    <w:name w:val="SubHeading2"/>
    <w:basedOn w:val="HeadingBase"/>
    <w:rsid w:val="00A621DA"/>
    <w:pPr>
      <w:spacing w:before="240" w:after="60"/>
    </w:pPr>
    <w:rPr>
      <w:sz w:val="20"/>
    </w:rPr>
  </w:style>
  <w:style w:type="paragraph" w:customStyle="1" w:styleId="SubHeading1">
    <w:name w:val="SubHeading1"/>
    <w:basedOn w:val="HeadingBase"/>
    <w:rsid w:val="00A621DA"/>
    <w:pPr>
      <w:spacing w:before="240" w:after="60"/>
    </w:pPr>
    <w:rPr>
      <w:color w:val="918585"/>
      <w:sz w:val="22"/>
    </w:rPr>
  </w:style>
  <w:style w:type="paragraph" w:customStyle="1" w:styleId="SideHeading">
    <w:name w:val="Side Heading"/>
    <w:basedOn w:val="HeadingBase"/>
    <w:rsid w:val="00A621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21DA"/>
    <w:pPr>
      <w:numPr>
        <w:numId w:val="12"/>
      </w:numPr>
    </w:pPr>
  </w:style>
  <w:style w:type="paragraph" w:styleId="PlainText">
    <w:name w:val="Plain Text"/>
    <w:basedOn w:val="Normal"/>
    <w:link w:val="PlainTextChar"/>
    <w:rsid w:val="00A621DA"/>
    <w:rPr>
      <w:sz w:val="20"/>
    </w:rPr>
  </w:style>
  <w:style w:type="character" w:customStyle="1" w:styleId="PlainTextChar">
    <w:name w:val="Plain Text Char"/>
    <w:basedOn w:val="DefaultParagraphFont"/>
    <w:link w:val="PlainText"/>
    <w:rsid w:val="00A621DA"/>
    <w:rPr>
      <w:rFonts w:ascii="Courier New" w:eastAsia="Times New Roman" w:hAnsi="Courier New" w:cs="Times New Roman"/>
      <w:sz w:val="20"/>
      <w:szCs w:val="20"/>
      <w:lang w:eastAsia="en-US"/>
    </w:rPr>
  </w:style>
  <w:style w:type="character" w:customStyle="1" w:styleId="MenuOption">
    <w:name w:val="Menu Option"/>
    <w:basedOn w:val="DefaultParagraphFont"/>
    <w:rsid w:val="00A621DA"/>
    <w:rPr>
      <w:b/>
      <w:smallCaps/>
    </w:rPr>
  </w:style>
  <w:style w:type="paragraph" w:customStyle="1" w:styleId="TableListNumber">
    <w:name w:val="Table List Number"/>
    <w:basedOn w:val="ListNumber"/>
    <w:rsid w:val="00A621DA"/>
    <w:pPr>
      <w:numPr>
        <w:numId w:val="0"/>
      </w:numPr>
    </w:pPr>
  </w:style>
  <w:style w:type="paragraph" w:styleId="TOC4">
    <w:name w:val="toc 4"/>
    <w:basedOn w:val="TOCBase"/>
    <w:next w:val="Normal"/>
    <w:semiHidden/>
    <w:rsid w:val="00A621DA"/>
    <w:pPr>
      <w:tabs>
        <w:tab w:val="right" w:leader="dot" w:pos="9071"/>
      </w:tabs>
      <w:ind w:left="1701"/>
    </w:pPr>
  </w:style>
  <w:style w:type="paragraph" w:customStyle="1" w:styleId="ListAlpha">
    <w:name w:val="List Alpha"/>
    <w:basedOn w:val="List"/>
    <w:rsid w:val="00A621DA"/>
    <w:pPr>
      <w:numPr>
        <w:numId w:val="9"/>
      </w:numPr>
    </w:pPr>
  </w:style>
  <w:style w:type="paragraph" w:customStyle="1" w:styleId="ListAlpha2">
    <w:name w:val="List Alpha 2"/>
    <w:basedOn w:val="List2"/>
    <w:rsid w:val="00A621DA"/>
    <w:pPr>
      <w:numPr>
        <w:numId w:val="8"/>
      </w:numPr>
    </w:pPr>
  </w:style>
  <w:style w:type="paragraph" w:styleId="List2">
    <w:name w:val="List 2"/>
    <w:basedOn w:val="BodyText"/>
    <w:rsid w:val="00A621DA"/>
    <w:pPr>
      <w:tabs>
        <w:tab w:val="left" w:pos="680"/>
      </w:tabs>
      <w:spacing w:before="60" w:after="60"/>
      <w:ind w:left="680" w:hanging="340"/>
    </w:pPr>
  </w:style>
  <w:style w:type="paragraph" w:styleId="List3">
    <w:name w:val="List 3"/>
    <w:basedOn w:val="BodyText"/>
    <w:rsid w:val="00A621DA"/>
    <w:pPr>
      <w:tabs>
        <w:tab w:val="left" w:pos="1021"/>
      </w:tabs>
      <w:spacing w:before="60" w:after="60"/>
      <w:ind w:left="1020" w:hanging="340"/>
    </w:pPr>
  </w:style>
  <w:style w:type="paragraph" w:styleId="List4">
    <w:name w:val="List 4"/>
    <w:basedOn w:val="BodyText"/>
    <w:rsid w:val="00A621DA"/>
    <w:pPr>
      <w:tabs>
        <w:tab w:val="left" w:pos="1361"/>
      </w:tabs>
      <w:spacing w:before="60" w:after="60"/>
      <w:ind w:left="1361" w:hanging="340"/>
    </w:pPr>
  </w:style>
  <w:style w:type="paragraph" w:styleId="List5">
    <w:name w:val="List 5"/>
    <w:basedOn w:val="BodyText"/>
    <w:rsid w:val="00A621DA"/>
    <w:pPr>
      <w:tabs>
        <w:tab w:val="left" w:pos="1701"/>
      </w:tabs>
      <w:spacing w:before="60" w:after="60"/>
      <w:ind w:left="1701" w:hanging="340"/>
    </w:pPr>
  </w:style>
  <w:style w:type="paragraph" w:styleId="ListBullet3">
    <w:name w:val="List Bullet 3"/>
    <w:basedOn w:val="List3"/>
    <w:rsid w:val="00A621DA"/>
    <w:pPr>
      <w:numPr>
        <w:numId w:val="15"/>
      </w:numPr>
      <w:tabs>
        <w:tab w:val="clear" w:pos="1021"/>
      </w:tabs>
      <w:ind w:left="1037" w:hanging="357"/>
    </w:pPr>
  </w:style>
  <w:style w:type="paragraph" w:styleId="ListBullet4">
    <w:name w:val="List Bullet 4"/>
    <w:basedOn w:val="List4"/>
    <w:rsid w:val="00A621DA"/>
    <w:pPr>
      <w:numPr>
        <w:numId w:val="3"/>
      </w:numPr>
    </w:pPr>
  </w:style>
  <w:style w:type="paragraph" w:styleId="ListBullet5">
    <w:name w:val="List Bullet 5"/>
    <w:basedOn w:val="List5"/>
    <w:rsid w:val="00A621DA"/>
    <w:pPr>
      <w:numPr>
        <w:numId w:val="4"/>
      </w:numPr>
    </w:pPr>
  </w:style>
  <w:style w:type="paragraph" w:styleId="ListContinue2">
    <w:name w:val="List Continue 2"/>
    <w:basedOn w:val="List2"/>
    <w:rsid w:val="00A621DA"/>
    <w:pPr>
      <w:ind w:firstLine="0"/>
    </w:pPr>
  </w:style>
  <w:style w:type="paragraph" w:styleId="ListContinue3">
    <w:name w:val="List Continue 3"/>
    <w:basedOn w:val="List3"/>
    <w:rsid w:val="00A621DA"/>
    <w:pPr>
      <w:ind w:left="1021" w:firstLine="0"/>
    </w:pPr>
  </w:style>
  <w:style w:type="paragraph" w:styleId="ListContinue4">
    <w:name w:val="List Continue 4"/>
    <w:basedOn w:val="List4"/>
    <w:rsid w:val="00A621DA"/>
    <w:pPr>
      <w:ind w:firstLine="0"/>
    </w:pPr>
  </w:style>
  <w:style w:type="paragraph" w:styleId="ListContinue5">
    <w:name w:val="List Continue 5"/>
    <w:basedOn w:val="List5"/>
    <w:rsid w:val="00A621DA"/>
    <w:pPr>
      <w:ind w:firstLine="0"/>
    </w:pPr>
  </w:style>
  <w:style w:type="paragraph" w:styleId="ListNumber3">
    <w:name w:val="List Number 3"/>
    <w:basedOn w:val="List3"/>
    <w:rsid w:val="00A621DA"/>
    <w:pPr>
      <w:numPr>
        <w:numId w:val="5"/>
      </w:numPr>
    </w:pPr>
  </w:style>
  <w:style w:type="paragraph" w:styleId="ListNumber4">
    <w:name w:val="List Number 4"/>
    <w:basedOn w:val="List4"/>
    <w:rsid w:val="00A621DA"/>
    <w:pPr>
      <w:numPr>
        <w:numId w:val="6"/>
      </w:numPr>
    </w:pPr>
  </w:style>
  <w:style w:type="paragraph" w:styleId="ListNumber5">
    <w:name w:val="List Number 5"/>
    <w:basedOn w:val="List5"/>
    <w:rsid w:val="00A621DA"/>
    <w:pPr>
      <w:numPr>
        <w:numId w:val="7"/>
      </w:numPr>
    </w:pPr>
  </w:style>
  <w:style w:type="paragraph" w:styleId="BlockText">
    <w:name w:val="Block Text"/>
    <w:basedOn w:val="Normal"/>
    <w:rsid w:val="00A621DA"/>
    <w:pPr>
      <w:spacing w:after="120"/>
      <w:ind w:left="1440" w:right="1440"/>
    </w:pPr>
  </w:style>
  <w:style w:type="character" w:customStyle="1" w:styleId="Subscript">
    <w:name w:val="Subscript"/>
    <w:basedOn w:val="DefaultParagraphFont"/>
    <w:rsid w:val="00A621DA"/>
    <w:rPr>
      <w:sz w:val="16"/>
      <w:vertAlign w:val="subscript"/>
    </w:rPr>
  </w:style>
  <w:style w:type="character" w:customStyle="1" w:styleId="Superscript">
    <w:name w:val="Superscript"/>
    <w:basedOn w:val="DefaultParagraphFont"/>
    <w:rsid w:val="00A621DA"/>
    <w:rPr>
      <w:sz w:val="16"/>
      <w:vertAlign w:val="superscript"/>
    </w:rPr>
  </w:style>
  <w:style w:type="character" w:customStyle="1" w:styleId="Symbols">
    <w:name w:val="Symbols"/>
    <w:basedOn w:val="DefaultParagraphFont"/>
    <w:rsid w:val="00A621DA"/>
    <w:rPr>
      <w:rFonts w:ascii="Symbol" w:hAnsi="Symbol"/>
    </w:rPr>
  </w:style>
  <w:style w:type="character" w:customStyle="1" w:styleId="MenuOptions">
    <w:name w:val="Menu Options"/>
    <w:basedOn w:val="DefaultParagraphFont"/>
    <w:rsid w:val="00A621DA"/>
    <w:rPr>
      <w:rFonts w:ascii="Arial Narrow" w:hAnsi="Arial Narrow"/>
      <w:smallCaps/>
    </w:rPr>
  </w:style>
  <w:style w:type="character" w:customStyle="1" w:styleId="Buttons">
    <w:name w:val="Buttons"/>
    <w:basedOn w:val="DefaultParagraphFont"/>
    <w:rsid w:val="00A621DA"/>
    <w:rPr>
      <w:b/>
    </w:rPr>
  </w:style>
  <w:style w:type="character" w:customStyle="1" w:styleId="Underlined">
    <w:name w:val="Underlined"/>
    <w:basedOn w:val="DefaultParagraphFont"/>
    <w:rsid w:val="00A621DA"/>
    <w:rPr>
      <w:u w:val="single"/>
    </w:rPr>
  </w:style>
  <w:style w:type="paragraph" w:customStyle="1" w:styleId="TableBodyTextRight">
    <w:name w:val="Table Body Text Right"/>
    <w:basedOn w:val="TableBodyText"/>
    <w:rsid w:val="00A621DA"/>
    <w:pPr>
      <w:widowControl w:val="0"/>
      <w:autoSpaceDE w:val="0"/>
      <w:autoSpaceDN w:val="0"/>
      <w:adjustRightInd w:val="0"/>
      <w:jc w:val="right"/>
    </w:pPr>
    <w:rPr>
      <w:rFonts w:cs="Arial"/>
      <w:szCs w:val="18"/>
    </w:rPr>
  </w:style>
  <w:style w:type="paragraph" w:customStyle="1" w:styleId="CopyrightText">
    <w:name w:val="Copyright Text"/>
    <w:basedOn w:val="BodyText"/>
    <w:rsid w:val="00A621DA"/>
    <w:rPr>
      <w:sz w:val="18"/>
    </w:rPr>
  </w:style>
  <w:style w:type="paragraph" w:customStyle="1" w:styleId="BodySmallRight">
    <w:name w:val="Body Small Right"/>
    <w:basedOn w:val="BodyTextRight"/>
    <w:rsid w:val="00A621DA"/>
    <w:rPr>
      <w:sz w:val="18"/>
      <w:szCs w:val="18"/>
    </w:rPr>
  </w:style>
  <w:style w:type="paragraph" w:customStyle="1" w:styleId="MarginEdition">
    <w:name w:val="Margin Edition"/>
    <w:basedOn w:val="MarginNote"/>
    <w:rsid w:val="00A621DA"/>
    <w:pPr>
      <w:spacing w:before="0" w:after="0"/>
    </w:pPr>
    <w:rPr>
      <w:rFonts w:ascii="Times New Roman" w:hAnsi="Times New Roman"/>
      <w:color w:val="999999"/>
    </w:rPr>
  </w:style>
  <w:style w:type="paragraph" w:customStyle="1" w:styleId="Spacer">
    <w:name w:val="Spacer"/>
    <w:basedOn w:val="Normal"/>
    <w:rsid w:val="00A621DA"/>
    <w:rPr>
      <w:sz w:val="2"/>
      <w:szCs w:val="2"/>
    </w:rPr>
  </w:style>
  <w:style w:type="character" w:customStyle="1" w:styleId="Small">
    <w:name w:val="Small"/>
    <w:basedOn w:val="DefaultParagraphFont"/>
    <w:rsid w:val="00A621DA"/>
    <w:rPr>
      <w:sz w:val="16"/>
    </w:rPr>
  </w:style>
  <w:style w:type="paragraph" w:customStyle="1" w:styleId="WideTable">
    <w:name w:val="Wide Table"/>
    <w:basedOn w:val="Normal"/>
    <w:rsid w:val="00A621DA"/>
    <w:pPr>
      <w:ind w:left="-1418"/>
    </w:pPr>
    <w:rPr>
      <w:sz w:val="2"/>
      <w:szCs w:val="2"/>
    </w:rPr>
  </w:style>
  <w:style w:type="character" w:styleId="PageNumber">
    <w:name w:val="page number"/>
    <w:basedOn w:val="DefaultParagraphFont"/>
    <w:rsid w:val="00A621DA"/>
  </w:style>
  <w:style w:type="paragraph" w:styleId="Quote">
    <w:name w:val="Quote"/>
    <w:basedOn w:val="Heading1"/>
    <w:link w:val="QuoteChar"/>
    <w:qFormat/>
    <w:rsid w:val="00A621DA"/>
    <w:rPr>
      <w:b w:val="0"/>
      <w:sz w:val="72"/>
      <w:szCs w:val="72"/>
      <w:lang w:val="en-NZ"/>
    </w:rPr>
  </w:style>
  <w:style w:type="character" w:customStyle="1" w:styleId="QuoteChar">
    <w:name w:val="Quote Char"/>
    <w:basedOn w:val="DefaultParagraphFont"/>
    <w:link w:val="Quote"/>
    <w:rsid w:val="00A621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21DA"/>
    <w:pPr>
      <w:pageBreakBefore/>
    </w:pPr>
  </w:style>
  <w:style w:type="paragraph" w:customStyle="1" w:styleId="Border">
    <w:name w:val="Border"/>
    <w:basedOn w:val="Normal"/>
    <w:qFormat/>
    <w:rsid w:val="00A621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21DA"/>
    <w:rPr>
      <w:b/>
      <w:bCs/>
      <w:i/>
      <w:iCs/>
      <w:color w:val="auto"/>
    </w:rPr>
  </w:style>
  <w:style w:type="paragraph" w:styleId="IntenseQuote">
    <w:name w:val="Intense Quote"/>
    <w:basedOn w:val="Normal"/>
    <w:next w:val="Normal"/>
    <w:link w:val="IntenseQuoteChar"/>
    <w:uiPriority w:val="30"/>
    <w:qFormat/>
    <w:rsid w:val="00A621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21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21DA"/>
    <w:rPr>
      <w:smallCaps/>
      <w:color w:val="auto"/>
      <w:u w:val="single"/>
    </w:rPr>
  </w:style>
  <w:style w:type="character" w:styleId="IntenseReference">
    <w:name w:val="Intense Reference"/>
    <w:basedOn w:val="DefaultParagraphFont"/>
    <w:uiPriority w:val="32"/>
    <w:qFormat/>
    <w:rsid w:val="00A621DA"/>
    <w:rPr>
      <w:b/>
      <w:bCs/>
      <w:smallCaps/>
      <w:color w:val="auto"/>
      <w:spacing w:val="5"/>
      <w:u w:val="single"/>
    </w:rPr>
  </w:style>
  <w:style w:type="paragraph" w:customStyle="1" w:styleId="2ColumnHeading">
    <w:name w:val="2Column Heading"/>
    <w:basedOn w:val="BodyText"/>
    <w:qFormat/>
    <w:rsid w:val="00A621DA"/>
    <w:pPr>
      <w:spacing w:after="60"/>
      <w:ind w:left="-2268"/>
    </w:pPr>
    <w:rPr>
      <w:b/>
    </w:rPr>
  </w:style>
  <w:style w:type="paragraph" w:customStyle="1" w:styleId="Heading1TOC">
    <w:name w:val="Heading1 TOC"/>
    <w:basedOn w:val="Normal"/>
    <w:qFormat/>
    <w:rsid w:val="00A621DA"/>
    <w:pPr>
      <w:spacing w:before="240" w:after="120"/>
    </w:pPr>
    <w:rPr>
      <w:rFonts w:ascii="Times New Roman" w:hAnsi="Times New Roman"/>
      <w:b/>
      <w:sz w:val="32"/>
    </w:rPr>
  </w:style>
  <w:style w:type="paragraph" w:customStyle="1" w:styleId="Heading2TOC">
    <w:name w:val="Heading2 TOC"/>
    <w:basedOn w:val="Normal"/>
    <w:qFormat/>
    <w:rsid w:val="00A621DA"/>
    <w:pPr>
      <w:spacing w:before="240" w:after="60"/>
    </w:pPr>
    <w:rPr>
      <w:rFonts w:ascii="Times New Roman" w:hAnsi="Times New Roman"/>
      <w:b/>
      <w:sz w:val="28"/>
    </w:rPr>
  </w:style>
  <w:style w:type="character" w:customStyle="1" w:styleId="Underline">
    <w:name w:val="Underline"/>
    <w:basedOn w:val="DefaultParagraphFont"/>
    <w:qFormat/>
    <w:rsid w:val="00A621DA"/>
    <w:rPr>
      <w:u w:val="single"/>
    </w:rPr>
  </w:style>
  <w:style w:type="paragraph" w:styleId="BalloonText">
    <w:name w:val="Balloon Text"/>
    <w:basedOn w:val="Normal"/>
    <w:link w:val="BalloonTextChar"/>
    <w:rsid w:val="00A621DA"/>
    <w:rPr>
      <w:rFonts w:ascii="Tahoma" w:hAnsi="Tahoma" w:cs="Tahoma"/>
      <w:sz w:val="16"/>
      <w:szCs w:val="16"/>
    </w:rPr>
  </w:style>
  <w:style w:type="character" w:customStyle="1" w:styleId="BalloonTextChar">
    <w:name w:val="Balloon Text Char"/>
    <w:basedOn w:val="DefaultParagraphFont"/>
    <w:link w:val="BalloonText"/>
    <w:rsid w:val="00A621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21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21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21DA"/>
    <w:rPr>
      <w:b/>
      <w:color w:val="660033"/>
      <w:spacing w:val="0"/>
    </w:rPr>
  </w:style>
  <w:style w:type="paragraph" w:customStyle="1" w:styleId="Nameditemlist">
    <w:name w:val="Named item list"/>
    <w:basedOn w:val="BodyText"/>
    <w:qFormat/>
    <w:rsid w:val="00A621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1927</Words>
  <Characters>12513</Characters>
  <Application>Microsoft Office Word</Application>
  <DocSecurity>0</DocSecurity>
  <Lines>437</Lines>
  <Paragraphs>274</Paragraphs>
  <ScaleCrop>false</ScaleCrop>
  <Company>Author-it Software Corporation Ltd.</Company>
  <LinksUpToDate>false</LinksUpToDate>
  <CharactersWithSpaces>14334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CPPSIS5014A Develop a subdivision survey design for local government approval</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2012-10-05T13:53:00Z</dcterms:created>
  <dcterms:modified xsi:type="dcterms:W3CDTF">2012-10-05T13:53:00Z</dcterms:modified>
</cp:coreProperties>
</file>