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729D9" w:rsidP="00A729D9">
      <w:pPr>
        <w:pStyle w:val="Title"/>
      </w:pPr>
      <w:r>
        <w:fldChar w:fldCharType="begin"/>
      </w:r>
      <w:r>
        <w:instrText xml:space="preserve"> TITLE   \* MERGEFORMAT </w:instrText>
      </w:r>
      <w:r>
        <w:fldChar w:fldCharType="separate"/>
      </w:r>
      <w:r>
        <w:t>CPPSIS4022A Store and retrieve spatial data</w:t>
      </w:r>
      <w:r>
        <w:fldChar w:fldCharType="end"/>
      </w:r>
    </w:p>
    <w:p w:rsidR="00A729D9" w:rsidP="00A729D9">
      <w:pPr>
        <w:pStyle w:val="Version"/>
        <w:sectPr w:rsidSect="00A07B2D">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07B2D" w:rsidP="00A07B2D">
      <w:pPr>
        <w:pStyle w:val="SuperHeading"/>
      </w:pPr>
      <w:r w:rsidRPr="00A07B2D">
        <w:t>CPPSIS4022A Store and retrieve spatial data</w:t>
      </w:r>
    </w:p>
    <w:p w:rsidR="00000000" w:rsidRPr="00A07B2D" w:rsidP="00A07B2D">
      <w:pPr>
        <w:pStyle w:val="Heading1"/>
      </w:pPr>
      <w:bookmarkStart w:id="1" w:name="O_507710"/>
      <w:bookmarkEnd w:id="1"/>
      <w:r w:rsidRPr="00A07B2D">
        <w:t>Modification History</w:t>
      </w:r>
    </w:p>
    <w:p w:rsidR="00000000" w:rsidRPr="00A07B2D" w:rsidP="00A07B2D">
      <w:pPr>
        <w:pStyle w:val="BodyText"/>
      </w:pPr>
      <w:r w:rsidRPr="00A07B2D">
        <w:t>Unit revised and not equivalent to CPPSIS4002A Store and retrieve spatial data</w:t>
      </w:r>
    </w:p>
    <w:p w:rsidR="00000000" w:rsidRPr="00A07B2D" w:rsidP="00A07B2D">
      <w:pPr>
        <w:pStyle w:val="BodyText"/>
      </w:pPr>
      <w:r w:rsidRPr="00A07B2D">
        <w:t>Element structure, performance criteria, and critical aspects reviewed to reflect workplace requirements</w:t>
      </w:r>
    </w:p>
    <w:p w:rsidR="00000000" w:rsidRPr="00A07B2D" w:rsidP="00A07B2D">
      <w:pPr>
        <w:pStyle w:val="BodyText"/>
      </w:pPr>
      <w:r w:rsidRPr="00A07B2D">
        <w:t>Skills and knowledge requirements and the range sta</w:t>
      </w:r>
      <w:r w:rsidRPr="00A07B2D">
        <w:t>tement updated</w:t>
      </w:r>
    </w:p>
    <w:p w:rsidR="00000000" w:rsidRPr="00A07B2D" w:rsidP="00A07B2D">
      <w:pPr>
        <w:pStyle w:val="AllowPageBreak"/>
      </w:pPr>
    </w:p>
    <w:p w:rsidR="00000000" w:rsidRPr="00A07B2D" w:rsidP="00A07B2D">
      <w:pPr>
        <w:pStyle w:val="Heading1"/>
      </w:pPr>
      <w:bookmarkStart w:id="2" w:name="O_507711"/>
      <w:bookmarkEnd w:id="2"/>
      <w:r w:rsidRPr="00A07B2D">
        <w:t>Unit Descriptor</w:t>
      </w:r>
    </w:p>
    <w:p w:rsidR="00A729D9" w:rsidP="00A07B2D">
      <w:pPr>
        <w:pStyle w:val="BodyText"/>
      </w:pPr>
      <w:r w:rsidRPr="00A07B2D">
        <w:t>This unit of competency specifies the outcomes required to store and retrieve spatial data from a range of storage media, including digital or hard copy storage. It requires the ability to analyse and evaluat</w:t>
      </w:r>
      <w:r w:rsidRPr="00A07B2D">
        <w:t>e spatial information from a variety of sources and to identify and access spatial information for set task requirements. Functions would be carried out under limited supervision and within organisational guidelines.</w:t>
      </w:r>
    </w:p>
    <w:p w:rsidR="00A729D9" w:rsidP="00A07B2D">
      <w:pPr>
        <w:pStyle w:val="BodyText"/>
      </w:pPr>
    </w:p>
    <w:p w:rsidR="00000000" w:rsidRPr="00A07B2D" w:rsidP="00A07B2D">
      <w:pPr>
        <w:pStyle w:val="Heading1"/>
      </w:pPr>
      <w:bookmarkStart w:id="3" w:name="O_507712"/>
      <w:bookmarkEnd w:id="3"/>
      <w:r w:rsidRPr="00A07B2D">
        <w:t>Application of the Un</w:t>
      </w:r>
      <w:r w:rsidRPr="00A07B2D">
        <w:t>it</w:t>
      </w:r>
    </w:p>
    <w:p w:rsidR="00000000" w:rsidRPr="00A07B2D" w:rsidP="00A07B2D">
      <w:pPr>
        <w:pStyle w:val="BodyText"/>
      </w:pPr>
      <w:r w:rsidRPr="00A07B2D">
        <w:t xml:space="preserve">This unit of competency supports the application of organisational, sound communication and basic problem-solving skills, the ability to demonstrate initiative and enterprise, and the use of technology. The skills and knowledge acquired upon completion </w:t>
      </w:r>
      <w:r w:rsidRPr="00A07B2D">
        <w:t>of this unit would apply to the needs of employees in supporting positions for surveying, town planning, cartography, mapping and geographic information systems (GIS).</w:t>
      </w:r>
    </w:p>
    <w:p w:rsidR="00000000" w:rsidRPr="00A07B2D" w:rsidP="00A07B2D">
      <w:pPr>
        <w:pStyle w:val="AllowPageBreak"/>
      </w:pPr>
    </w:p>
    <w:p w:rsidR="00000000" w:rsidRPr="00A07B2D" w:rsidP="00A07B2D">
      <w:pPr>
        <w:pStyle w:val="Heading1"/>
      </w:pPr>
      <w:bookmarkStart w:id="4" w:name="O_507713"/>
      <w:bookmarkEnd w:id="4"/>
      <w:r w:rsidRPr="00A07B2D">
        <w:t>Licensing/Regulatory Information</w:t>
      </w:r>
    </w:p>
    <w:p w:rsidR="00000000" w:rsidRPr="00A07B2D" w:rsidP="00A07B2D">
      <w:pPr>
        <w:pStyle w:val="BodyText"/>
      </w:pPr>
      <w:r w:rsidRPr="00A07B2D">
        <w:t>No licensing, legislative and regulato</w:t>
      </w:r>
      <w:r w:rsidRPr="00A07B2D">
        <w:t>ry requirements apply to this unit at the time of endorsement.</w:t>
      </w:r>
    </w:p>
    <w:p w:rsidR="00000000" w:rsidRPr="00A07B2D" w:rsidP="00A07B2D">
      <w:pPr>
        <w:pStyle w:val="AllowPageBreak"/>
      </w:pPr>
    </w:p>
    <w:p w:rsidR="00000000" w:rsidRPr="00A07B2D" w:rsidP="00A07B2D">
      <w:pPr>
        <w:pStyle w:val="Heading1"/>
      </w:pPr>
      <w:bookmarkStart w:id="5" w:name="O_507714"/>
      <w:bookmarkEnd w:id="5"/>
      <w:r w:rsidRPr="00A07B2D">
        <w:t>Pre-Requisites</w:t>
      </w:r>
    </w:p>
    <w:p w:rsidR="00000000" w:rsidRPr="00A07B2D" w:rsidP="00A07B2D">
      <w:pPr>
        <w:pStyle w:val="BodyText"/>
      </w:pPr>
      <w:r w:rsidRPr="00A07B2D">
        <w:t>Nil</w:t>
      </w:r>
    </w:p>
    <w:p w:rsidR="00000000" w:rsidRPr="00A07B2D" w:rsidP="00A07B2D">
      <w:pPr>
        <w:pStyle w:val="AllowPageBreak"/>
      </w:pPr>
    </w:p>
    <w:p w:rsidR="00000000" w:rsidRPr="00A07B2D" w:rsidP="00A07B2D">
      <w:pPr>
        <w:pStyle w:val="Heading1"/>
      </w:pPr>
      <w:bookmarkStart w:id="6" w:name="O_507715"/>
      <w:bookmarkEnd w:id="6"/>
      <w:r w:rsidRPr="00A07B2D">
        <w:t>Employability Skills Information</w:t>
      </w:r>
    </w:p>
    <w:p w:rsidR="00000000" w:rsidRPr="00A07B2D" w:rsidP="00A07B2D">
      <w:pPr>
        <w:pStyle w:val="BodyText"/>
      </w:pPr>
      <w:r w:rsidRPr="00A07B2D">
        <w:t>This unit contains employability skills.</w:t>
      </w:r>
    </w:p>
    <w:p w:rsidR="00000000" w:rsidRPr="00A07B2D" w:rsidP="00A07B2D">
      <w:pPr>
        <w:pStyle w:val="AllowPageBreak"/>
      </w:pPr>
    </w:p>
    <w:p w:rsidR="00000000" w:rsidRPr="00A07B2D" w:rsidP="00A07B2D">
      <w:pPr>
        <w:pStyle w:val="Heading1"/>
      </w:pPr>
      <w:bookmarkStart w:id="7" w:name="O_507716"/>
      <w:bookmarkEnd w:id="7"/>
      <w:r w:rsidRPr="00A07B2D">
        <w:t>Elements and Performance Criteria Pre-Content</w:t>
      </w:r>
    </w:p>
    <w:tbl>
      <w:tblPr>
        <w:tblW w:w="0" w:type="auto"/>
        <w:tblLayout w:type="fixed"/>
        <w:tblCellMar>
          <w:left w:w="62" w:type="dxa"/>
          <w:right w:w="62" w:type="dxa"/>
        </w:tblCellMar>
        <w:tblLook w:val="0000"/>
      </w:tblPr>
      <w:tblGrid>
        <w:gridCol w:w="2838"/>
        <w:gridCol w:w="5842"/>
      </w:tblGrid>
      <w:tr w:rsidTr="00A07B2D">
        <w:tblPrEx>
          <w:tblW w:w="0" w:type="auto"/>
          <w:tblLayout w:type="fixed"/>
          <w:tblCellMar>
            <w:left w:w="62" w:type="dxa"/>
            <w:right w:w="62" w:type="dxa"/>
          </w:tblCellMar>
          <w:tblLook w:val="0000"/>
        </w:tblPrEx>
        <w:tc>
          <w:tcPr>
            <w:tcW w:w="2838" w:type="dxa"/>
            <w:tcBorders>
              <w:top w:val="nil"/>
              <w:left w:val="nil"/>
              <w:bottom w:val="nil"/>
              <w:right w:val="nil"/>
            </w:tcBorders>
            <w:tcMar>
              <w:top w:w="0" w:type="dxa"/>
              <w:left w:w="62" w:type="dxa"/>
              <w:bottom w:w="0" w:type="dxa"/>
              <w:right w:w="62" w:type="dxa"/>
            </w:tcMar>
          </w:tcPr>
          <w:p w:rsidR="00000000" w:rsidP="00A07B2D">
            <w:pPr>
              <w:pStyle w:val="BodyText"/>
              <w:rPr>
                <w:lang w:val="en-NZ"/>
              </w:rPr>
            </w:pPr>
            <w:r w:rsidRPr="00A07B2D">
              <w:t>Ele</w:t>
            </w:r>
            <w:r w:rsidRPr="00A07B2D">
              <w:t>ments describe the essential outcomes of a unit of competency.</w:t>
            </w:r>
          </w:p>
        </w:tc>
        <w:tc>
          <w:tcPr>
            <w:tcW w:w="5842" w:type="dxa"/>
            <w:tcBorders>
              <w:top w:val="nil"/>
              <w:left w:val="nil"/>
              <w:bottom w:val="nil"/>
              <w:right w:val="nil"/>
            </w:tcBorders>
            <w:tcMar>
              <w:top w:w="0" w:type="dxa"/>
              <w:left w:w="62" w:type="dxa"/>
              <w:bottom w:w="0" w:type="dxa"/>
              <w:right w:w="62" w:type="dxa"/>
            </w:tcMar>
          </w:tcPr>
          <w:p w:rsidR="00000000" w:rsidRPr="00A07B2D" w:rsidP="00A07B2D">
            <w:pPr>
              <w:pStyle w:val="BodyText"/>
            </w:pPr>
            <w:r w:rsidRPr="00A07B2D">
              <w:t xml:space="preserve">Performance criteria describe the required performance needed to demonstrate achievement of the element. Where </w:t>
            </w:r>
            <w:r w:rsidRPr="00A07B2D">
              <w:rPr>
                <w:rStyle w:val="BoldandItalics"/>
              </w:rPr>
              <w:t>bold italicised</w:t>
            </w:r>
            <w:r w:rsidRPr="00A07B2D">
              <w:t xml:space="preserve"> text is used, further information is detailed in the required skil</w:t>
            </w:r>
            <w:r w:rsidRPr="00A07B2D">
              <w:t>ls and knowledge and/or the range statement. Assessment of performance is to be consistent with the evidence guide.</w:t>
            </w:r>
          </w:p>
        </w:tc>
      </w:tr>
    </w:tbl>
    <w:p w:rsidR="00000000" w:rsidRPr="00A07B2D" w:rsidP="00A07B2D">
      <w:pPr>
        <w:pStyle w:val="BodyText"/>
      </w:pPr>
    </w:p>
    <w:p w:rsidR="00000000" w:rsidRPr="00A07B2D" w:rsidP="00A07B2D">
      <w:pPr>
        <w:pStyle w:val="AllowPageBreak"/>
      </w:pPr>
    </w:p>
    <w:p w:rsidR="00000000" w:rsidRPr="00A07B2D" w:rsidP="00A07B2D">
      <w:pPr>
        <w:pStyle w:val="Heading1"/>
      </w:pPr>
      <w:bookmarkStart w:id="8" w:name="O_507717"/>
      <w:bookmarkEnd w:id="8"/>
      <w:r w:rsidRPr="00A07B2D">
        <w:t>Elements and Performance Criteria</w:t>
      </w:r>
    </w:p>
    <w:p w:rsidR="00000000" w:rsidRPr="00A07B2D" w:rsidP="00A07B2D">
      <w:pPr>
        <w:pStyle w:val="BodyText"/>
      </w:pPr>
    </w:p>
    <w:tbl>
      <w:tblPr>
        <w:tblW w:w="0" w:type="auto"/>
        <w:tblLayout w:type="fixed"/>
        <w:tblCellMar>
          <w:left w:w="62" w:type="dxa"/>
          <w:right w:w="62" w:type="dxa"/>
        </w:tblCellMar>
        <w:tblLook w:val="0000"/>
      </w:tblPr>
      <w:tblGrid>
        <w:gridCol w:w="686"/>
        <w:gridCol w:w="1985"/>
        <w:gridCol w:w="779"/>
        <w:gridCol w:w="5678"/>
      </w:tblGrid>
      <w:tr w:rsidTr="00A07B2D">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rsidP="00A07B2D">
            <w:pPr>
              <w:pStyle w:val="BodyText"/>
              <w:rPr>
                <w:lang w:val="en-NZ"/>
              </w:rPr>
            </w:pPr>
            <w:r w:rsidRPr="00A07B2D">
              <w:t>1</w:t>
            </w:r>
          </w:p>
        </w:tc>
        <w:tc>
          <w:tcPr>
            <w:tcW w:w="1985" w:type="dxa"/>
            <w:vMerge w:val="restart"/>
            <w:tcBorders>
              <w:top w:val="nil"/>
              <w:left w:val="nil"/>
              <w:bottom w:val="nil"/>
              <w:right w:val="nil"/>
            </w:tcBorders>
            <w:tcMar>
              <w:top w:w="0" w:type="dxa"/>
              <w:left w:w="62" w:type="dxa"/>
              <w:bottom w:w="0" w:type="dxa"/>
              <w:right w:w="62" w:type="dxa"/>
            </w:tcMar>
          </w:tcPr>
          <w:p w:rsidR="00000000" w:rsidP="00A07B2D">
            <w:pPr>
              <w:pStyle w:val="BodyText"/>
              <w:rPr>
                <w:lang w:val="en-NZ"/>
              </w:rPr>
            </w:pPr>
            <w:r w:rsidRPr="00A07B2D">
              <w:t>Store spatial data.</w:t>
            </w:r>
          </w:p>
        </w:tc>
        <w:tc>
          <w:tcPr>
            <w:tcW w:w="779" w:type="dxa"/>
            <w:tcBorders>
              <w:top w:val="nil"/>
              <w:left w:val="nil"/>
              <w:bottom w:val="nil"/>
              <w:right w:val="nil"/>
            </w:tcBorders>
            <w:tcMar>
              <w:top w:w="0" w:type="dxa"/>
              <w:left w:w="62" w:type="dxa"/>
              <w:bottom w:w="0" w:type="dxa"/>
              <w:right w:w="62" w:type="dxa"/>
            </w:tcMar>
          </w:tcPr>
          <w:p w:rsidR="00000000" w:rsidRPr="00A07B2D" w:rsidP="00A07B2D">
            <w:pPr>
              <w:pStyle w:val="BodyText"/>
            </w:pPr>
            <w:r w:rsidRPr="00A07B2D">
              <w:t>1.1</w:t>
            </w:r>
          </w:p>
        </w:tc>
        <w:tc>
          <w:tcPr>
            <w:tcW w:w="5678" w:type="dxa"/>
            <w:tcBorders>
              <w:top w:val="nil"/>
              <w:left w:val="nil"/>
              <w:bottom w:val="nil"/>
              <w:right w:val="nil"/>
            </w:tcBorders>
            <w:tcMar>
              <w:top w:w="0" w:type="dxa"/>
              <w:left w:w="62" w:type="dxa"/>
              <w:bottom w:w="0" w:type="dxa"/>
              <w:right w:w="62" w:type="dxa"/>
            </w:tcMar>
          </w:tcPr>
          <w:p w:rsidR="00000000" w:rsidP="00A07B2D">
            <w:pPr>
              <w:pStyle w:val="BodyText"/>
              <w:rPr>
                <w:lang w:val="en-NZ"/>
              </w:rPr>
            </w:pPr>
            <w:r w:rsidRPr="00A07B2D">
              <w:rPr>
                <w:rStyle w:val="BoldandItalics"/>
              </w:rPr>
              <w:t>Data index</w:t>
            </w:r>
            <w:r w:rsidRPr="00A07B2D">
              <w:t xml:space="preserve"> is created to assist in retrieval and storage according to organisational spatial data and legal requirements.</w:t>
            </w:r>
          </w:p>
        </w:tc>
      </w:tr>
      <w:tr w:rsidTr="00A07B2D">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85"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9" w:type="dxa"/>
            <w:tcBorders>
              <w:top w:val="nil"/>
              <w:left w:val="nil"/>
              <w:bottom w:val="nil"/>
              <w:right w:val="nil"/>
            </w:tcBorders>
            <w:tcMar>
              <w:top w:w="0" w:type="dxa"/>
              <w:left w:w="62" w:type="dxa"/>
              <w:bottom w:w="0" w:type="dxa"/>
              <w:right w:w="62" w:type="dxa"/>
            </w:tcMar>
          </w:tcPr>
          <w:p w:rsidR="00000000" w:rsidRPr="00A07B2D" w:rsidP="00A07B2D">
            <w:pPr>
              <w:pStyle w:val="BodyText"/>
            </w:pPr>
            <w:r w:rsidRPr="00A07B2D">
              <w:t>1.2</w:t>
            </w:r>
          </w:p>
        </w:tc>
        <w:tc>
          <w:tcPr>
            <w:tcW w:w="5678" w:type="dxa"/>
            <w:tcBorders>
              <w:top w:val="nil"/>
              <w:left w:val="nil"/>
              <w:bottom w:val="nil"/>
              <w:right w:val="nil"/>
            </w:tcBorders>
            <w:tcMar>
              <w:top w:w="0" w:type="dxa"/>
              <w:left w:w="62" w:type="dxa"/>
              <w:bottom w:w="0" w:type="dxa"/>
              <w:right w:w="62" w:type="dxa"/>
            </w:tcMar>
          </w:tcPr>
          <w:p w:rsidR="00000000" w:rsidP="00A07B2D">
            <w:pPr>
              <w:pStyle w:val="BodyText"/>
              <w:rPr>
                <w:lang w:val="en-NZ"/>
              </w:rPr>
            </w:pPr>
            <w:r w:rsidRPr="00A07B2D">
              <w:rPr>
                <w:rStyle w:val="BoldandItalics"/>
              </w:rPr>
              <w:t xml:space="preserve">Administrative and legal requirements </w:t>
            </w:r>
            <w:r w:rsidRPr="00A07B2D">
              <w:t>for data storage are complied with and recorded.</w:t>
            </w:r>
          </w:p>
        </w:tc>
      </w:tr>
      <w:tr w:rsidTr="00A07B2D">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85"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A07B2D">
            <w:pPr>
              <w:pStyle w:val="BodyText"/>
              <w:rPr>
                <w:lang w:val="en-NZ"/>
              </w:rPr>
            </w:pPr>
            <w:r w:rsidRPr="00A07B2D">
              <w:t>1.3</w:t>
            </w:r>
          </w:p>
        </w:tc>
        <w:tc>
          <w:tcPr>
            <w:tcW w:w="5678" w:type="dxa"/>
            <w:tcBorders>
              <w:top w:val="nil"/>
              <w:left w:val="nil"/>
              <w:bottom w:val="nil"/>
              <w:right w:val="nil"/>
            </w:tcBorders>
            <w:tcMar>
              <w:top w:w="0" w:type="dxa"/>
              <w:left w:w="62" w:type="dxa"/>
              <w:bottom w:w="0" w:type="dxa"/>
              <w:right w:w="62" w:type="dxa"/>
            </w:tcMar>
          </w:tcPr>
          <w:p w:rsidR="00000000" w:rsidP="00A07B2D">
            <w:pPr>
              <w:pStyle w:val="BodyText"/>
              <w:rPr>
                <w:lang w:val="en-NZ"/>
              </w:rPr>
            </w:pPr>
            <w:r w:rsidRPr="00A07B2D">
              <w:t xml:space="preserve">Data is recorded in index according to </w:t>
            </w:r>
            <w:r w:rsidRPr="00A07B2D">
              <w:rPr>
                <w:rStyle w:val="BoldandItalics"/>
              </w:rPr>
              <w:t>organisational guidelines</w:t>
            </w:r>
            <w:r w:rsidRPr="00A07B2D">
              <w:t>.</w:t>
            </w:r>
          </w:p>
        </w:tc>
      </w:tr>
      <w:tr w:rsidTr="00A07B2D">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85"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A07B2D">
            <w:pPr>
              <w:pStyle w:val="BodyText"/>
              <w:rPr>
                <w:lang w:val="en-NZ"/>
              </w:rPr>
            </w:pPr>
            <w:r w:rsidRPr="00A07B2D">
              <w:t>1.4</w:t>
            </w:r>
          </w:p>
        </w:tc>
        <w:tc>
          <w:tcPr>
            <w:tcW w:w="5678" w:type="dxa"/>
            <w:tcBorders>
              <w:top w:val="nil"/>
              <w:left w:val="nil"/>
              <w:bottom w:val="nil"/>
              <w:right w:val="nil"/>
            </w:tcBorders>
            <w:tcMar>
              <w:top w:w="0" w:type="dxa"/>
              <w:left w:w="62" w:type="dxa"/>
              <w:bottom w:w="0" w:type="dxa"/>
              <w:right w:w="62" w:type="dxa"/>
            </w:tcMar>
          </w:tcPr>
          <w:p w:rsidR="00000000" w:rsidP="00A07B2D">
            <w:pPr>
              <w:pStyle w:val="BodyText"/>
              <w:rPr>
                <w:lang w:val="en-NZ"/>
              </w:rPr>
            </w:pPr>
            <w:r w:rsidRPr="00A07B2D">
              <w:t>Spatial data is backed up according to organisational guidelines.</w:t>
            </w:r>
          </w:p>
        </w:tc>
      </w:tr>
      <w:tr w:rsidTr="00A07B2D">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85"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9" w:type="dxa"/>
            <w:tcBorders>
              <w:top w:val="nil"/>
              <w:left w:val="nil"/>
              <w:bottom w:val="nil"/>
              <w:right w:val="nil"/>
            </w:tcBorders>
            <w:tcMar>
              <w:top w:w="0" w:type="dxa"/>
              <w:left w:w="62" w:type="dxa"/>
              <w:bottom w:w="0" w:type="dxa"/>
              <w:right w:w="62" w:type="dxa"/>
            </w:tcMar>
          </w:tcPr>
          <w:p w:rsidR="00000000" w:rsidRPr="00A07B2D" w:rsidP="00A07B2D">
            <w:pPr>
              <w:pStyle w:val="BodyText"/>
            </w:pPr>
            <w:r w:rsidRPr="00A07B2D">
              <w:t>1.5</w:t>
            </w:r>
          </w:p>
        </w:tc>
        <w:tc>
          <w:tcPr>
            <w:tcW w:w="5678" w:type="dxa"/>
            <w:tcBorders>
              <w:top w:val="nil"/>
              <w:left w:val="nil"/>
              <w:bottom w:val="nil"/>
              <w:right w:val="nil"/>
            </w:tcBorders>
            <w:tcMar>
              <w:top w:w="0" w:type="dxa"/>
              <w:left w:w="62" w:type="dxa"/>
              <w:bottom w:w="0" w:type="dxa"/>
              <w:right w:w="62" w:type="dxa"/>
            </w:tcMar>
          </w:tcPr>
          <w:p w:rsidR="00000000" w:rsidP="00A07B2D">
            <w:pPr>
              <w:pStyle w:val="BodyText"/>
              <w:rPr>
                <w:lang w:val="en-NZ"/>
              </w:rPr>
            </w:pPr>
            <w:r w:rsidRPr="00A07B2D">
              <w:rPr>
                <w:rStyle w:val="BoldandItalics"/>
              </w:rPr>
              <w:t>Method of spatial data storage</w:t>
            </w:r>
            <w:r w:rsidRPr="00A07B2D">
              <w:t xml:space="preserve"> is selected according to organisational guidelines.</w:t>
            </w:r>
          </w:p>
        </w:tc>
      </w:tr>
      <w:tr w:rsidTr="00A07B2D">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85"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9" w:type="dxa"/>
            <w:tcBorders>
              <w:top w:val="nil"/>
              <w:left w:val="nil"/>
              <w:bottom w:val="nil"/>
              <w:right w:val="nil"/>
            </w:tcBorders>
            <w:tcMar>
              <w:top w:w="0" w:type="dxa"/>
              <w:left w:w="62" w:type="dxa"/>
              <w:bottom w:w="0" w:type="dxa"/>
              <w:right w:w="62" w:type="dxa"/>
            </w:tcMar>
          </w:tcPr>
          <w:p w:rsidR="00000000" w:rsidRPr="00A07B2D" w:rsidP="00A07B2D">
            <w:pPr>
              <w:pStyle w:val="BodyText"/>
            </w:pPr>
            <w:r w:rsidRPr="00A07B2D">
              <w:t>1.6</w:t>
            </w:r>
          </w:p>
        </w:tc>
        <w:tc>
          <w:tcPr>
            <w:tcW w:w="5678" w:type="dxa"/>
            <w:tcBorders>
              <w:top w:val="nil"/>
              <w:left w:val="nil"/>
              <w:bottom w:val="nil"/>
              <w:right w:val="nil"/>
            </w:tcBorders>
            <w:tcMar>
              <w:top w:w="0" w:type="dxa"/>
              <w:left w:w="62" w:type="dxa"/>
              <w:bottom w:w="0" w:type="dxa"/>
              <w:right w:w="62" w:type="dxa"/>
            </w:tcMar>
          </w:tcPr>
          <w:p w:rsidR="00000000" w:rsidRPr="00A07B2D" w:rsidP="00A07B2D">
            <w:pPr>
              <w:pStyle w:val="BodyText"/>
            </w:pPr>
            <w:r w:rsidRPr="00A07B2D">
              <w:rPr>
                <w:rStyle w:val="BoldandItalics"/>
              </w:rPr>
              <w:t>Distribution method</w:t>
            </w:r>
            <w:r w:rsidRPr="00A07B2D">
              <w:t xml:space="preserve"> is determined to ensure that the most c</w:t>
            </w:r>
            <w:r w:rsidRPr="00A07B2D">
              <w:t>urrent data is available.</w:t>
            </w:r>
          </w:p>
        </w:tc>
      </w:tr>
    </w:tbl>
    <w:p w:rsidR="00000000" w:rsidRPr="00A07B2D" w:rsidP="00A07B2D">
      <w:pPr>
        <w:pStyle w:val="BodyText"/>
      </w:pPr>
    </w:p>
    <w:tbl>
      <w:tblPr>
        <w:tblW w:w="0" w:type="auto"/>
        <w:tblLayout w:type="fixed"/>
        <w:tblCellMar>
          <w:left w:w="62" w:type="dxa"/>
          <w:right w:w="62" w:type="dxa"/>
        </w:tblCellMar>
        <w:tblLook w:val="0000"/>
      </w:tblPr>
      <w:tblGrid>
        <w:gridCol w:w="686"/>
        <w:gridCol w:w="1985"/>
        <w:gridCol w:w="779"/>
        <w:gridCol w:w="5678"/>
      </w:tblGrid>
      <w:tr w:rsidTr="00A07B2D">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rsidP="00A07B2D">
            <w:pPr>
              <w:pStyle w:val="BodyText"/>
              <w:rPr>
                <w:lang w:val="en-NZ"/>
              </w:rPr>
            </w:pPr>
            <w:r w:rsidRPr="00A07B2D">
              <w:t>2</w:t>
            </w:r>
          </w:p>
        </w:tc>
        <w:tc>
          <w:tcPr>
            <w:tcW w:w="1985" w:type="dxa"/>
            <w:vMerge w:val="restart"/>
            <w:tcBorders>
              <w:top w:val="nil"/>
              <w:left w:val="nil"/>
              <w:bottom w:val="nil"/>
              <w:right w:val="nil"/>
            </w:tcBorders>
            <w:tcMar>
              <w:top w:w="0" w:type="dxa"/>
              <w:left w:w="62" w:type="dxa"/>
              <w:bottom w:w="0" w:type="dxa"/>
              <w:right w:w="62" w:type="dxa"/>
            </w:tcMar>
          </w:tcPr>
          <w:p w:rsidR="00000000" w:rsidP="00A07B2D">
            <w:pPr>
              <w:pStyle w:val="BodyText"/>
              <w:rPr>
                <w:lang w:val="en-NZ"/>
              </w:rPr>
            </w:pPr>
            <w:r w:rsidRPr="00A07B2D">
              <w:t>Access and retrieve spatial data.</w:t>
            </w:r>
          </w:p>
        </w:tc>
        <w:tc>
          <w:tcPr>
            <w:tcW w:w="779" w:type="dxa"/>
            <w:tcBorders>
              <w:top w:val="nil"/>
              <w:left w:val="nil"/>
              <w:bottom w:val="nil"/>
              <w:right w:val="nil"/>
            </w:tcBorders>
            <w:tcMar>
              <w:top w:w="0" w:type="dxa"/>
              <w:left w:w="62" w:type="dxa"/>
              <w:bottom w:w="0" w:type="dxa"/>
              <w:right w:w="62" w:type="dxa"/>
            </w:tcMar>
          </w:tcPr>
          <w:p w:rsidR="00000000" w:rsidP="00A07B2D">
            <w:pPr>
              <w:pStyle w:val="BodyText"/>
              <w:rPr>
                <w:lang w:val="en-NZ"/>
              </w:rPr>
            </w:pPr>
            <w:r w:rsidRPr="00A07B2D">
              <w:t>2.1</w:t>
            </w:r>
          </w:p>
        </w:tc>
        <w:tc>
          <w:tcPr>
            <w:tcW w:w="5678" w:type="dxa"/>
            <w:tcBorders>
              <w:top w:val="nil"/>
              <w:left w:val="nil"/>
              <w:bottom w:val="nil"/>
              <w:right w:val="nil"/>
            </w:tcBorders>
            <w:tcMar>
              <w:top w:w="0" w:type="dxa"/>
              <w:left w:w="62" w:type="dxa"/>
              <w:bottom w:w="0" w:type="dxa"/>
              <w:right w:w="62" w:type="dxa"/>
            </w:tcMar>
          </w:tcPr>
          <w:p w:rsidR="00000000" w:rsidP="00A07B2D">
            <w:pPr>
              <w:pStyle w:val="BodyText"/>
              <w:rPr>
                <w:lang w:val="en-NZ"/>
              </w:rPr>
            </w:pPr>
            <w:r w:rsidRPr="00A07B2D">
              <w:t>Indexing system is used to locate spatial data source.</w:t>
            </w:r>
          </w:p>
        </w:tc>
      </w:tr>
      <w:tr w:rsidTr="00A07B2D">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85"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A07B2D">
            <w:pPr>
              <w:pStyle w:val="BodyText"/>
              <w:rPr>
                <w:lang w:val="en-NZ"/>
              </w:rPr>
            </w:pPr>
            <w:r w:rsidRPr="00A07B2D">
              <w:t>2.2</w:t>
            </w:r>
          </w:p>
        </w:tc>
        <w:tc>
          <w:tcPr>
            <w:tcW w:w="5678" w:type="dxa"/>
            <w:tcBorders>
              <w:top w:val="nil"/>
              <w:left w:val="nil"/>
              <w:bottom w:val="nil"/>
              <w:right w:val="nil"/>
            </w:tcBorders>
            <w:tcMar>
              <w:top w:w="0" w:type="dxa"/>
              <w:left w:w="62" w:type="dxa"/>
              <w:bottom w:w="0" w:type="dxa"/>
              <w:right w:w="62" w:type="dxa"/>
            </w:tcMar>
          </w:tcPr>
          <w:p w:rsidR="00000000" w:rsidRPr="00A07B2D" w:rsidP="00A07B2D">
            <w:pPr>
              <w:pStyle w:val="BodyText"/>
            </w:pPr>
            <w:r w:rsidRPr="00A07B2D">
              <w:t>Spatial data is translated into required format where necessary.</w:t>
            </w:r>
          </w:p>
        </w:tc>
      </w:tr>
    </w:tbl>
    <w:p w:rsidR="00000000" w:rsidRPr="00A07B2D" w:rsidP="00A07B2D">
      <w:pPr>
        <w:pStyle w:val="BodyText"/>
      </w:pPr>
    </w:p>
    <w:tbl>
      <w:tblPr>
        <w:tblW w:w="0" w:type="auto"/>
        <w:tblLayout w:type="fixed"/>
        <w:tblCellMar>
          <w:left w:w="62" w:type="dxa"/>
          <w:right w:w="62" w:type="dxa"/>
        </w:tblCellMar>
        <w:tblLook w:val="0000"/>
      </w:tblPr>
      <w:tblGrid>
        <w:gridCol w:w="678"/>
        <w:gridCol w:w="1962"/>
        <w:gridCol w:w="770"/>
        <w:gridCol w:w="5610"/>
      </w:tblGrid>
      <w:tr w:rsidTr="00A07B2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A07B2D">
            <w:pPr>
              <w:pStyle w:val="BodyText"/>
              <w:rPr>
                <w:lang w:val="en-NZ"/>
              </w:rPr>
            </w:pPr>
            <w:r w:rsidRPr="00A07B2D">
              <w:t>3</w:t>
            </w:r>
          </w:p>
        </w:tc>
        <w:tc>
          <w:tcPr>
            <w:tcW w:w="1962" w:type="dxa"/>
            <w:vMerge w:val="restart"/>
            <w:tcBorders>
              <w:top w:val="nil"/>
              <w:left w:val="nil"/>
              <w:bottom w:val="nil"/>
              <w:right w:val="nil"/>
            </w:tcBorders>
            <w:tcMar>
              <w:top w:w="0" w:type="dxa"/>
              <w:left w:w="62" w:type="dxa"/>
              <w:bottom w:w="0" w:type="dxa"/>
              <w:right w:w="62" w:type="dxa"/>
            </w:tcMar>
          </w:tcPr>
          <w:p w:rsidR="00000000" w:rsidP="00A07B2D">
            <w:pPr>
              <w:pStyle w:val="BodyText"/>
              <w:rPr>
                <w:lang w:val="en-NZ"/>
              </w:rPr>
            </w:pPr>
            <w:r w:rsidRPr="00A07B2D">
              <w:t>Manage contingencies.</w:t>
            </w:r>
          </w:p>
        </w:tc>
        <w:tc>
          <w:tcPr>
            <w:tcW w:w="770" w:type="dxa"/>
            <w:tcBorders>
              <w:top w:val="nil"/>
              <w:left w:val="nil"/>
              <w:bottom w:val="nil"/>
              <w:right w:val="nil"/>
            </w:tcBorders>
            <w:tcMar>
              <w:top w:w="0" w:type="dxa"/>
              <w:left w:w="62" w:type="dxa"/>
              <w:bottom w:w="0" w:type="dxa"/>
              <w:right w:w="62" w:type="dxa"/>
            </w:tcMar>
          </w:tcPr>
          <w:p w:rsidR="00000000" w:rsidP="00A07B2D">
            <w:pPr>
              <w:pStyle w:val="BodyText"/>
              <w:rPr>
                <w:lang w:val="en-NZ"/>
              </w:rPr>
            </w:pPr>
            <w:r w:rsidRPr="00A07B2D">
              <w:t>3.1</w:t>
            </w:r>
          </w:p>
        </w:tc>
        <w:tc>
          <w:tcPr>
            <w:tcW w:w="5610" w:type="dxa"/>
            <w:tcBorders>
              <w:top w:val="nil"/>
              <w:left w:val="nil"/>
              <w:bottom w:val="nil"/>
              <w:right w:val="nil"/>
            </w:tcBorders>
            <w:tcMar>
              <w:top w:w="0" w:type="dxa"/>
              <w:left w:w="62" w:type="dxa"/>
              <w:bottom w:w="0" w:type="dxa"/>
              <w:right w:w="62" w:type="dxa"/>
            </w:tcMar>
          </w:tcPr>
          <w:p w:rsidR="00000000" w:rsidP="00A07B2D">
            <w:pPr>
              <w:pStyle w:val="BodyText"/>
              <w:rPr>
                <w:lang w:val="en-NZ"/>
              </w:rPr>
            </w:pPr>
            <w:r w:rsidRPr="00A07B2D">
              <w:t xml:space="preserve">Reasonable </w:t>
            </w:r>
            <w:r w:rsidRPr="00A07B2D">
              <w:rPr>
                <w:rStyle w:val="BoldandItalics"/>
              </w:rPr>
              <w:t>contingencies</w:t>
            </w:r>
            <w:r w:rsidRPr="00A07B2D">
              <w:t xml:space="preserve"> and possible solutions to anticipated problems are considered in the development of a </w:t>
            </w:r>
            <w:r w:rsidRPr="00A07B2D">
              <w:rPr>
                <w:rStyle w:val="BoldandItalics"/>
              </w:rPr>
              <w:t>risk management plan</w:t>
            </w:r>
            <w:r w:rsidRPr="00A07B2D">
              <w:t>.</w:t>
            </w:r>
          </w:p>
        </w:tc>
      </w:tr>
      <w:tr w:rsidTr="00A07B2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07B2D">
            <w:pPr>
              <w:pStyle w:val="BodyText"/>
              <w:rPr>
                <w:lang w:val="en-NZ"/>
              </w:rPr>
            </w:pPr>
            <w:r w:rsidRPr="00A07B2D">
              <w:t>3.2</w:t>
            </w:r>
          </w:p>
        </w:tc>
        <w:tc>
          <w:tcPr>
            <w:tcW w:w="5610" w:type="dxa"/>
            <w:tcBorders>
              <w:top w:val="nil"/>
              <w:left w:val="nil"/>
              <w:bottom w:val="nil"/>
              <w:right w:val="nil"/>
            </w:tcBorders>
            <w:tcMar>
              <w:top w:w="0" w:type="dxa"/>
              <w:left w:w="62" w:type="dxa"/>
              <w:bottom w:w="0" w:type="dxa"/>
              <w:right w:w="62" w:type="dxa"/>
            </w:tcMar>
          </w:tcPr>
          <w:p w:rsidR="00000000" w:rsidRPr="00A07B2D" w:rsidP="00A07B2D">
            <w:pPr>
              <w:pStyle w:val="BodyText"/>
            </w:pPr>
            <w:r w:rsidRPr="00A07B2D">
              <w:t>Contingency plans are implemented where necessary.</w:t>
            </w:r>
          </w:p>
        </w:tc>
      </w:tr>
    </w:tbl>
    <w:p w:rsidR="00A729D9" w:rsidP="00A07B2D">
      <w:pPr>
        <w:pStyle w:val="BodyText"/>
      </w:pPr>
    </w:p>
    <w:p w:rsidR="00A729D9" w:rsidP="00A07B2D">
      <w:pPr>
        <w:pStyle w:val="BodyText"/>
      </w:pPr>
    </w:p>
    <w:p w:rsidR="00000000" w:rsidRPr="00A07B2D" w:rsidP="00A07B2D">
      <w:pPr>
        <w:pStyle w:val="Heading1"/>
      </w:pPr>
      <w:bookmarkStart w:id="9" w:name="O_507718"/>
      <w:bookmarkEnd w:id="9"/>
      <w:r w:rsidRPr="00A07B2D">
        <w:t>Required Skills and Knowledge</w:t>
      </w:r>
    </w:p>
    <w:tbl>
      <w:tblPr>
        <w:tblW w:w="0" w:type="auto"/>
        <w:tblLayout w:type="fixed"/>
        <w:tblCellMar>
          <w:left w:w="62" w:type="dxa"/>
          <w:right w:w="62" w:type="dxa"/>
        </w:tblCellMar>
        <w:tblLook w:val="0000"/>
      </w:tblPr>
      <w:tblGrid>
        <w:gridCol w:w="8542"/>
      </w:tblGrid>
      <w:tr w:rsidTr="00A07B2D">
        <w:tblPrEx>
          <w:tblW w:w="0" w:type="auto"/>
          <w:tblLayout w:type="fixed"/>
          <w:tblCellMar>
            <w:left w:w="62" w:type="dxa"/>
            <w:right w:w="62" w:type="dxa"/>
          </w:tblCellMar>
          <w:tblLook w:val="0000"/>
        </w:tblPrEx>
        <w:tc>
          <w:tcPr>
            <w:tcW w:w="8542" w:type="dxa"/>
            <w:tcBorders>
              <w:top w:val="nil"/>
              <w:left w:val="nil"/>
              <w:bottom w:val="nil"/>
              <w:right w:val="nil"/>
            </w:tcBorders>
            <w:tcMar>
              <w:top w:w="0" w:type="dxa"/>
              <w:left w:w="62" w:type="dxa"/>
              <w:bottom w:w="0" w:type="dxa"/>
              <w:right w:w="62" w:type="dxa"/>
            </w:tcMar>
          </w:tcPr>
          <w:p w:rsidR="00000000" w:rsidP="00A07B2D">
            <w:pPr>
              <w:pStyle w:val="BodyText"/>
              <w:rPr>
                <w:lang w:val="en-NZ"/>
              </w:rPr>
            </w:pPr>
            <w:r w:rsidRPr="00A07B2D">
              <w:t>This section describes the essential skills and knowledge and their level, required for this unit.</w:t>
            </w:r>
          </w:p>
        </w:tc>
      </w:tr>
      <w:tr w:rsidTr="00A07B2D">
        <w:tblPrEx>
          <w:tblW w:w="0" w:type="auto"/>
          <w:tblLayout w:type="fixed"/>
          <w:tblCellMar>
            <w:left w:w="62" w:type="dxa"/>
            <w:right w:w="62" w:type="dxa"/>
          </w:tblCellMar>
          <w:tblLook w:val="0000"/>
        </w:tblPrEx>
        <w:tc>
          <w:tcPr>
            <w:tcW w:w="8542" w:type="dxa"/>
            <w:tcBorders>
              <w:top w:val="nil"/>
              <w:left w:val="nil"/>
              <w:bottom w:val="nil"/>
              <w:right w:val="nil"/>
            </w:tcBorders>
            <w:tcMar>
              <w:top w:w="0" w:type="dxa"/>
              <w:left w:w="62" w:type="dxa"/>
              <w:bottom w:w="0" w:type="dxa"/>
              <w:right w:w="62" w:type="dxa"/>
            </w:tcMar>
          </w:tcPr>
          <w:p w:rsidR="00000000" w:rsidRPr="00A07B2D" w:rsidP="00A07B2D">
            <w:pPr>
              <w:pStyle w:val="BodyText"/>
            </w:pPr>
            <w:r w:rsidRPr="00A07B2D">
              <w:rPr>
                <w:rStyle w:val="SpecialBold"/>
              </w:rPr>
              <w:t>Required skills</w:t>
            </w:r>
          </w:p>
          <w:p w:rsidR="00000000" w:rsidRPr="00A07B2D" w:rsidP="00A07B2D">
            <w:pPr>
              <w:pStyle w:val="ListBullet"/>
            </w:pPr>
            <w:r w:rsidRPr="00A07B2D">
              <w:t>communication skills to:</w:t>
            </w:r>
          </w:p>
          <w:p w:rsidR="00000000" w:rsidRPr="00A07B2D" w:rsidP="00A07B2D">
            <w:pPr>
              <w:pStyle w:val="ListBullet2"/>
            </w:pPr>
            <w:r w:rsidRPr="00A07B2D">
              <w:t>discuss vocational issues effectively with colleagues</w:t>
            </w:r>
          </w:p>
          <w:p w:rsidR="00000000" w:rsidRPr="00A07B2D" w:rsidP="00A07B2D">
            <w:pPr>
              <w:pStyle w:val="ListBullet2"/>
            </w:pPr>
            <w:r w:rsidRPr="00A07B2D">
              <w:t>impart knowledge and ideas through oral, written and visual means</w:t>
            </w:r>
          </w:p>
          <w:p w:rsidR="00000000" w:rsidRPr="00A07B2D" w:rsidP="00A07B2D">
            <w:pPr>
              <w:pStyle w:val="ListBullet"/>
            </w:pPr>
            <w:r w:rsidRPr="00A07B2D">
              <w:t>computer skills to network</w:t>
            </w:r>
          </w:p>
          <w:p w:rsidR="00000000" w:rsidRPr="00A07B2D" w:rsidP="00A07B2D">
            <w:pPr>
              <w:pStyle w:val="ListBullet"/>
            </w:pPr>
            <w:r w:rsidRPr="00A07B2D">
              <w:t>literacy skills to:</w:t>
            </w:r>
          </w:p>
          <w:p w:rsidR="00000000" w:rsidRPr="00A07B2D" w:rsidP="00A07B2D">
            <w:pPr>
              <w:pStyle w:val="ListBullet2"/>
            </w:pPr>
            <w:r w:rsidRPr="00A07B2D">
              <w:t>assess and use workplace information</w:t>
            </w:r>
          </w:p>
          <w:p w:rsidR="00000000" w:rsidRPr="00A07B2D" w:rsidP="00A07B2D">
            <w:pPr>
              <w:pStyle w:val="ListBullet2"/>
            </w:pPr>
            <w:r w:rsidRPr="00A07B2D">
              <w:t>read and interpret datums and projections</w:t>
            </w:r>
          </w:p>
          <w:p w:rsidR="00000000" w:rsidRPr="00A07B2D" w:rsidP="00A07B2D">
            <w:pPr>
              <w:pStyle w:val="ListBullet2"/>
            </w:pPr>
            <w:r w:rsidRPr="00A07B2D">
              <w:t>read and record data and write routine reports</w:t>
            </w:r>
          </w:p>
          <w:p w:rsidR="00000000" w:rsidRPr="00A07B2D" w:rsidP="00A07B2D">
            <w:pPr>
              <w:pStyle w:val="ListBullet2"/>
            </w:pPr>
            <w:r w:rsidRPr="00A07B2D">
              <w:t>research and access routine sources of spatial data</w:t>
            </w:r>
          </w:p>
          <w:p w:rsidR="00000000" w:rsidRPr="00A07B2D" w:rsidP="00A07B2D">
            <w:pPr>
              <w:pStyle w:val="ListBullet"/>
            </w:pPr>
            <w:r w:rsidRPr="00A07B2D">
              <w:t>numeracy skills to:</w:t>
            </w:r>
          </w:p>
          <w:p w:rsidR="00000000" w:rsidRPr="00A07B2D" w:rsidP="00A07B2D">
            <w:pPr>
              <w:pStyle w:val="ListBullet2"/>
            </w:pPr>
            <w:r w:rsidRPr="00A07B2D">
              <w:t>record and interpret statistics</w:t>
            </w:r>
          </w:p>
          <w:p w:rsidR="00000000" w:rsidRPr="00A07B2D" w:rsidP="00A07B2D">
            <w:pPr>
              <w:pStyle w:val="ListBullet2"/>
            </w:pPr>
            <w:r w:rsidRPr="00A07B2D">
              <w:t>record with accuracy and precision</w:t>
            </w:r>
          </w:p>
          <w:p w:rsidR="00000000" w:rsidRPr="00A07B2D" w:rsidP="00A07B2D">
            <w:pPr>
              <w:pStyle w:val="ListBullet2"/>
            </w:pPr>
            <w:r w:rsidRPr="00A07B2D">
              <w:t>undertake computations</w:t>
            </w:r>
          </w:p>
          <w:p w:rsidR="00000000" w:rsidRPr="00A07B2D" w:rsidP="00A07B2D">
            <w:pPr>
              <w:pStyle w:val="ListBullet"/>
            </w:pPr>
            <w:r w:rsidRPr="00A07B2D">
              <w:t>organisational skills to:</w:t>
            </w:r>
          </w:p>
          <w:p w:rsidR="00000000" w:rsidRPr="00A07B2D" w:rsidP="00A07B2D">
            <w:pPr>
              <w:pStyle w:val="ListBullet2"/>
            </w:pPr>
            <w:r w:rsidRPr="00A07B2D">
              <w:t>maintain information systems</w:t>
            </w:r>
          </w:p>
          <w:p w:rsidR="00000000" w:rsidRPr="00A07B2D" w:rsidP="00A07B2D">
            <w:pPr>
              <w:pStyle w:val="ListBullet2"/>
            </w:pPr>
            <w:r w:rsidRPr="00A07B2D">
              <w:t>prioritise activities to meet contr</w:t>
            </w:r>
            <w:r w:rsidRPr="00A07B2D">
              <w:t>actual requirements</w:t>
            </w:r>
          </w:p>
          <w:p w:rsidR="00000000" w:rsidRPr="00A07B2D" w:rsidP="00A07B2D">
            <w:pPr>
              <w:pStyle w:val="ListBullet"/>
            </w:pPr>
            <w:r w:rsidRPr="00A07B2D">
              <w:t>spatial skills to:</w:t>
            </w:r>
          </w:p>
          <w:p w:rsidR="00000000" w:rsidRPr="00A07B2D" w:rsidP="00A07B2D">
            <w:pPr>
              <w:pStyle w:val="ListBullet2"/>
            </w:pPr>
            <w:r w:rsidRPr="00A07B2D">
              <w:t>archive and retrieve spatial data</w:t>
            </w:r>
          </w:p>
          <w:p w:rsidR="00000000" w:rsidRPr="00A07B2D" w:rsidP="00A07B2D">
            <w:pPr>
              <w:pStyle w:val="ListBullet2"/>
            </w:pPr>
            <w:r w:rsidRPr="00A07B2D">
              <w:t>perform spatial data management and manipulation</w:t>
            </w:r>
          </w:p>
          <w:p w:rsidR="00000000" w:rsidRPr="00A07B2D" w:rsidP="00A07B2D">
            <w:pPr>
              <w:pStyle w:val="ListBullet2"/>
            </w:pPr>
            <w:r w:rsidRPr="00A07B2D">
              <w:t>manage files</w:t>
            </w:r>
          </w:p>
          <w:p w:rsidR="00000000" w:rsidRPr="00A07B2D" w:rsidP="00A07B2D">
            <w:pPr>
              <w:pStyle w:val="BodyText"/>
            </w:pPr>
          </w:p>
          <w:p w:rsidR="00000000" w:rsidRPr="00A07B2D" w:rsidP="00A07B2D">
            <w:pPr>
              <w:pStyle w:val="BodyText"/>
            </w:pPr>
            <w:r w:rsidRPr="00A07B2D">
              <w:rPr>
                <w:rStyle w:val="SpecialBold"/>
              </w:rPr>
              <w:t>Required knowledge</w:t>
            </w:r>
          </w:p>
          <w:p w:rsidR="00000000" w:rsidRPr="00A07B2D" w:rsidP="00A07B2D">
            <w:pPr>
              <w:pStyle w:val="ListBullet"/>
            </w:pPr>
            <w:r w:rsidRPr="00A07B2D">
              <w:t>classification systems, processes and products linked to specification</w:t>
            </w:r>
          </w:p>
          <w:p w:rsidR="00000000" w:rsidRPr="00A07B2D" w:rsidP="00A07B2D">
            <w:pPr>
              <w:pStyle w:val="ListBullet"/>
            </w:pPr>
            <w:r w:rsidRPr="00A07B2D">
              <w:t>corporate information database environment</w:t>
            </w:r>
          </w:p>
          <w:p w:rsidR="00000000" w:rsidRPr="00A07B2D" w:rsidP="00A07B2D">
            <w:pPr>
              <w:pStyle w:val="ListBullet"/>
            </w:pPr>
            <w:r w:rsidRPr="00A07B2D">
              <w:t>data retrieval methods, querying and browsing</w:t>
            </w:r>
          </w:p>
          <w:p w:rsidR="00000000" w:rsidRPr="00A07B2D" w:rsidP="00A07B2D">
            <w:pPr>
              <w:pStyle w:val="ListBullet"/>
            </w:pPr>
            <w:r w:rsidRPr="00A07B2D">
              <w:t>downloading global navigation satellite system (GNSS) and GIS</w:t>
            </w:r>
          </w:p>
          <w:p w:rsidR="00000000" w:rsidRPr="00A07B2D" w:rsidP="00A07B2D">
            <w:pPr>
              <w:pStyle w:val="ListBullet"/>
            </w:pPr>
            <w:r w:rsidRPr="00A07B2D">
              <w:t>network and security guidelines</w:t>
            </w:r>
          </w:p>
          <w:p w:rsidR="00000000" w:rsidRPr="00A07B2D" w:rsidP="00A07B2D">
            <w:pPr>
              <w:pStyle w:val="ListBullet"/>
            </w:pPr>
            <w:r w:rsidRPr="00A07B2D">
              <w:t>OHS requirements relating to safe storage arrangements</w:t>
            </w:r>
          </w:p>
          <w:p w:rsidR="00000000" w:rsidRPr="00A07B2D" w:rsidP="00A07B2D">
            <w:pPr>
              <w:pStyle w:val="ListBullet"/>
            </w:pPr>
            <w:r w:rsidRPr="00A07B2D">
              <w:t>organisational sto</w:t>
            </w:r>
            <w:r w:rsidRPr="00A07B2D">
              <w:t>rage index system</w:t>
            </w:r>
          </w:p>
          <w:p w:rsidR="00000000" w:rsidRPr="00A07B2D" w:rsidP="00A07B2D">
            <w:pPr>
              <w:pStyle w:val="ListBullet"/>
            </w:pPr>
            <w:r w:rsidRPr="00A07B2D">
              <w:t>reference systems and their relationship to each other</w:t>
            </w:r>
          </w:p>
          <w:p w:rsidR="00000000" w:rsidRPr="00A07B2D" w:rsidP="00A07B2D">
            <w:pPr>
              <w:pStyle w:val="ListBullet"/>
            </w:pPr>
            <w:r w:rsidRPr="00A07B2D">
              <w:t>risk management principles as applied to spatial data storage</w:t>
            </w:r>
          </w:p>
          <w:p w:rsidR="00000000" w:rsidRPr="00A07B2D" w:rsidP="00A07B2D">
            <w:pPr>
              <w:pStyle w:val="ListBullet"/>
            </w:pPr>
            <w:r w:rsidRPr="00A07B2D">
              <w:t>spatial data formats</w:t>
            </w:r>
          </w:p>
          <w:p w:rsidR="00000000" w:rsidRPr="00A07B2D" w:rsidP="00A07B2D">
            <w:pPr>
              <w:pStyle w:val="ListBullet"/>
            </w:pPr>
            <w:r w:rsidRPr="00A07B2D">
              <w:t>spatial data management practices</w:t>
            </w:r>
          </w:p>
          <w:p w:rsidR="00000000" w:rsidRPr="00A07B2D" w:rsidP="00A07B2D">
            <w:pPr>
              <w:pStyle w:val="ListBullet"/>
            </w:pPr>
            <w:r w:rsidRPr="00A07B2D">
              <w:t>spatial data structure requirements</w:t>
            </w:r>
          </w:p>
          <w:p w:rsidR="00000000" w:rsidRPr="00A07B2D" w:rsidP="00A07B2D">
            <w:pPr>
              <w:pStyle w:val="ListBullet"/>
            </w:pPr>
            <w:r w:rsidRPr="00A07B2D">
              <w:t>storage media</w:t>
            </w:r>
          </w:p>
          <w:p w:rsidR="00000000" w:rsidRPr="00A07B2D" w:rsidP="00A07B2D">
            <w:pPr>
              <w:pStyle w:val="ListBullet"/>
            </w:pPr>
            <w:r w:rsidRPr="00A07B2D">
              <w:t>spatial reference systems</w:t>
            </w:r>
          </w:p>
        </w:tc>
      </w:tr>
    </w:tbl>
    <w:p w:rsidR="00000000" w:rsidRPr="00A07B2D" w:rsidP="00A07B2D">
      <w:pPr>
        <w:pStyle w:val="BodyText"/>
      </w:pPr>
    </w:p>
    <w:p w:rsidR="00000000" w:rsidRPr="00A07B2D" w:rsidP="00A07B2D">
      <w:pPr>
        <w:pStyle w:val="AllowPageBreak"/>
      </w:pPr>
    </w:p>
    <w:p w:rsidR="00000000" w:rsidRPr="00A07B2D" w:rsidP="00A07B2D">
      <w:pPr>
        <w:pStyle w:val="Heading1"/>
      </w:pPr>
      <w:bookmarkStart w:id="10" w:name="O_507719"/>
      <w:bookmarkEnd w:id="10"/>
      <w:r w:rsidRPr="00A07B2D">
        <w:t>Evidence Guide</w:t>
      </w:r>
    </w:p>
    <w:tbl>
      <w:tblPr>
        <w:tblW w:w="0" w:type="auto"/>
        <w:tblLayout w:type="fixed"/>
        <w:tblCellMar>
          <w:left w:w="62" w:type="dxa"/>
          <w:right w:w="62" w:type="dxa"/>
        </w:tblCellMar>
        <w:tblLook w:val="0000"/>
      </w:tblPr>
      <w:tblGrid>
        <w:gridCol w:w="2805"/>
        <w:gridCol w:w="5807"/>
      </w:tblGrid>
      <w:tr w:rsidTr="00A07B2D">
        <w:tblPrEx>
          <w:tblW w:w="0" w:type="auto"/>
          <w:tblLayout w:type="fixed"/>
          <w:tblCellMar>
            <w:left w:w="62" w:type="dxa"/>
            <w:right w:w="62" w:type="dxa"/>
          </w:tblCellMar>
          <w:tblLook w:val="0000"/>
        </w:tblPrEx>
        <w:tc>
          <w:tcPr>
            <w:tcW w:w="8612" w:type="dxa"/>
            <w:gridSpan w:val="2"/>
            <w:tcBorders>
              <w:top w:val="nil"/>
              <w:left w:val="nil"/>
              <w:bottom w:val="nil"/>
              <w:right w:val="nil"/>
            </w:tcBorders>
            <w:tcMar>
              <w:top w:w="0" w:type="dxa"/>
              <w:left w:w="62" w:type="dxa"/>
              <w:bottom w:w="0" w:type="dxa"/>
              <w:right w:w="62" w:type="dxa"/>
            </w:tcMar>
          </w:tcPr>
          <w:p w:rsidR="00000000" w:rsidP="00A07B2D">
            <w:pPr>
              <w:pStyle w:val="BodyText"/>
              <w:rPr>
                <w:lang w:val="en-NZ"/>
              </w:rPr>
            </w:pPr>
            <w:r w:rsidRPr="00A07B2D">
              <w:t xml:space="preserve">The evidence guide provides advice on assessment and must be read in conjunction with the performance criteria, required skills and knowledge, </w:t>
            </w:r>
            <w:r w:rsidRPr="00A07B2D">
              <w:t>the range statement and the Assessment Guidelines for this Training Package.</w:t>
            </w:r>
          </w:p>
        </w:tc>
      </w:tr>
      <w:tr w:rsidTr="00A07B2D">
        <w:tblPrEx>
          <w:tblW w:w="0" w:type="auto"/>
          <w:tblLayout w:type="fixed"/>
          <w:tblCellMar>
            <w:left w:w="62" w:type="dxa"/>
            <w:right w:w="62" w:type="dxa"/>
          </w:tblCellMar>
          <w:tblLook w:val="0000"/>
        </w:tblPrEx>
        <w:tc>
          <w:tcPr>
            <w:tcW w:w="2805" w:type="dxa"/>
            <w:tcBorders>
              <w:top w:val="nil"/>
              <w:left w:val="nil"/>
              <w:bottom w:val="nil"/>
              <w:right w:val="nil"/>
            </w:tcBorders>
            <w:tcMar>
              <w:top w:w="0" w:type="dxa"/>
              <w:left w:w="62" w:type="dxa"/>
              <w:bottom w:w="0" w:type="dxa"/>
              <w:right w:w="62" w:type="dxa"/>
            </w:tcMar>
          </w:tcPr>
          <w:p w:rsidR="00000000" w:rsidP="00A07B2D">
            <w:pPr>
              <w:pStyle w:val="BodyText"/>
              <w:rPr>
                <w:lang w:val="en-NZ"/>
              </w:rPr>
            </w:pPr>
            <w:r w:rsidRPr="00A07B2D">
              <w:rPr>
                <w:rStyle w:val="SpecialBold"/>
              </w:rPr>
              <w:t>Overview of assessment</w:t>
            </w:r>
          </w:p>
        </w:tc>
        <w:tc>
          <w:tcPr>
            <w:tcW w:w="5807" w:type="dxa"/>
            <w:tcBorders>
              <w:top w:val="nil"/>
              <w:left w:val="nil"/>
              <w:bottom w:val="nil"/>
              <w:right w:val="nil"/>
            </w:tcBorders>
            <w:tcMar>
              <w:top w:w="0" w:type="dxa"/>
              <w:left w:w="62" w:type="dxa"/>
              <w:bottom w:w="0" w:type="dxa"/>
              <w:right w:w="62" w:type="dxa"/>
            </w:tcMar>
          </w:tcPr>
          <w:p w:rsidR="00000000" w:rsidP="00A07B2D">
            <w:pPr>
              <w:pStyle w:val="BodyText"/>
              <w:rPr>
                <w:lang w:val="en-NZ"/>
              </w:rPr>
            </w:pPr>
            <w:r w:rsidRPr="00A07B2D">
              <w:t>This unit of competency could be assessed on its own or in combination with other units relevant to the job function, for example CPPSIS4021A</w:t>
            </w:r>
            <w:r w:rsidRPr="00A07B2D">
              <w:rPr>
                <w:rStyle w:val="Emphasis"/>
              </w:rPr>
              <w:t xml:space="preserve"> </w:t>
            </w:r>
            <w:r w:rsidRPr="00A07B2D">
              <w:t>Maintain spatial systems,</w:t>
            </w:r>
            <w:r w:rsidRPr="00A07B2D">
              <w:rPr>
                <w:rStyle w:val="Emphasis"/>
              </w:rPr>
              <w:t xml:space="preserve"> </w:t>
            </w:r>
            <w:r w:rsidRPr="00A07B2D">
              <w:t>CPPSIS4024A</w:t>
            </w:r>
            <w:r w:rsidRPr="00A07B2D">
              <w:rPr>
                <w:rStyle w:val="Emphasis"/>
              </w:rPr>
              <w:t xml:space="preserve"> </w:t>
            </w:r>
            <w:r w:rsidRPr="00A07B2D">
              <w:t>Collect and set out spatial data, CPPSIS4025A</w:t>
            </w:r>
            <w:r w:rsidRPr="00A07B2D">
              <w:rPr>
                <w:rStyle w:val="Emphasis"/>
              </w:rPr>
              <w:t xml:space="preserve"> </w:t>
            </w:r>
            <w:r w:rsidRPr="00A07B2D">
              <w:t>Collect basic GNSS data,</w:t>
            </w:r>
            <w:r w:rsidRPr="00A07B2D">
              <w:rPr>
                <w:rStyle w:val="Emphasis"/>
              </w:rPr>
              <w:t xml:space="preserve"> </w:t>
            </w:r>
            <w:r w:rsidRPr="00A07B2D">
              <w:t>and CPPSIS4034A</w:t>
            </w:r>
            <w:r w:rsidRPr="00A07B2D">
              <w:rPr>
                <w:rStyle w:val="Emphasis"/>
              </w:rPr>
              <w:t xml:space="preserve"> </w:t>
            </w:r>
            <w:r w:rsidRPr="00A07B2D">
              <w:t>Maintain spatial data.</w:t>
            </w:r>
          </w:p>
        </w:tc>
      </w:tr>
      <w:tr w:rsidTr="00A07B2D">
        <w:tblPrEx>
          <w:tblW w:w="0" w:type="auto"/>
          <w:tblLayout w:type="fixed"/>
          <w:tblCellMar>
            <w:left w:w="62" w:type="dxa"/>
            <w:right w:w="62" w:type="dxa"/>
          </w:tblCellMar>
          <w:tblLook w:val="0000"/>
        </w:tblPrEx>
        <w:tc>
          <w:tcPr>
            <w:tcW w:w="2805" w:type="dxa"/>
            <w:tcBorders>
              <w:top w:val="nil"/>
              <w:left w:val="nil"/>
              <w:bottom w:val="nil"/>
              <w:right w:val="nil"/>
            </w:tcBorders>
            <w:tcMar>
              <w:top w:w="0" w:type="dxa"/>
              <w:left w:w="62" w:type="dxa"/>
              <w:bottom w:w="0" w:type="dxa"/>
              <w:right w:w="62" w:type="dxa"/>
            </w:tcMar>
          </w:tcPr>
          <w:p w:rsidR="00000000" w:rsidP="00A07B2D">
            <w:pPr>
              <w:pStyle w:val="BodyText"/>
              <w:rPr>
                <w:lang w:val="en-NZ"/>
              </w:rPr>
            </w:pPr>
            <w:r w:rsidRPr="00A07B2D">
              <w:rPr>
                <w:rStyle w:val="SpecialBold"/>
              </w:rPr>
              <w:t>Critical aspects for assessment and evidence required to demonstrate competency in this unit</w:t>
            </w:r>
          </w:p>
        </w:tc>
        <w:tc>
          <w:tcPr>
            <w:tcW w:w="5807" w:type="dxa"/>
            <w:tcBorders>
              <w:top w:val="nil"/>
              <w:left w:val="nil"/>
              <w:bottom w:val="nil"/>
              <w:right w:val="nil"/>
            </w:tcBorders>
            <w:tcMar>
              <w:top w:w="0" w:type="dxa"/>
              <w:left w:w="62" w:type="dxa"/>
              <w:bottom w:w="0" w:type="dxa"/>
              <w:right w:w="62" w:type="dxa"/>
            </w:tcMar>
          </w:tcPr>
          <w:p w:rsidR="00000000" w:rsidRPr="00A07B2D" w:rsidP="00A07B2D">
            <w:pPr>
              <w:pStyle w:val="BodyText"/>
            </w:pPr>
            <w:r w:rsidRPr="00A07B2D">
              <w:t>A person who d</w:t>
            </w:r>
            <w:r w:rsidRPr="00A07B2D">
              <w:t>emonstrates competency in this unit must be able to provide evidence of:</w:t>
            </w:r>
          </w:p>
          <w:p w:rsidR="00000000" w:rsidRPr="00A07B2D" w:rsidP="00A07B2D">
            <w:pPr>
              <w:pStyle w:val="ListBullet"/>
            </w:pPr>
            <w:r w:rsidRPr="00A07B2D">
              <w:t>knowledge of spatial data format and reference systems</w:t>
            </w:r>
          </w:p>
          <w:p w:rsidR="00000000" w:rsidRPr="00A07B2D" w:rsidP="00A07B2D">
            <w:pPr>
              <w:pStyle w:val="ListBullet"/>
            </w:pPr>
            <w:r w:rsidRPr="00A07B2D">
              <w:t>applying data security and backup measures</w:t>
            </w:r>
          </w:p>
          <w:p w:rsidR="00000000" w:rsidRPr="00A07B2D" w:rsidP="00A07B2D">
            <w:pPr>
              <w:pStyle w:val="ListBullet"/>
            </w:pPr>
            <w:r w:rsidRPr="00A07B2D">
              <w:t>creating a workable index system</w:t>
            </w:r>
          </w:p>
          <w:p w:rsidR="00000000" w:rsidRPr="00A07B2D" w:rsidP="00A07B2D">
            <w:pPr>
              <w:pStyle w:val="ListBullet"/>
            </w:pPr>
            <w:r w:rsidRPr="00A07B2D">
              <w:t>managing contingencies</w:t>
            </w:r>
          </w:p>
          <w:p w:rsidR="00000000" w:rsidP="00A07B2D">
            <w:pPr>
              <w:pStyle w:val="ListBullet"/>
              <w:rPr>
                <w:lang w:val="en-NZ"/>
              </w:rPr>
            </w:pPr>
            <w:r w:rsidRPr="00A07B2D">
              <w:t>retrieving spatial data.</w:t>
            </w:r>
          </w:p>
        </w:tc>
      </w:tr>
      <w:tr w:rsidTr="00A07B2D">
        <w:tblPrEx>
          <w:tblW w:w="0" w:type="auto"/>
          <w:tblLayout w:type="fixed"/>
          <w:tblCellMar>
            <w:left w:w="62" w:type="dxa"/>
            <w:right w:w="62" w:type="dxa"/>
          </w:tblCellMar>
          <w:tblLook w:val="0000"/>
        </w:tblPrEx>
        <w:tc>
          <w:tcPr>
            <w:tcW w:w="2805" w:type="dxa"/>
            <w:tcBorders>
              <w:top w:val="nil"/>
              <w:left w:val="nil"/>
              <w:bottom w:val="nil"/>
              <w:right w:val="nil"/>
            </w:tcBorders>
            <w:tcMar>
              <w:top w:w="0" w:type="dxa"/>
              <w:left w:w="62" w:type="dxa"/>
              <w:bottom w:w="0" w:type="dxa"/>
              <w:right w:w="62" w:type="dxa"/>
            </w:tcMar>
          </w:tcPr>
          <w:p w:rsidR="00000000" w:rsidP="00A07B2D">
            <w:pPr>
              <w:pStyle w:val="BodyText"/>
              <w:rPr>
                <w:lang w:val="en-NZ"/>
              </w:rPr>
            </w:pPr>
            <w:r w:rsidRPr="00A07B2D">
              <w:rPr>
                <w:rStyle w:val="SpecialBold"/>
              </w:rPr>
              <w:t>Specific resources for assessment</w:t>
            </w:r>
          </w:p>
        </w:tc>
        <w:tc>
          <w:tcPr>
            <w:tcW w:w="5807" w:type="dxa"/>
            <w:tcBorders>
              <w:top w:val="nil"/>
              <w:left w:val="nil"/>
              <w:bottom w:val="nil"/>
              <w:right w:val="nil"/>
            </w:tcBorders>
            <w:tcMar>
              <w:top w:w="0" w:type="dxa"/>
              <w:left w:w="62" w:type="dxa"/>
              <w:bottom w:w="0" w:type="dxa"/>
              <w:right w:w="62" w:type="dxa"/>
            </w:tcMar>
          </w:tcPr>
          <w:p w:rsidR="00000000" w:rsidRPr="00A07B2D" w:rsidP="00A07B2D">
            <w:pPr>
              <w:pStyle w:val="BodyText"/>
            </w:pPr>
            <w:r w:rsidRPr="00A07B2D">
              <w:t>Resource implications for assessment include access to:</w:t>
            </w:r>
          </w:p>
          <w:p w:rsidR="00000000" w:rsidRPr="00A07B2D" w:rsidP="00A07B2D">
            <w:pPr>
              <w:pStyle w:val="ListBullet"/>
            </w:pPr>
            <w:r w:rsidRPr="00A07B2D">
              <w:t>assignment instructions, work plans and schedules, policy documents and duty statements</w:t>
            </w:r>
          </w:p>
          <w:p w:rsidR="00000000" w:rsidRPr="00A07B2D" w:rsidP="00A07B2D">
            <w:pPr>
              <w:pStyle w:val="ListBullet"/>
            </w:pPr>
            <w:r w:rsidRPr="00A07B2D">
              <w:t>assessment instruments, including personal planner and assessment record book</w:t>
            </w:r>
          </w:p>
          <w:p w:rsidR="00000000" w:rsidRPr="00A07B2D" w:rsidP="00A07B2D">
            <w:pPr>
              <w:pStyle w:val="ListBullet"/>
            </w:pPr>
            <w:r w:rsidRPr="00A07B2D">
              <w:t>registered training provider of assessment services</w:t>
            </w:r>
          </w:p>
          <w:p w:rsidR="00000000" w:rsidRPr="00A07B2D" w:rsidP="00A07B2D">
            <w:pPr>
              <w:pStyle w:val="ListBullet"/>
            </w:pPr>
            <w:r w:rsidRPr="00A07B2D">
              <w:t>relevant guidelines, regulations and codes of practice</w:t>
            </w:r>
          </w:p>
          <w:p w:rsidR="00000000" w:rsidRPr="00A07B2D" w:rsidP="00A07B2D">
            <w:pPr>
              <w:pStyle w:val="ListBullet"/>
            </w:pPr>
            <w:r w:rsidRPr="00A07B2D">
              <w:t>suitable venue and equipment.</w:t>
            </w:r>
          </w:p>
          <w:p w:rsidR="00000000" w:rsidRPr="00A07B2D" w:rsidP="00A07B2D">
            <w:pPr>
              <w:pStyle w:val="BodyText"/>
            </w:pPr>
            <w:r w:rsidRPr="00A07B2D">
              <w:t>Access must be provided to appropriate learning and assessment support when required.</w:t>
            </w:r>
          </w:p>
          <w:p w:rsidR="00000000" w:rsidP="00A07B2D">
            <w:pPr>
              <w:pStyle w:val="BodyText"/>
              <w:rPr>
                <w:lang w:val="en-NZ"/>
              </w:rPr>
            </w:pPr>
            <w:r w:rsidRPr="00A07B2D">
              <w:t>Where applicable, physical resou</w:t>
            </w:r>
            <w:r w:rsidRPr="00A07B2D">
              <w:t>rces should include equipment modified for people with disabilities.</w:t>
            </w:r>
          </w:p>
        </w:tc>
      </w:tr>
      <w:tr w:rsidTr="00A07B2D">
        <w:tblPrEx>
          <w:tblW w:w="0" w:type="auto"/>
          <w:tblLayout w:type="fixed"/>
          <w:tblCellMar>
            <w:left w:w="62" w:type="dxa"/>
            <w:right w:w="62" w:type="dxa"/>
          </w:tblCellMar>
          <w:tblLook w:val="0000"/>
        </w:tblPrEx>
        <w:tc>
          <w:tcPr>
            <w:tcW w:w="2805" w:type="dxa"/>
            <w:tcBorders>
              <w:top w:val="nil"/>
              <w:left w:val="nil"/>
              <w:bottom w:val="nil"/>
              <w:right w:val="nil"/>
            </w:tcBorders>
            <w:tcMar>
              <w:top w:w="0" w:type="dxa"/>
              <w:left w:w="62" w:type="dxa"/>
              <w:bottom w:w="0" w:type="dxa"/>
              <w:right w:w="62" w:type="dxa"/>
            </w:tcMar>
          </w:tcPr>
          <w:p w:rsidR="00000000" w:rsidP="00A07B2D">
            <w:pPr>
              <w:pStyle w:val="BodyText"/>
              <w:rPr>
                <w:lang w:val="en-NZ"/>
              </w:rPr>
            </w:pPr>
            <w:r w:rsidRPr="00A07B2D">
              <w:rPr>
                <w:rStyle w:val="SpecialBold"/>
              </w:rPr>
              <w:t>Context of assessment</w:t>
            </w:r>
          </w:p>
        </w:tc>
        <w:tc>
          <w:tcPr>
            <w:tcW w:w="5807" w:type="dxa"/>
            <w:tcBorders>
              <w:top w:val="nil"/>
              <w:left w:val="nil"/>
              <w:bottom w:val="nil"/>
              <w:right w:val="nil"/>
            </w:tcBorders>
            <w:tcMar>
              <w:top w:w="0" w:type="dxa"/>
              <w:left w:w="62" w:type="dxa"/>
              <w:bottom w:w="0" w:type="dxa"/>
              <w:right w:w="62" w:type="dxa"/>
            </w:tcMar>
          </w:tcPr>
          <w:p w:rsidR="00000000" w:rsidP="00A07B2D">
            <w:pPr>
              <w:pStyle w:val="BodyText"/>
              <w:rPr>
                <w:lang w:val="en-NZ"/>
              </w:rPr>
            </w:pPr>
            <w:r w:rsidRPr="00A07B2D">
              <w:t>Holistic: based on the performance criteria, evidence guide, range statement, and required skills and knowledge.</w:t>
            </w:r>
          </w:p>
        </w:tc>
      </w:tr>
      <w:tr w:rsidTr="00A07B2D">
        <w:tblPrEx>
          <w:tblW w:w="0" w:type="auto"/>
          <w:tblLayout w:type="fixed"/>
          <w:tblCellMar>
            <w:left w:w="62" w:type="dxa"/>
            <w:right w:w="62" w:type="dxa"/>
          </w:tblCellMar>
          <w:tblLook w:val="0000"/>
        </w:tblPrEx>
        <w:tc>
          <w:tcPr>
            <w:tcW w:w="2805" w:type="dxa"/>
            <w:tcBorders>
              <w:top w:val="nil"/>
              <w:left w:val="nil"/>
              <w:bottom w:val="nil"/>
              <w:right w:val="nil"/>
            </w:tcBorders>
            <w:tcMar>
              <w:top w:w="0" w:type="dxa"/>
              <w:left w:w="62" w:type="dxa"/>
              <w:bottom w:w="0" w:type="dxa"/>
              <w:right w:w="62" w:type="dxa"/>
            </w:tcMar>
          </w:tcPr>
          <w:p w:rsidR="00000000" w:rsidP="00A07B2D">
            <w:pPr>
              <w:pStyle w:val="BodyText"/>
              <w:rPr>
                <w:lang w:val="en-NZ"/>
              </w:rPr>
            </w:pPr>
            <w:r w:rsidRPr="00A07B2D">
              <w:rPr>
                <w:rStyle w:val="SpecialBold"/>
              </w:rPr>
              <w:t>Method of assessment</w:t>
            </w:r>
          </w:p>
        </w:tc>
        <w:tc>
          <w:tcPr>
            <w:tcW w:w="5807" w:type="dxa"/>
            <w:tcBorders>
              <w:top w:val="nil"/>
              <w:left w:val="nil"/>
              <w:bottom w:val="nil"/>
              <w:right w:val="nil"/>
            </w:tcBorders>
            <w:tcMar>
              <w:top w:w="0" w:type="dxa"/>
              <w:left w:w="62" w:type="dxa"/>
              <w:bottom w:w="0" w:type="dxa"/>
              <w:right w:w="62" w:type="dxa"/>
            </w:tcMar>
          </w:tcPr>
          <w:p w:rsidR="00000000" w:rsidRPr="00A07B2D" w:rsidP="00A07B2D">
            <w:pPr>
              <w:pStyle w:val="BodyText"/>
            </w:pPr>
            <w:r w:rsidRPr="00A07B2D">
              <w:t xml:space="preserve">Demonstrated over a period of time and observed by the assessor </w:t>
            </w:r>
            <w:r w:rsidRPr="00A07B2D">
              <w:rPr>
                <w:rStyle w:val="SpecialBold"/>
              </w:rPr>
              <w:t>(</w:t>
            </w:r>
            <w:r w:rsidRPr="00A07B2D">
              <w:t>or assessment team working together to conduct the assessment).</w:t>
            </w:r>
          </w:p>
          <w:p w:rsidR="00000000" w:rsidRPr="00A07B2D" w:rsidP="00A07B2D">
            <w:pPr>
              <w:pStyle w:val="BodyText"/>
            </w:pPr>
            <w:r w:rsidRPr="00A07B2D">
              <w:t>Demonstrated competency in a range of situations, which may include customer/workplace interruptions and involvement in related</w:t>
            </w:r>
            <w:r w:rsidRPr="00A07B2D">
              <w:t xml:space="preserve"> activities normally experienced in the workplace.</w:t>
            </w:r>
          </w:p>
          <w:p w:rsidR="00000000" w:rsidP="00A07B2D">
            <w:pPr>
              <w:pStyle w:val="BodyText"/>
              <w:rPr>
                <w:lang w:val="en-NZ"/>
              </w:rPr>
            </w:pPr>
            <w:r w:rsidRPr="00A07B2D">
              <w:t>Obtained by observing activities in this field and reviewing induction information. If this is not practicable, observation in realistic simulated environments may be substituted.</w:t>
            </w:r>
          </w:p>
        </w:tc>
      </w:tr>
      <w:tr w:rsidTr="00A07B2D">
        <w:tblPrEx>
          <w:tblW w:w="0" w:type="auto"/>
          <w:tblLayout w:type="fixed"/>
          <w:tblCellMar>
            <w:left w:w="62" w:type="dxa"/>
            <w:right w:w="62" w:type="dxa"/>
          </w:tblCellMar>
          <w:tblLook w:val="0000"/>
        </w:tblPrEx>
        <w:tc>
          <w:tcPr>
            <w:tcW w:w="2805" w:type="dxa"/>
            <w:tcBorders>
              <w:top w:val="nil"/>
              <w:left w:val="nil"/>
              <w:bottom w:val="nil"/>
              <w:right w:val="nil"/>
            </w:tcBorders>
            <w:tcMar>
              <w:top w:w="0" w:type="dxa"/>
              <w:left w:w="62" w:type="dxa"/>
              <w:bottom w:w="0" w:type="dxa"/>
              <w:right w:w="62" w:type="dxa"/>
            </w:tcMar>
          </w:tcPr>
          <w:p w:rsidR="00000000" w:rsidP="00A07B2D">
            <w:pPr>
              <w:pStyle w:val="BodyText"/>
              <w:rPr>
                <w:lang w:val="en-NZ"/>
              </w:rPr>
            </w:pPr>
            <w:r w:rsidRPr="00A07B2D">
              <w:rPr>
                <w:rStyle w:val="SpecialBold"/>
              </w:rPr>
              <w:t>Guidance information for</w:t>
            </w:r>
            <w:r w:rsidRPr="00A07B2D">
              <w:rPr>
                <w:rStyle w:val="SpecialBold"/>
              </w:rPr>
              <w:t xml:space="preserve"> assessment</w:t>
            </w:r>
          </w:p>
        </w:tc>
        <w:tc>
          <w:tcPr>
            <w:tcW w:w="5807" w:type="dxa"/>
            <w:tcBorders>
              <w:top w:val="nil"/>
              <w:left w:val="nil"/>
              <w:bottom w:val="nil"/>
              <w:right w:val="nil"/>
            </w:tcBorders>
            <w:tcMar>
              <w:top w:w="0" w:type="dxa"/>
              <w:left w:w="62" w:type="dxa"/>
              <w:bottom w:w="0" w:type="dxa"/>
              <w:right w:w="62" w:type="dxa"/>
            </w:tcMar>
          </w:tcPr>
          <w:p w:rsidR="00000000" w:rsidRPr="00A07B2D" w:rsidP="00A07B2D">
            <w:pPr>
              <w:pStyle w:val="BodyText"/>
            </w:pPr>
            <w:r w:rsidRPr="00A07B2D">
              <w:t xml:space="preserve">Assessment requires that the clients’ objectives and industry expectations are met. If the clients’ objectives are narrowly defined or not representative of industry needs, it may be necessary to refer to portfolio case studies of a variety of </w:t>
            </w:r>
            <w:r w:rsidRPr="00A07B2D">
              <w:t>surveying and spatial information services requirements to assess competency.</w:t>
            </w:r>
          </w:p>
          <w:p w:rsidR="00000000" w:rsidRPr="00A07B2D" w:rsidP="00A07B2D">
            <w:pPr>
              <w:pStyle w:val="BodyText"/>
            </w:pPr>
            <w:r w:rsidRPr="00A07B2D">
              <w:t>Oral questioning or written assessment and hypothetical situations (scenarios) may be used to assess underpinning knowledge (in assessment situations where the candidate is offer</w:t>
            </w:r>
            <w:r w:rsidRPr="00A07B2D">
              <w:t>ed a preference between oral questioning or written assessment, questions are to be identical).</w:t>
            </w:r>
          </w:p>
          <w:p w:rsidR="00000000" w:rsidRPr="00A07B2D" w:rsidP="00A07B2D">
            <w:pPr>
              <w:pStyle w:val="BodyText"/>
            </w:pPr>
            <w:r w:rsidRPr="00A07B2D">
              <w:t>Supplementary evidence may be obtained from relevant authenticated correspondence from existing supervisors, team leaders or specialist training staff.</w:t>
            </w:r>
          </w:p>
          <w:p w:rsidR="00000000" w:rsidRPr="00A07B2D" w:rsidP="00A07B2D">
            <w:pPr>
              <w:pStyle w:val="BodyText"/>
            </w:pPr>
            <w:r w:rsidRPr="00A07B2D">
              <w:t>All prac</w:t>
            </w:r>
            <w:r w:rsidRPr="00A07B2D">
              <w:t>tical demonstration must adhere to the safety and environmental regulations relevant to each State or Territory.</w:t>
            </w:r>
          </w:p>
          <w:p w:rsidR="00000000" w:rsidRPr="00A07B2D" w:rsidP="00A07B2D">
            <w:pPr>
              <w:pStyle w:val="BodyText"/>
            </w:pPr>
            <w:r w:rsidRPr="00A07B2D">
              <w:t>Where assessment is for the purpose of recognition (recognition of current competencies [RCC] or recognition of prior learning [RPL]), the evid</w:t>
            </w:r>
            <w:r w:rsidRPr="00A07B2D">
              <w:t>ence provided will need to be authenticated and show that it represents competency demonstrated over a period of time.</w:t>
            </w:r>
          </w:p>
          <w:p w:rsidR="00000000" w:rsidRPr="00A07B2D" w:rsidP="00A07B2D">
            <w:pPr>
              <w:pStyle w:val="BodyText"/>
            </w:pPr>
            <w:r w:rsidRPr="00A07B2D">
              <w:t>In all cases where practical assessment is used it will be combined with targeted questioning to assess the underpinning knowledge.</w:t>
            </w:r>
          </w:p>
          <w:p w:rsidR="00000000" w:rsidRPr="00A07B2D" w:rsidP="00A07B2D">
            <w:pPr>
              <w:pStyle w:val="BodyText"/>
            </w:pPr>
            <w:r w:rsidRPr="00A07B2D">
              <w:t>Asses</w:t>
            </w:r>
            <w:r w:rsidRPr="00A07B2D">
              <w:t>sment processes will be appropriate to the language and literacy levels of the candidate and any cultural issues that may affect responses to the questions, and will reflect the requirements of the competency and the work being performed.</w:t>
            </w:r>
          </w:p>
        </w:tc>
      </w:tr>
    </w:tbl>
    <w:p w:rsidR="00A729D9" w:rsidP="00A07B2D">
      <w:pPr>
        <w:pStyle w:val="BodyText"/>
      </w:pPr>
    </w:p>
    <w:p w:rsidR="00A729D9" w:rsidP="00A07B2D">
      <w:pPr>
        <w:pStyle w:val="BodyText"/>
      </w:pPr>
    </w:p>
    <w:p w:rsidR="00000000" w:rsidRPr="00A07B2D" w:rsidP="00A07B2D">
      <w:pPr>
        <w:pStyle w:val="Heading1"/>
      </w:pPr>
      <w:bookmarkStart w:id="11" w:name="O_507720"/>
      <w:bookmarkEnd w:id="11"/>
      <w:r w:rsidRPr="00A07B2D">
        <w:t>Range Statement</w:t>
      </w:r>
    </w:p>
    <w:tbl>
      <w:tblPr>
        <w:tblW w:w="0" w:type="auto"/>
        <w:tblLayout w:type="fixed"/>
        <w:tblCellMar>
          <w:left w:w="62" w:type="dxa"/>
          <w:right w:w="62" w:type="dxa"/>
        </w:tblCellMar>
        <w:tblLook w:val="0000"/>
      </w:tblPr>
      <w:tblGrid>
        <w:gridCol w:w="2840"/>
        <w:gridCol w:w="5848"/>
      </w:tblGrid>
      <w:tr w:rsidTr="00A729D9">
        <w:tblPrEx>
          <w:tblW w:w="0" w:type="auto"/>
          <w:tblLayout w:type="fixed"/>
          <w:tblCellMar>
            <w:left w:w="62" w:type="dxa"/>
            <w:right w:w="62" w:type="dxa"/>
          </w:tblCellMar>
          <w:tblLook w:val="0000"/>
        </w:tblPrEx>
        <w:tc>
          <w:tcPr>
            <w:tcW w:w="8688" w:type="dxa"/>
            <w:gridSpan w:val="2"/>
            <w:tcBorders>
              <w:top w:val="nil"/>
              <w:left w:val="nil"/>
              <w:bottom w:val="nil"/>
              <w:right w:val="nil"/>
            </w:tcBorders>
            <w:tcMar>
              <w:top w:w="0" w:type="dxa"/>
              <w:left w:w="62" w:type="dxa"/>
              <w:bottom w:w="0" w:type="dxa"/>
              <w:right w:w="62" w:type="dxa"/>
            </w:tcMar>
          </w:tcPr>
          <w:p w:rsidR="00000000" w:rsidP="00A07B2D">
            <w:pPr>
              <w:pStyle w:val="BodyText"/>
              <w:rPr>
                <w:lang w:val="en-NZ"/>
              </w:rPr>
            </w:pPr>
            <w:r w:rsidRPr="00A07B2D">
              <w:t xml:space="preserve">The range statement relates to the unit of competency as a whole. It allows for different work environments and situations that may affect performance. </w:t>
            </w:r>
            <w:r w:rsidRPr="00A07B2D">
              <w:rPr>
                <w:rStyle w:val="BoldandItalics"/>
              </w:rPr>
              <w:t>Bold italicised</w:t>
            </w:r>
            <w:r w:rsidRPr="00A07B2D">
              <w:t xml:space="preserve"> wording in the performance criteria is detailed below. Add any essent</w:t>
            </w:r>
            <w:r w:rsidRPr="00A07B2D">
              <w:t>ial operating conditions that may be present with training and assessment depending on the work situation, needs of the candidate, accessibility of the item, and local industry and regional contexts.</w:t>
            </w:r>
          </w:p>
        </w:tc>
      </w:tr>
      <w:tr w:rsidTr="00A729D9">
        <w:tblPrEx>
          <w:tblW w:w="0" w:type="auto"/>
          <w:tblLayout w:type="fixed"/>
          <w:tblCellMar>
            <w:left w:w="62" w:type="dxa"/>
            <w:right w:w="62" w:type="dxa"/>
          </w:tblCellMar>
          <w:tblLook w:val="0000"/>
        </w:tblPrEx>
        <w:tc>
          <w:tcPr>
            <w:tcW w:w="2840" w:type="dxa"/>
            <w:tcBorders>
              <w:top w:val="nil"/>
              <w:left w:val="nil"/>
              <w:bottom w:val="nil"/>
              <w:right w:val="nil"/>
            </w:tcBorders>
            <w:tcMar>
              <w:top w:w="0" w:type="dxa"/>
              <w:left w:w="62" w:type="dxa"/>
              <w:bottom w:w="0" w:type="dxa"/>
              <w:right w:w="62" w:type="dxa"/>
            </w:tcMar>
          </w:tcPr>
          <w:p w:rsidR="00000000" w:rsidP="00A07B2D">
            <w:pPr>
              <w:pStyle w:val="BodyText"/>
              <w:rPr>
                <w:lang w:val="en-NZ"/>
              </w:rPr>
            </w:pPr>
            <w:r w:rsidRPr="00A07B2D">
              <w:rPr>
                <w:rStyle w:val="BoldandItalics"/>
              </w:rPr>
              <w:t>Data index</w:t>
            </w:r>
            <w:r w:rsidRPr="00A07B2D">
              <w:t xml:space="preserve"> may include:</w:t>
            </w:r>
          </w:p>
        </w:tc>
        <w:tc>
          <w:tcPr>
            <w:tcW w:w="5848" w:type="dxa"/>
            <w:tcBorders>
              <w:top w:val="nil"/>
              <w:left w:val="nil"/>
              <w:bottom w:val="nil"/>
              <w:right w:val="nil"/>
            </w:tcBorders>
            <w:tcMar>
              <w:top w:w="0" w:type="dxa"/>
              <w:left w:w="62" w:type="dxa"/>
              <w:bottom w:w="0" w:type="dxa"/>
              <w:right w:w="62" w:type="dxa"/>
            </w:tcMar>
          </w:tcPr>
          <w:p w:rsidR="00000000" w:rsidP="00A07B2D">
            <w:pPr>
              <w:pStyle w:val="ListBullet"/>
              <w:rPr>
                <w:lang w:val="en-NZ"/>
              </w:rPr>
            </w:pPr>
            <w:r w:rsidRPr="00A07B2D">
              <w:t>classification systems and process linked to product specification.</w:t>
            </w:r>
          </w:p>
        </w:tc>
      </w:tr>
      <w:tr w:rsidTr="00A729D9">
        <w:tblPrEx>
          <w:tblW w:w="0" w:type="auto"/>
          <w:tblLayout w:type="fixed"/>
          <w:tblCellMar>
            <w:left w:w="62" w:type="dxa"/>
            <w:right w:w="62" w:type="dxa"/>
          </w:tblCellMar>
          <w:tblLook w:val="0000"/>
        </w:tblPrEx>
        <w:tc>
          <w:tcPr>
            <w:tcW w:w="2840" w:type="dxa"/>
            <w:tcBorders>
              <w:top w:val="nil"/>
              <w:left w:val="nil"/>
              <w:bottom w:val="nil"/>
              <w:right w:val="nil"/>
            </w:tcBorders>
            <w:tcMar>
              <w:top w:w="0" w:type="dxa"/>
              <w:left w:w="62" w:type="dxa"/>
              <w:bottom w:w="0" w:type="dxa"/>
              <w:right w:w="62" w:type="dxa"/>
            </w:tcMar>
          </w:tcPr>
          <w:p w:rsidR="00000000" w:rsidP="00A07B2D">
            <w:pPr>
              <w:pStyle w:val="BodyText"/>
              <w:rPr>
                <w:lang w:val="en-NZ"/>
              </w:rPr>
            </w:pPr>
            <w:r w:rsidRPr="00A07B2D">
              <w:rPr>
                <w:rStyle w:val="BoldandItalics"/>
              </w:rPr>
              <w:t>Administrative and legal requirements</w:t>
            </w:r>
            <w:r w:rsidRPr="00A07B2D">
              <w:t xml:space="preserve"> may include:</w:t>
            </w:r>
          </w:p>
        </w:tc>
        <w:tc>
          <w:tcPr>
            <w:tcW w:w="5848" w:type="dxa"/>
            <w:tcBorders>
              <w:top w:val="nil"/>
              <w:left w:val="nil"/>
              <w:bottom w:val="nil"/>
              <w:right w:val="nil"/>
            </w:tcBorders>
            <w:tcMar>
              <w:top w:w="0" w:type="dxa"/>
              <w:left w:w="62" w:type="dxa"/>
              <w:bottom w:w="0" w:type="dxa"/>
              <w:right w:w="62" w:type="dxa"/>
            </w:tcMar>
          </w:tcPr>
          <w:p w:rsidR="00000000" w:rsidRPr="00A07B2D" w:rsidP="00A07B2D">
            <w:pPr>
              <w:pStyle w:val="ListBullet"/>
            </w:pPr>
            <w:r w:rsidRPr="00A07B2D">
              <w:t>access protocols and obligations</w:t>
            </w:r>
          </w:p>
          <w:p w:rsidR="00000000" w:rsidRPr="00A07B2D" w:rsidP="00A07B2D">
            <w:pPr>
              <w:pStyle w:val="ListBullet"/>
            </w:pPr>
            <w:r w:rsidRPr="00A07B2D">
              <w:t>Australian standards, quality assurance and certification requirements</w:t>
            </w:r>
          </w:p>
          <w:p w:rsidR="00000000" w:rsidRPr="00A07B2D" w:rsidP="00A07B2D">
            <w:pPr>
              <w:pStyle w:val="ListBullet"/>
            </w:pPr>
            <w:r w:rsidRPr="00A07B2D">
              <w:t>award and enterprise agreements</w:t>
            </w:r>
          </w:p>
          <w:p w:rsidR="00000000" w:rsidRPr="00A07B2D" w:rsidP="00A07B2D">
            <w:pPr>
              <w:pStyle w:val="ListBullet"/>
            </w:pPr>
            <w:r w:rsidRPr="00A07B2D">
              <w:t>licensing arrangements</w:t>
            </w:r>
          </w:p>
          <w:p w:rsidR="00000000" w:rsidRPr="00A07B2D" w:rsidP="00A07B2D">
            <w:pPr>
              <w:pStyle w:val="ListBullet"/>
            </w:pPr>
            <w:r w:rsidRPr="00A07B2D">
              <w:t>organisational protocols for accessing physical, financial and human resources</w:t>
            </w:r>
          </w:p>
          <w:p w:rsidR="00000000" w:rsidRPr="00A07B2D" w:rsidP="00A07B2D">
            <w:pPr>
              <w:pStyle w:val="ListBullet"/>
            </w:pPr>
            <w:r w:rsidRPr="00A07B2D">
              <w:t>reimbursements</w:t>
            </w:r>
          </w:p>
          <w:p w:rsidR="00000000" w:rsidRPr="00A07B2D" w:rsidP="00A07B2D">
            <w:pPr>
              <w:pStyle w:val="ListBullet"/>
            </w:pPr>
            <w:r w:rsidRPr="00A07B2D">
              <w:t>Indigenous considerations</w:t>
            </w:r>
          </w:p>
          <w:p w:rsidR="00000000" w:rsidRPr="00A07B2D" w:rsidP="00A07B2D">
            <w:pPr>
              <w:pStyle w:val="ListBullet"/>
            </w:pPr>
            <w:r w:rsidRPr="00A07B2D">
              <w:t>relevant codes of practice</w:t>
            </w:r>
          </w:p>
          <w:p w:rsidR="00000000" w:rsidRPr="00A07B2D" w:rsidP="00A07B2D">
            <w:pPr>
              <w:pStyle w:val="ListBullet"/>
            </w:pPr>
            <w:r w:rsidRPr="00A07B2D">
              <w:t>relevant state, territory and federal legislation affecting organisational operations, including:</w:t>
            </w:r>
          </w:p>
          <w:p w:rsidR="00000000" w:rsidRPr="00A07B2D" w:rsidP="00A07B2D">
            <w:pPr>
              <w:pStyle w:val="ListBullet2"/>
            </w:pPr>
            <w:r w:rsidRPr="00A07B2D">
              <w:t>anti-discrimination and diversity</w:t>
            </w:r>
          </w:p>
          <w:p w:rsidR="00000000" w:rsidRPr="00A07B2D" w:rsidP="00A07B2D">
            <w:pPr>
              <w:pStyle w:val="ListBullet2"/>
            </w:pPr>
            <w:r w:rsidRPr="00A07B2D">
              <w:t>copyright and digital copyright</w:t>
            </w:r>
          </w:p>
          <w:p w:rsidR="00000000" w:rsidRPr="00A07B2D" w:rsidP="00A07B2D">
            <w:pPr>
              <w:pStyle w:val="ListBullet2"/>
            </w:pPr>
            <w:r w:rsidRPr="00A07B2D">
              <w:t>industrial relations</w:t>
            </w:r>
          </w:p>
          <w:p w:rsidR="00000000" w:rsidRPr="00A07B2D" w:rsidP="00A07B2D">
            <w:pPr>
              <w:pStyle w:val="ListBullet"/>
            </w:pPr>
            <w:r w:rsidRPr="00A07B2D">
              <w:t>royalty obligations</w:t>
            </w:r>
          </w:p>
          <w:p w:rsidR="00000000" w:rsidRPr="00A07B2D" w:rsidP="00A07B2D">
            <w:pPr>
              <w:pStyle w:val="ListBullet"/>
            </w:pPr>
            <w:r w:rsidRPr="00A07B2D">
              <w:t>title search processes</w:t>
            </w:r>
          </w:p>
          <w:p w:rsidR="00000000" w:rsidP="00A07B2D">
            <w:pPr>
              <w:pStyle w:val="ListBullet"/>
              <w:rPr>
                <w:lang w:val="en-NZ"/>
              </w:rPr>
            </w:pPr>
            <w:r w:rsidRPr="00A07B2D">
              <w:t>understanding of company O</w:t>
            </w:r>
            <w:r w:rsidRPr="00A07B2D">
              <w:t>HS guidelines.</w:t>
            </w:r>
          </w:p>
        </w:tc>
      </w:tr>
      <w:tr w:rsidTr="00A729D9">
        <w:tblPrEx>
          <w:tblW w:w="0" w:type="auto"/>
          <w:tblLayout w:type="fixed"/>
          <w:tblCellMar>
            <w:left w:w="62" w:type="dxa"/>
            <w:right w:w="62" w:type="dxa"/>
          </w:tblCellMar>
          <w:tblLook w:val="0000"/>
        </w:tblPrEx>
        <w:tc>
          <w:tcPr>
            <w:tcW w:w="2840" w:type="dxa"/>
            <w:tcBorders>
              <w:top w:val="nil"/>
              <w:left w:val="nil"/>
              <w:bottom w:val="nil"/>
              <w:right w:val="nil"/>
            </w:tcBorders>
            <w:tcMar>
              <w:top w:w="0" w:type="dxa"/>
              <w:left w:w="62" w:type="dxa"/>
              <w:bottom w:w="0" w:type="dxa"/>
              <w:right w:w="62" w:type="dxa"/>
            </w:tcMar>
          </w:tcPr>
          <w:p w:rsidR="00000000" w:rsidP="00A07B2D">
            <w:pPr>
              <w:pStyle w:val="BodyText"/>
              <w:rPr>
                <w:lang w:val="en-NZ"/>
              </w:rPr>
            </w:pPr>
            <w:r w:rsidRPr="00A07B2D">
              <w:rPr>
                <w:rStyle w:val="BoldandItalics"/>
              </w:rPr>
              <w:t>Organisational guidelines</w:t>
            </w:r>
            <w:r w:rsidRPr="00A07B2D">
              <w:t xml:space="preserve"> may be included in:</w:t>
            </w:r>
          </w:p>
        </w:tc>
        <w:tc>
          <w:tcPr>
            <w:tcW w:w="5848" w:type="dxa"/>
            <w:tcBorders>
              <w:top w:val="nil"/>
              <w:left w:val="nil"/>
              <w:bottom w:val="nil"/>
              <w:right w:val="nil"/>
            </w:tcBorders>
            <w:tcMar>
              <w:top w:w="0" w:type="dxa"/>
              <w:left w:w="62" w:type="dxa"/>
              <w:bottom w:w="0" w:type="dxa"/>
              <w:right w:w="62" w:type="dxa"/>
            </w:tcMar>
          </w:tcPr>
          <w:p w:rsidR="00000000" w:rsidRPr="00A07B2D" w:rsidP="00A07B2D">
            <w:pPr>
              <w:pStyle w:val="ListBullet"/>
            </w:pPr>
            <w:r w:rsidRPr="00A07B2D">
              <w:t>electronic format</w:t>
            </w:r>
          </w:p>
          <w:p w:rsidR="00000000" w:rsidRPr="00A07B2D" w:rsidP="00A07B2D">
            <w:pPr>
              <w:pStyle w:val="ListBullet"/>
            </w:pPr>
            <w:r w:rsidRPr="00A07B2D">
              <w:t>equipment specifications</w:t>
            </w:r>
          </w:p>
          <w:p w:rsidR="00000000" w:rsidRPr="00A07B2D" w:rsidP="00A07B2D">
            <w:pPr>
              <w:pStyle w:val="ListBullet"/>
            </w:pPr>
            <w:r w:rsidRPr="00A07B2D">
              <w:t>operator manuals</w:t>
            </w:r>
          </w:p>
          <w:p w:rsidR="00000000" w:rsidRPr="00A07B2D" w:rsidP="00A07B2D">
            <w:pPr>
              <w:pStyle w:val="ListBullet"/>
            </w:pPr>
            <w:r w:rsidRPr="00A07B2D">
              <w:t>printed product instructions and information</w:t>
            </w:r>
          </w:p>
          <w:p w:rsidR="00000000" w:rsidRPr="00A07B2D" w:rsidP="00A07B2D">
            <w:pPr>
              <w:pStyle w:val="ListBullet"/>
            </w:pPr>
            <w:r w:rsidRPr="00A07B2D">
              <w:t>spatial database</w:t>
            </w:r>
          </w:p>
          <w:p w:rsidR="00000000" w:rsidRPr="00A07B2D" w:rsidP="00A07B2D">
            <w:pPr>
              <w:pStyle w:val="ListBullet"/>
            </w:pPr>
            <w:r w:rsidRPr="00A07B2D">
              <w:t>spatial reference systems</w:t>
            </w:r>
          </w:p>
          <w:p w:rsidR="00000000" w:rsidP="00A07B2D">
            <w:pPr>
              <w:pStyle w:val="ListBullet"/>
              <w:rPr>
                <w:lang w:val="en-NZ"/>
              </w:rPr>
            </w:pPr>
            <w:r w:rsidRPr="00A07B2D">
              <w:t>warranty documents.</w:t>
            </w:r>
          </w:p>
        </w:tc>
      </w:tr>
      <w:tr w:rsidTr="00A729D9">
        <w:tblPrEx>
          <w:tblW w:w="0" w:type="auto"/>
          <w:tblLayout w:type="fixed"/>
          <w:tblCellMar>
            <w:left w:w="62" w:type="dxa"/>
            <w:right w:w="62" w:type="dxa"/>
          </w:tblCellMar>
          <w:tblLook w:val="0000"/>
        </w:tblPrEx>
        <w:tc>
          <w:tcPr>
            <w:tcW w:w="2840" w:type="dxa"/>
            <w:tcBorders>
              <w:top w:val="nil"/>
              <w:left w:val="nil"/>
              <w:bottom w:val="nil"/>
              <w:right w:val="nil"/>
            </w:tcBorders>
            <w:tcMar>
              <w:top w:w="0" w:type="dxa"/>
              <w:left w:w="62" w:type="dxa"/>
              <w:bottom w:w="0" w:type="dxa"/>
              <w:right w:w="62" w:type="dxa"/>
            </w:tcMar>
          </w:tcPr>
          <w:p w:rsidR="00000000" w:rsidP="00A07B2D">
            <w:pPr>
              <w:pStyle w:val="BodyText"/>
              <w:rPr>
                <w:lang w:val="en-NZ"/>
              </w:rPr>
            </w:pPr>
            <w:r w:rsidRPr="00A07B2D">
              <w:rPr>
                <w:rStyle w:val="BoldandItalics"/>
              </w:rPr>
              <w:t>Method of spatial data storage</w:t>
            </w:r>
            <w:r w:rsidRPr="00A07B2D">
              <w:t xml:space="preserve"> may include:</w:t>
            </w:r>
          </w:p>
        </w:tc>
        <w:tc>
          <w:tcPr>
            <w:tcW w:w="5848" w:type="dxa"/>
            <w:tcBorders>
              <w:top w:val="nil"/>
              <w:left w:val="nil"/>
              <w:bottom w:val="nil"/>
              <w:right w:val="nil"/>
            </w:tcBorders>
            <w:tcMar>
              <w:top w:w="0" w:type="dxa"/>
              <w:left w:w="62" w:type="dxa"/>
              <w:bottom w:w="0" w:type="dxa"/>
              <w:right w:w="62" w:type="dxa"/>
            </w:tcMar>
          </w:tcPr>
          <w:p w:rsidR="00000000" w:rsidRPr="00A07B2D" w:rsidP="00A07B2D">
            <w:pPr>
              <w:pStyle w:val="ListBullet"/>
            </w:pPr>
            <w:r w:rsidRPr="00A07B2D">
              <w:t>digital</w:t>
            </w:r>
          </w:p>
          <w:p w:rsidR="00000000" w:rsidP="00A07B2D">
            <w:pPr>
              <w:pStyle w:val="ListBullet"/>
              <w:rPr>
                <w:lang w:val="en-NZ"/>
              </w:rPr>
            </w:pPr>
            <w:r w:rsidRPr="00A07B2D">
              <w:t>hard copy.</w:t>
            </w:r>
          </w:p>
        </w:tc>
      </w:tr>
      <w:tr w:rsidTr="00A729D9">
        <w:tblPrEx>
          <w:tblW w:w="0" w:type="auto"/>
          <w:tblLayout w:type="fixed"/>
          <w:tblCellMar>
            <w:left w:w="62" w:type="dxa"/>
            <w:right w:w="62" w:type="dxa"/>
          </w:tblCellMar>
          <w:tblLook w:val="0000"/>
        </w:tblPrEx>
        <w:tc>
          <w:tcPr>
            <w:tcW w:w="2840" w:type="dxa"/>
            <w:tcBorders>
              <w:top w:val="nil"/>
              <w:left w:val="nil"/>
              <w:bottom w:val="nil"/>
              <w:right w:val="nil"/>
            </w:tcBorders>
            <w:tcMar>
              <w:top w:w="0" w:type="dxa"/>
              <w:left w:w="62" w:type="dxa"/>
              <w:bottom w:w="0" w:type="dxa"/>
              <w:right w:w="62" w:type="dxa"/>
            </w:tcMar>
          </w:tcPr>
          <w:p w:rsidR="00000000" w:rsidP="00A07B2D">
            <w:pPr>
              <w:pStyle w:val="BodyText"/>
              <w:rPr>
                <w:lang w:val="en-NZ"/>
              </w:rPr>
            </w:pPr>
            <w:r w:rsidRPr="00A07B2D">
              <w:rPr>
                <w:rStyle w:val="BoldandItalics"/>
              </w:rPr>
              <w:t>Distribution method</w:t>
            </w:r>
            <w:r w:rsidRPr="00A07B2D">
              <w:t xml:space="preserve"> may include:</w:t>
            </w:r>
          </w:p>
        </w:tc>
        <w:tc>
          <w:tcPr>
            <w:tcW w:w="5848" w:type="dxa"/>
            <w:tcBorders>
              <w:top w:val="nil"/>
              <w:left w:val="nil"/>
              <w:bottom w:val="nil"/>
              <w:right w:val="nil"/>
            </w:tcBorders>
            <w:tcMar>
              <w:top w:w="0" w:type="dxa"/>
              <w:left w:w="62" w:type="dxa"/>
              <w:bottom w:w="0" w:type="dxa"/>
              <w:right w:w="62" w:type="dxa"/>
            </w:tcMar>
          </w:tcPr>
          <w:p w:rsidR="00000000" w:rsidP="00A07B2D">
            <w:pPr>
              <w:pStyle w:val="ListBullet"/>
              <w:rPr>
                <w:lang w:val="en-NZ"/>
              </w:rPr>
            </w:pPr>
            <w:r w:rsidRPr="00A07B2D">
              <w:t>network access to an authoritative data source that can accommodate storage in digital or hard copy format.</w:t>
            </w:r>
          </w:p>
        </w:tc>
      </w:tr>
      <w:tr w:rsidTr="00A729D9">
        <w:tblPrEx>
          <w:tblW w:w="0" w:type="auto"/>
          <w:tblLayout w:type="fixed"/>
          <w:tblCellMar>
            <w:left w:w="62" w:type="dxa"/>
            <w:right w:w="62" w:type="dxa"/>
          </w:tblCellMar>
          <w:tblLook w:val="0000"/>
        </w:tblPrEx>
        <w:tc>
          <w:tcPr>
            <w:tcW w:w="2840" w:type="dxa"/>
            <w:tcBorders>
              <w:top w:val="nil"/>
              <w:left w:val="nil"/>
              <w:bottom w:val="nil"/>
              <w:right w:val="nil"/>
            </w:tcBorders>
            <w:tcMar>
              <w:top w:w="0" w:type="dxa"/>
              <w:left w:w="62" w:type="dxa"/>
              <w:bottom w:w="0" w:type="dxa"/>
              <w:right w:w="62" w:type="dxa"/>
            </w:tcMar>
          </w:tcPr>
          <w:p w:rsidR="00000000" w:rsidP="00A07B2D">
            <w:pPr>
              <w:pStyle w:val="BodyText"/>
              <w:rPr>
                <w:lang w:val="en-NZ"/>
              </w:rPr>
            </w:pPr>
            <w:r w:rsidRPr="00A07B2D">
              <w:rPr>
                <w:rStyle w:val="BoldandItalics"/>
              </w:rPr>
              <w:t>Contingencies</w:t>
            </w:r>
            <w:r w:rsidRPr="00A07B2D">
              <w:t xml:space="preserve"> may include:</w:t>
            </w:r>
          </w:p>
        </w:tc>
        <w:tc>
          <w:tcPr>
            <w:tcW w:w="5848" w:type="dxa"/>
            <w:tcBorders>
              <w:top w:val="nil"/>
              <w:left w:val="nil"/>
              <w:bottom w:val="nil"/>
              <w:right w:val="nil"/>
            </w:tcBorders>
            <w:tcMar>
              <w:top w:w="0" w:type="dxa"/>
              <w:left w:w="62" w:type="dxa"/>
              <w:bottom w:w="0" w:type="dxa"/>
              <w:right w:w="62" w:type="dxa"/>
            </w:tcMar>
          </w:tcPr>
          <w:p w:rsidR="00000000" w:rsidRPr="00A07B2D" w:rsidP="00A07B2D">
            <w:pPr>
              <w:pStyle w:val="ListBullet"/>
            </w:pPr>
            <w:r w:rsidRPr="00A07B2D">
              <w:t>duplicates</w:t>
            </w:r>
          </w:p>
          <w:p w:rsidR="00000000" w:rsidRPr="00A07B2D" w:rsidP="00A07B2D">
            <w:pPr>
              <w:pStyle w:val="ListBullet"/>
            </w:pPr>
            <w:r w:rsidRPr="00A07B2D">
              <w:t>fireproof storage</w:t>
            </w:r>
          </w:p>
          <w:p w:rsidR="00000000" w:rsidRPr="00A07B2D" w:rsidP="00A07B2D">
            <w:pPr>
              <w:pStyle w:val="ListBullet"/>
            </w:pPr>
            <w:r w:rsidRPr="00A07B2D">
              <w:t>insurance</w:t>
            </w:r>
          </w:p>
          <w:p w:rsidR="00000000" w:rsidRPr="00A07B2D" w:rsidP="00A07B2D">
            <w:pPr>
              <w:pStyle w:val="ListBullet"/>
            </w:pPr>
            <w:r w:rsidRPr="00A07B2D">
              <w:t>media malfunction</w:t>
            </w:r>
          </w:p>
          <w:p w:rsidR="00000000" w:rsidRPr="00A07B2D" w:rsidP="00A07B2D">
            <w:pPr>
              <w:pStyle w:val="ListBullet"/>
            </w:pPr>
            <w:r w:rsidRPr="00A07B2D">
              <w:t>media and formats becoming outdated</w:t>
            </w:r>
          </w:p>
          <w:p w:rsidR="00000000" w:rsidRPr="00A07B2D" w:rsidP="00A07B2D">
            <w:pPr>
              <w:pStyle w:val="ListBullet"/>
            </w:pPr>
            <w:r w:rsidRPr="00A07B2D">
              <w:t>offsite storage</w:t>
            </w:r>
          </w:p>
          <w:p w:rsidR="00000000" w:rsidP="00A07B2D">
            <w:pPr>
              <w:pStyle w:val="ListBullet"/>
              <w:rPr>
                <w:lang w:val="en-NZ"/>
              </w:rPr>
            </w:pPr>
            <w:r w:rsidRPr="00A07B2D">
              <w:t>storage in different media.</w:t>
            </w:r>
          </w:p>
        </w:tc>
      </w:tr>
      <w:tr w:rsidTr="00A729D9">
        <w:tblPrEx>
          <w:tblW w:w="0" w:type="auto"/>
          <w:tblLayout w:type="fixed"/>
          <w:tblCellMar>
            <w:left w:w="62" w:type="dxa"/>
            <w:right w:w="62" w:type="dxa"/>
          </w:tblCellMar>
          <w:tblLook w:val="0000"/>
        </w:tblPrEx>
        <w:tc>
          <w:tcPr>
            <w:tcW w:w="2840" w:type="dxa"/>
            <w:tcBorders>
              <w:top w:val="nil"/>
              <w:left w:val="nil"/>
              <w:bottom w:val="nil"/>
              <w:right w:val="nil"/>
            </w:tcBorders>
            <w:tcMar>
              <w:top w:w="0" w:type="dxa"/>
              <w:left w:w="62" w:type="dxa"/>
              <w:bottom w:w="0" w:type="dxa"/>
              <w:right w:w="62" w:type="dxa"/>
            </w:tcMar>
          </w:tcPr>
          <w:p w:rsidR="00000000" w:rsidP="00A07B2D">
            <w:pPr>
              <w:pStyle w:val="BodyText"/>
              <w:rPr>
                <w:lang w:val="en-NZ"/>
              </w:rPr>
            </w:pPr>
            <w:r w:rsidRPr="00A07B2D">
              <w:rPr>
                <w:rStyle w:val="BoldandItalics"/>
              </w:rPr>
              <w:t>Risk management plan</w:t>
            </w:r>
            <w:r w:rsidRPr="00A07B2D">
              <w:t xml:space="preserve"> may include:</w:t>
            </w:r>
          </w:p>
        </w:tc>
        <w:tc>
          <w:tcPr>
            <w:tcW w:w="5848" w:type="dxa"/>
            <w:tcBorders>
              <w:top w:val="nil"/>
              <w:left w:val="nil"/>
              <w:bottom w:val="nil"/>
              <w:right w:val="nil"/>
            </w:tcBorders>
            <w:tcMar>
              <w:top w:w="0" w:type="dxa"/>
              <w:left w:w="62" w:type="dxa"/>
              <w:bottom w:w="0" w:type="dxa"/>
              <w:right w:w="62" w:type="dxa"/>
            </w:tcMar>
          </w:tcPr>
          <w:p w:rsidR="00000000" w:rsidRPr="00A07B2D" w:rsidP="00A07B2D">
            <w:pPr>
              <w:pStyle w:val="ListBullet"/>
            </w:pPr>
            <w:r w:rsidRPr="00A07B2D">
              <w:t>effective management</w:t>
            </w:r>
          </w:p>
          <w:p w:rsidR="00000000" w:rsidRPr="00A07B2D" w:rsidP="00A07B2D">
            <w:pPr>
              <w:pStyle w:val="ListBullet"/>
            </w:pPr>
            <w:r w:rsidRPr="00A07B2D">
              <w:t>budgetary constraints</w:t>
            </w:r>
          </w:p>
          <w:p w:rsidR="00000000" w:rsidRPr="00A07B2D" w:rsidP="00A07B2D">
            <w:pPr>
              <w:pStyle w:val="ListBullet"/>
            </w:pPr>
            <w:r w:rsidRPr="00A07B2D">
              <w:t>timelines</w:t>
            </w:r>
          </w:p>
          <w:p w:rsidR="00000000" w:rsidRPr="00A07B2D" w:rsidP="00A07B2D">
            <w:pPr>
              <w:pStyle w:val="ListBullet"/>
            </w:pPr>
            <w:r w:rsidRPr="00A07B2D">
              <w:t>clearly identified project stages</w:t>
            </w:r>
          </w:p>
          <w:p w:rsidR="00000000" w:rsidRPr="00A07B2D" w:rsidP="00A07B2D">
            <w:pPr>
              <w:pStyle w:val="ListBullet"/>
            </w:pPr>
            <w:r w:rsidRPr="00A07B2D">
              <w:t>sound internal audit processes.</w:t>
            </w:r>
          </w:p>
        </w:tc>
      </w:tr>
    </w:tbl>
    <w:p w:rsidR="00000000" w:rsidRPr="00A07B2D" w:rsidP="00A07B2D">
      <w:pPr>
        <w:pStyle w:val="BodyText"/>
      </w:pPr>
    </w:p>
    <w:p w:rsidR="00000000" w:rsidRPr="00A07B2D" w:rsidP="00A07B2D">
      <w:pPr>
        <w:pStyle w:val="AllowPageBreak"/>
      </w:pPr>
    </w:p>
    <w:p w:rsidR="00000000" w:rsidRPr="00A07B2D" w:rsidP="00A07B2D">
      <w:pPr>
        <w:pStyle w:val="Heading1"/>
      </w:pPr>
      <w:bookmarkStart w:id="12" w:name="O_507721"/>
      <w:bookmarkEnd w:id="12"/>
      <w:r w:rsidRPr="00A07B2D">
        <w:t>Unit Sector(s)</w:t>
      </w:r>
    </w:p>
    <w:p w:rsidR="00000000" w:rsidRPr="00A07B2D" w:rsidP="00A07B2D">
      <w:pPr>
        <w:pStyle w:val="BodyText"/>
      </w:pPr>
      <w:r w:rsidRPr="00A07B2D">
        <w:t>Surveying and spatial information services</w:t>
      </w:r>
    </w:p>
    <w:p w:rsidR="00000000" w:rsidRPr="00A07B2D" w:rsidP="00A07B2D">
      <w:pPr>
        <w:pStyle w:val="AllowPageBreak"/>
      </w:pPr>
    </w:p>
    <w:p w:rsidR="00000000" w:rsidRPr="00A07B2D" w:rsidP="00A07B2D">
      <w:pPr>
        <w:pStyle w:val="Heading1"/>
      </w:pPr>
      <w:bookmarkStart w:id="13" w:name="O_507722"/>
      <w:bookmarkEnd w:id="13"/>
      <w:r w:rsidRPr="00A07B2D">
        <w:t>Custom Content Section</w:t>
      </w:r>
    </w:p>
    <w:p w:rsidR="00000000" w:rsidRPr="00A07B2D" w:rsidP="00A07B2D">
      <w:pPr>
        <w:pStyle w:val="BodyText"/>
      </w:pPr>
      <w:r w:rsidRPr="00A07B2D">
        <w:t>Not applicable.</w:t>
      </w:r>
    </w:p>
    <w:p w:rsidR="00000000" w:rsidRPr="00A07B2D" w:rsidP="00A07B2D"/>
    <w:sectPr w:rsidSect="00A07B2D">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07B2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07B2D" w:rsidRPr="00A729D9" w:rsidP="00A729D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07B2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729D9" w:rsidP="00A07B2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A729D9" w:rsidP="00A07B2D">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Construction &amp; Property Services Industry Skills Council</w:t>
    </w:r>
    <w:r>
      <w:fldChar w:fldCharType="end"/>
    </w:r>
  </w:p>
  <w:p w:rsidR="00A729D9" w:rsidP="00A07B2D">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07B2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07B2D" w:rsidRPr="00A729D9" w:rsidP="00A729D9">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07B2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729D9" w:rsidRPr="002D2AF8" w:rsidP="00A07B2D">
    <w:pPr>
      <w:pStyle w:val="Header"/>
      <w:framePr w:wrap="around"/>
    </w:pPr>
    <w:r>
      <w:fldChar w:fldCharType="begin"/>
    </w:r>
    <w:r>
      <w:instrText xml:space="preserve"> TITLE   \* MERGEFORMAT </w:instrText>
    </w:r>
    <w:r>
      <w:fldChar w:fldCharType="separate"/>
    </w:r>
    <w:r>
      <w:t>CPPSIS4022A Store and retrieve spatial data</w:t>
    </w:r>
    <w:r>
      <w:fldChar w:fldCharType="end"/>
    </w:r>
    <w:r>
      <w:tab/>
      <w:t xml:space="preserve">Date this document was generated: </w:t>
    </w:r>
    <w:r>
      <w:fldChar w:fldCharType="begin"/>
    </w:r>
    <w:r>
      <w:instrText xml:space="preserve"> CREATEDATE  \@ "d MMMM yyyy"  \* MERGEFORMAT </w:instrText>
    </w:r>
    <w:r>
      <w:fldChar w:fldCharType="separate"/>
    </w:r>
    <w:r>
      <w:rPr>
        <w:noProof/>
      </w:rPr>
      <w:t>28/11/2012</w:t>
    </w:r>
    <w:r>
      <w:fldChar w:fldCharType="end"/>
    </w:r>
  </w:p>
  <w:p w:rsidR="00A729D9" w:rsidP="00A07B2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7BFC0A8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7F346CE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5936CB5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07B2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07B2D"/>
    <w:pPr>
      <w:spacing w:before="360" w:after="60"/>
      <w:outlineLvl w:val="0"/>
    </w:pPr>
    <w:rPr>
      <w:sz w:val="32"/>
    </w:rPr>
  </w:style>
  <w:style w:type="paragraph" w:styleId="Heading2">
    <w:name w:val="heading 2"/>
    <w:basedOn w:val="HeadingBase"/>
    <w:next w:val="BodyText"/>
    <w:link w:val="Heading2Char"/>
    <w:qFormat/>
    <w:rsid w:val="00A07B2D"/>
    <w:pPr>
      <w:keepLines/>
      <w:spacing w:before="240" w:after="120"/>
      <w:outlineLvl w:val="1"/>
    </w:pPr>
    <w:rPr>
      <w:sz w:val="28"/>
      <w:szCs w:val="40"/>
    </w:rPr>
  </w:style>
  <w:style w:type="paragraph" w:styleId="Heading3">
    <w:name w:val="heading 3"/>
    <w:basedOn w:val="HeadingBase"/>
    <w:next w:val="BodyText"/>
    <w:link w:val="Heading3Char"/>
    <w:qFormat/>
    <w:rsid w:val="00A07B2D"/>
    <w:pPr>
      <w:spacing w:before="180" w:after="120"/>
      <w:outlineLvl w:val="2"/>
    </w:pPr>
    <w:rPr>
      <w:spacing w:val="-10"/>
      <w:kern w:val="32"/>
    </w:rPr>
  </w:style>
  <w:style w:type="paragraph" w:styleId="Heading4">
    <w:name w:val="heading 4"/>
    <w:basedOn w:val="HeadingBase"/>
    <w:next w:val="BodyText"/>
    <w:link w:val="Heading4Char"/>
    <w:qFormat/>
    <w:rsid w:val="00A07B2D"/>
    <w:pPr>
      <w:spacing w:before="160" w:after="120"/>
      <w:outlineLvl w:val="3"/>
    </w:pPr>
    <w:rPr>
      <w:sz w:val="22"/>
    </w:rPr>
  </w:style>
  <w:style w:type="paragraph" w:styleId="Heading5">
    <w:name w:val="heading 5"/>
    <w:basedOn w:val="HeadingBase"/>
    <w:next w:val="Normal"/>
    <w:link w:val="Heading5Char"/>
    <w:qFormat/>
    <w:rsid w:val="00A07B2D"/>
    <w:pPr>
      <w:spacing w:before="80"/>
      <w:outlineLvl w:val="4"/>
    </w:pPr>
    <w:rPr>
      <w:color w:val="918585"/>
      <w:sz w:val="20"/>
    </w:rPr>
  </w:style>
  <w:style w:type="paragraph" w:styleId="Heading6">
    <w:name w:val="heading 6"/>
    <w:basedOn w:val="HeadingBase"/>
    <w:next w:val="Normal"/>
    <w:link w:val="Heading6Char"/>
    <w:qFormat/>
    <w:rsid w:val="00A07B2D"/>
    <w:pPr>
      <w:spacing w:before="60"/>
      <w:outlineLvl w:val="5"/>
    </w:pPr>
    <w:rPr>
      <w:color w:val="918585"/>
      <w:sz w:val="20"/>
    </w:rPr>
  </w:style>
  <w:style w:type="paragraph" w:styleId="Heading7">
    <w:name w:val="heading 7"/>
    <w:basedOn w:val="Normal"/>
    <w:next w:val="Normal"/>
    <w:link w:val="Heading7Char"/>
    <w:qFormat/>
    <w:rsid w:val="00A07B2D"/>
    <w:pPr>
      <w:ind w:left="720"/>
      <w:outlineLvl w:val="6"/>
    </w:pPr>
    <w:rPr>
      <w:i/>
    </w:rPr>
  </w:style>
  <w:style w:type="paragraph" w:styleId="Heading8">
    <w:name w:val="heading 8"/>
    <w:basedOn w:val="Normal"/>
    <w:next w:val="Normal"/>
    <w:link w:val="Heading8Char"/>
    <w:qFormat/>
    <w:rsid w:val="00A07B2D"/>
    <w:pPr>
      <w:ind w:left="720"/>
      <w:outlineLvl w:val="7"/>
    </w:pPr>
    <w:rPr>
      <w:i/>
    </w:rPr>
  </w:style>
  <w:style w:type="paragraph" w:styleId="Heading9">
    <w:name w:val="heading 9"/>
    <w:basedOn w:val="Normal"/>
    <w:next w:val="Normal"/>
    <w:link w:val="Heading9Char"/>
    <w:qFormat/>
    <w:rsid w:val="00A07B2D"/>
    <w:pPr>
      <w:ind w:left="720"/>
      <w:outlineLvl w:val="8"/>
    </w:pPr>
    <w:rPr>
      <w:i/>
    </w:rPr>
  </w:style>
  <w:style w:type="character" w:default="1" w:styleId="DefaultParagraphFont">
    <w:name w:val="Default Paragraph Font"/>
    <w:uiPriority w:val="1"/>
    <w:unhideWhenUsed/>
    <w:rsid w:val="00A07B2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07B2D"/>
  </w:style>
  <w:style w:type="character" w:customStyle="1" w:styleId="Heading1Char">
    <w:name w:val="Heading 1 Char"/>
    <w:basedOn w:val="DefaultParagraphFont"/>
    <w:link w:val="Heading1"/>
    <w:rsid w:val="00A07B2D"/>
    <w:rPr>
      <w:rFonts w:ascii="Times New Roman" w:eastAsia="Times New Roman" w:hAnsi="Times New Roman" w:cs="Times New Roman"/>
      <w:b/>
      <w:sz w:val="32"/>
      <w:szCs w:val="20"/>
      <w:lang w:eastAsia="en-US"/>
    </w:rPr>
  </w:style>
  <w:style w:type="paragraph" w:styleId="BodyText">
    <w:name w:val="Body Text"/>
    <w:basedOn w:val="Normal"/>
    <w:link w:val="BodyTextChar"/>
    <w:rsid w:val="00A07B2D"/>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A07B2D"/>
    <w:rPr>
      <w:rFonts w:ascii="Times New Roman" w:eastAsia="Times New Roman" w:hAnsi="Times New Roman" w:cs="Times New Roman"/>
      <w:sz w:val="24"/>
      <w:lang w:eastAsia="en-US"/>
    </w:rPr>
  </w:style>
  <w:style w:type="paragraph" w:styleId="ListBullet">
    <w:name w:val="List Bullet"/>
    <w:basedOn w:val="List"/>
    <w:rsid w:val="00A07B2D"/>
    <w:pPr>
      <w:numPr>
        <w:numId w:val="13"/>
      </w:numPr>
      <w:tabs>
        <w:tab w:val="clear" w:pos="340"/>
      </w:tabs>
      <w:spacing w:before="40" w:after="40"/>
    </w:pPr>
  </w:style>
  <w:style w:type="character" w:customStyle="1" w:styleId="SpecialBold">
    <w:name w:val="Special Bold"/>
    <w:basedOn w:val="DefaultParagraphFont"/>
    <w:rsid w:val="00A07B2D"/>
    <w:rPr>
      <w:b/>
      <w:spacing w:val="0"/>
    </w:rPr>
  </w:style>
  <w:style w:type="paragraph" w:styleId="ListBullet2">
    <w:name w:val="List Bullet 2"/>
    <w:basedOn w:val="List2"/>
    <w:rsid w:val="00A07B2D"/>
    <w:pPr>
      <w:numPr>
        <w:numId w:val="14"/>
      </w:numPr>
      <w:tabs>
        <w:tab w:val="clear" w:pos="680"/>
      </w:tabs>
    </w:pPr>
  </w:style>
  <w:style w:type="character" w:styleId="Emphasis">
    <w:name w:val="Emphasis"/>
    <w:basedOn w:val="DefaultParagraphFont"/>
    <w:qFormat/>
    <w:rsid w:val="00A07B2D"/>
    <w:rPr>
      <w:i/>
    </w:rPr>
  </w:style>
  <w:style w:type="paragraph" w:customStyle="1" w:styleId="SuperHeading">
    <w:name w:val="SuperHeading"/>
    <w:basedOn w:val="Normal"/>
    <w:rsid w:val="00A07B2D"/>
    <w:pPr>
      <w:spacing w:before="240" w:after="120"/>
      <w:outlineLvl w:val="0"/>
    </w:pPr>
    <w:rPr>
      <w:rFonts w:ascii="Times New Roman" w:hAnsi="Times New Roman"/>
      <w:b/>
      <w:sz w:val="32"/>
    </w:rPr>
  </w:style>
  <w:style w:type="paragraph" w:customStyle="1" w:styleId="AllowPageBreak">
    <w:name w:val="AllowPageBreak"/>
    <w:rsid w:val="00A07B2D"/>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A07B2D"/>
    <w:rPr>
      <w:b/>
      <w:i/>
      <w:u w:val="none"/>
    </w:rPr>
  </w:style>
  <w:style w:type="character" w:customStyle="1" w:styleId="Heading2Char">
    <w:name w:val="Heading 2 Char"/>
    <w:basedOn w:val="DefaultParagraphFont"/>
    <w:link w:val="Heading2"/>
    <w:rsid w:val="00A07B2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07B2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07B2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07B2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07B2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07B2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07B2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07B2D"/>
    <w:rPr>
      <w:rFonts w:ascii="Courier New" w:eastAsia="Times New Roman" w:hAnsi="Courier New" w:cs="Times New Roman"/>
      <w:i/>
      <w:szCs w:val="20"/>
      <w:lang w:eastAsia="en-US"/>
    </w:rPr>
  </w:style>
  <w:style w:type="paragraph" w:customStyle="1" w:styleId="HeadingBase">
    <w:name w:val="Heading Base"/>
    <w:rsid w:val="00A07B2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07B2D"/>
    <w:pPr>
      <w:tabs>
        <w:tab w:val="right" w:leader="dot" w:pos="9072"/>
      </w:tabs>
      <w:ind w:left="567"/>
    </w:pPr>
    <w:rPr>
      <w:szCs w:val="22"/>
    </w:rPr>
  </w:style>
  <w:style w:type="paragraph" w:customStyle="1" w:styleId="TOCBase">
    <w:name w:val="TOC Base"/>
    <w:rsid w:val="00A07B2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07B2D"/>
    <w:pPr>
      <w:tabs>
        <w:tab w:val="right" w:leader="dot" w:pos="9072"/>
      </w:tabs>
      <w:spacing w:before="40" w:after="40"/>
      <w:ind w:left="284"/>
    </w:pPr>
    <w:rPr>
      <w:rFonts w:ascii="Times New Roman" w:hAnsi="Times New Roman"/>
    </w:rPr>
  </w:style>
  <w:style w:type="paragraph" w:styleId="TOC1">
    <w:name w:val="toc 1"/>
    <w:basedOn w:val="TOCBase"/>
    <w:next w:val="Normal"/>
    <w:rsid w:val="00A07B2D"/>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A07B2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07B2D"/>
    <w:rPr>
      <w:rFonts w:ascii="Times New Roman" w:eastAsia="Times New Roman" w:hAnsi="Times New Roman" w:cs="Times New Roman"/>
      <w:sz w:val="16"/>
      <w:lang w:eastAsia="en-US"/>
    </w:rPr>
  </w:style>
  <w:style w:type="paragraph" w:styleId="Title">
    <w:name w:val="Title"/>
    <w:basedOn w:val="HeadingBase"/>
    <w:link w:val="TitleChar"/>
    <w:qFormat/>
    <w:rsid w:val="00A07B2D"/>
    <w:pPr>
      <w:spacing w:before="5040"/>
      <w:jc w:val="center"/>
    </w:pPr>
    <w:rPr>
      <w:sz w:val="48"/>
      <w:szCs w:val="72"/>
      <w:lang w:val="en-US"/>
    </w:rPr>
  </w:style>
  <w:style w:type="character" w:customStyle="1" w:styleId="TitleChar">
    <w:name w:val="Title Char"/>
    <w:basedOn w:val="DefaultParagraphFont"/>
    <w:link w:val="Title"/>
    <w:rsid w:val="00A07B2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07B2D"/>
    <w:pPr>
      <w:tabs>
        <w:tab w:val="left" w:pos="3600"/>
        <w:tab w:val="left" w:pos="3958"/>
      </w:tabs>
    </w:pPr>
  </w:style>
  <w:style w:type="paragraph" w:styleId="List">
    <w:name w:val="List"/>
    <w:basedOn w:val="BodyText"/>
    <w:next w:val="BodyText"/>
    <w:rsid w:val="00A07B2D"/>
    <w:pPr>
      <w:tabs>
        <w:tab w:val="left" w:pos="340"/>
      </w:tabs>
      <w:spacing w:before="60" w:after="60"/>
      <w:ind w:left="340" w:hanging="340"/>
    </w:pPr>
  </w:style>
  <w:style w:type="paragraph" w:customStyle="1" w:styleId="Note">
    <w:name w:val="Note"/>
    <w:basedOn w:val="BodyText"/>
    <w:rsid w:val="00A07B2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07B2D"/>
    <w:pPr>
      <w:framePr w:wrap="auto" w:hAnchor="text" w:y="6049"/>
    </w:pPr>
    <w:rPr>
      <w:color w:val="000000"/>
      <w:sz w:val="40"/>
    </w:rPr>
  </w:style>
  <w:style w:type="paragraph" w:customStyle="1" w:styleId="TOCTitle">
    <w:name w:val="TOCTitle"/>
    <w:basedOn w:val="Heading1"/>
    <w:rsid w:val="00A07B2D"/>
    <w:pPr>
      <w:spacing w:after="240"/>
      <w:jc w:val="center"/>
      <w:outlineLvl w:val="9"/>
    </w:pPr>
    <w:rPr>
      <w:caps/>
    </w:rPr>
  </w:style>
  <w:style w:type="paragraph" w:customStyle="1" w:styleId="Version">
    <w:name w:val="Version"/>
    <w:rsid w:val="00A07B2D"/>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A07B2D"/>
    <w:pPr>
      <w:keepNext w:val="0"/>
      <w:tabs>
        <w:tab w:val="right" w:pos="4176"/>
      </w:tabs>
      <w:ind w:left="198" w:hanging="198"/>
    </w:pPr>
    <w:rPr>
      <w:rFonts w:ascii="Garamond" w:hAnsi="Garamond"/>
    </w:rPr>
  </w:style>
  <w:style w:type="paragraph" w:styleId="IndexHeading">
    <w:name w:val="index heading"/>
    <w:basedOn w:val="Normal"/>
    <w:next w:val="Index1"/>
    <w:semiHidden/>
    <w:rsid w:val="00A07B2D"/>
    <w:pPr>
      <w:spacing w:before="120" w:after="120"/>
    </w:pPr>
    <w:rPr>
      <w:rFonts w:ascii="Arial" w:hAnsi="Arial"/>
      <w:b/>
      <w:color w:val="918585"/>
      <w:sz w:val="24"/>
    </w:rPr>
  </w:style>
  <w:style w:type="paragraph" w:styleId="Header">
    <w:name w:val="header"/>
    <w:basedOn w:val="Normal"/>
    <w:link w:val="HeaderChar"/>
    <w:rsid w:val="00A07B2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07B2D"/>
    <w:rPr>
      <w:rFonts w:ascii="Times New Roman" w:eastAsia="Times New Roman" w:hAnsi="Times New Roman" w:cs="Times New Roman"/>
      <w:sz w:val="16"/>
      <w:szCs w:val="20"/>
      <w:lang w:val="en-GB" w:eastAsia="en-US"/>
    </w:rPr>
  </w:style>
  <w:style w:type="paragraph" w:customStyle="1" w:styleId="Chapter">
    <w:name w:val="Chapter"/>
    <w:basedOn w:val="Normal"/>
    <w:rsid w:val="00A07B2D"/>
    <w:pPr>
      <w:spacing w:before="240"/>
    </w:pPr>
    <w:rPr>
      <w:rFonts w:ascii="Times New Roman" w:hAnsi="Times New Roman"/>
      <w:smallCaps/>
      <w:spacing w:val="80"/>
      <w:sz w:val="28"/>
    </w:rPr>
  </w:style>
  <w:style w:type="paragraph" w:customStyle="1" w:styleId="InChapter">
    <w:name w:val="InChapter"/>
    <w:basedOn w:val="Heading3"/>
    <w:rsid w:val="00A07B2D"/>
    <w:pPr>
      <w:spacing w:after="240"/>
      <w:outlineLvl w:val="9"/>
    </w:pPr>
    <w:rPr>
      <w:noProof/>
    </w:rPr>
  </w:style>
  <w:style w:type="paragraph" w:styleId="Index2">
    <w:name w:val="index 2"/>
    <w:basedOn w:val="Normal"/>
    <w:next w:val="Normal"/>
    <w:semiHidden/>
    <w:rsid w:val="00A07B2D"/>
    <w:pPr>
      <w:tabs>
        <w:tab w:val="right" w:pos="4176"/>
      </w:tabs>
      <w:ind w:left="568" w:hanging="284"/>
    </w:pPr>
    <w:rPr>
      <w:rFonts w:ascii="Garamond" w:hAnsi="Garamond"/>
    </w:rPr>
  </w:style>
  <w:style w:type="paragraph" w:customStyle="1" w:styleId="Byline">
    <w:name w:val="Byline"/>
    <w:rsid w:val="00A07B2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07B2D"/>
    <w:pPr>
      <w:tabs>
        <w:tab w:val="clear" w:pos="3600"/>
        <w:tab w:val="clear" w:pos="3958"/>
      </w:tabs>
      <w:jc w:val="right"/>
    </w:pPr>
  </w:style>
  <w:style w:type="paragraph" w:styleId="Caption">
    <w:name w:val="caption"/>
    <w:basedOn w:val="BodyText"/>
    <w:next w:val="Normal"/>
    <w:qFormat/>
    <w:rsid w:val="00A07B2D"/>
    <w:pPr>
      <w:framePr w:w="2268" w:hSpace="181" w:vSpace="181" w:wrap="around" w:vAnchor="text" w:hAnchor="page" w:x="1135" w:y="285" w:anchorLock="1"/>
    </w:pPr>
    <w:rPr>
      <w:i/>
    </w:rPr>
  </w:style>
  <w:style w:type="paragraph" w:customStyle="1" w:styleId="MiniTOCTitle">
    <w:name w:val="MiniTOCTitle"/>
    <w:basedOn w:val="Heading4"/>
    <w:rsid w:val="00A07B2D"/>
    <w:pPr>
      <w:spacing w:before="240"/>
      <w:outlineLvl w:val="9"/>
    </w:pPr>
    <w:rPr>
      <w:noProof/>
      <w:sz w:val="24"/>
    </w:rPr>
  </w:style>
  <w:style w:type="paragraph" w:customStyle="1" w:styleId="MiniTOCItem">
    <w:name w:val="MiniTOCItem"/>
    <w:basedOn w:val="ListBullet"/>
    <w:rsid w:val="00A07B2D"/>
    <w:pPr>
      <w:numPr>
        <w:numId w:val="0"/>
      </w:numPr>
      <w:tabs>
        <w:tab w:val="right" w:leader="dot" w:pos="6521"/>
      </w:tabs>
      <w:spacing w:before="0" w:after="0"/>
    </w:pPr>
  </w:style>
  <w:style w:type="paragraph" w:customStyle="1" w:styleId="TOFTitle">
    <w:name w:val="TOFTitle"/>
    <w:basedOn w:val="TOCTitle"/>
    <w:rsid w:val="00A07B2D"/>
  </w:style>
  <w:style w:type="paragraph" w:styleId="TableofFigures">
    <w:name w:val="table of figures"/>
    <w:basedOn w:val="Normal"/>
    <w:next w:val="Normal"/>
    <w:semiHidden/>
    <w:rsid w:val="00A07B2D"/>
    <w:pPr>
      <w:tabs>
        <w:tab w:val="right" w:leader="dot" w:pos="9072"/>
      </w:tabs>
      <w:ind w:left="970" w:hanging="403"/>
    </w:pPr>
    <w:rPr>
      <w:rFonts w:ascii="Times New Roman" w:hAnsi="Times New Roman"/>
      <w:b/>
    </w:rPr>
  </w:style>
  <w:style w:type="paragraph" w:styleId="ListNumber">
    <w:name w:val="List Number"/>
    <w:basedOn w:val="List"/>
    <w:rsid w:val="00A07B2D"/>
    <w:pPr>
      <w:numPr>
        <w:numId w:val="11"/>
      </w:numPr>
    </w:pPr>
  </w:style>
  <w:style w:type="character" w:customStyle="1" w:styleId="WingdingSymbols">
    <w:name w:val="Wingding Symbols"/>
    <w:rsid w:val="00A07B2D"/>
    <w:rPr>
      <w:rFonts w:ascii="Wingdings" w:hAnsi="Wingdings"/>
    </w:rPr>
  </w:style>
  <w:style w:type="paragraph" w:customStyle="1" w:styleId="TableHeading">
    <w:name w:val="Table Heading"/>
    <w:basedOn w:val="HeadingBase"/>
    <w:rsid w:val="00A07B2D"/>
    <w:pPr>
      <w:keepLines/>
      <w:pBdr>
        <w:bottom w:val="single" w:sz="6" w:space="1" w:color="918585"/>
      </w:pBdr>
      <w:spacing w:before="240"/>
    </w:pPr>
  </w:style>
  <w:style w:type="character" w:customStyle="1" w:styleId="HotSpot">
    <w:name w:val="HotSpot"/>
    <w:rsid w:val="00A07B2D"/>
    <w:rPr>
      <w:color w:val="0033CC"/>
      <w:u w:val="none"/>
    </w:rPr>
  </w:style>
  <w:style w:type="paragraph" w:customStyle="1" w:styleId="BodyTextRight">
    <w:name w:val="Body Text Right"/>
    <w:basedOn w:val="BodyText"/>
    <w:rsid w:val="00A07B2D"/>
    <w:pPr>
      <w:spacing w:before="0" w:after="0"/>
      <w:jc w:val="right"/>
    </w:pPr>
  </w:style>
  <w:style w:type="paragraph" w:styleId="Index3">
    <w:name w:val="index 3"/>
    <w:basedOn w:val="ListNumber2"/>
    <w:next w:val="Normal"/>
    <w:semiHidden/>
    <w:rsid w:val="00A07B2D"/>
    <w:pPr>
      <w:numPr>
        <w:numId w:val="0"/>
      </w:numPr>
      <w:tabs>
        <w:tab w:val="right" w:leader="dot" w:pos="4176"/>
      </w:tabs>
    </w:pPr>
  </w:style>
  <w:style w:type="paragraph" w:styleId="ListNumber2">
    <w:name w:val="List Number 2"/>
    <w:basedOn w:val="List2"/>
    <w:rsid w:val="00A07B2D"/>
    <w:pPr>
      <w:numPr>
        <w:numId w:val="10"/>
      </w:numPr>
      <w:tabs>
        <w:tab w:val="clear" w:pos="1060"/>
      </w:tabs>
    </w:pPr>
  </w:style>
  <w:style w:type="paragraph" w:customStyle="1" w:styleId="MarginNote">
    <w:name w:val="Margin Note"/>
    <w:basedOn w:val="BodyText"/>
    <w:rsid w:val="00A07B2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07B2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07B2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07B2D"/>
    <w:rPr>
      <w:sz w:val="32"/>
    </w:rPr>
  </w:style>
  <w:style w:type="paragraph" w:customStyle="1" w:styleId="HeadingProcedure">
    <w:name w:val="Heading Procedure"/>
    <w:basedOn w:val="HeadingBase"/>
    <w:next w:val="Normal"/>
    <w:rsid w:val="00A07B2D"/>
    <w:pPr>
      <w:tabs>
        <w:tab w:val="left" w:pos="0"/>
      </w:tabs>
      <w:spacing w:before="120" w:after="60"/>
    </w:pPr>
    <w:rPr>
      <w:i/>
      <w:color w:val="918585"/>
      <w:sz w:val="22"/>
    </w:rPr>
  </w:style>
  <w:style w:type="paragraph" w:customStyle="1" w:styleId="TableBodyText">
    <w:name w:val="Table Body Text"/>
    <w:basedOn w:val="BodyText"/>
    <w:rsid w:val="00A07B2D"/>
    <w:pPr>
      <w:spacing w:before="60" w:after="60"/>
    </w:pPr>
  </w:style>
  <w:style w:type="paragraph" w:styleId="ListContinue">
    <w:name w:val="List Continue"/>
    <w:basedOn w:val="List"/>
    <w:rsid w:val="00A07B2D"/>
    <w:pPr>
      <w:ind w:firstLine="0"/>
    </w:pPr>
  </w:style>
  <w:style w:type="paragraph" w:customStyle="1" w:styleId="ListNote">
    <w:name w:val="List Note"/>
    <w:basedOn w:val="List"/>
    <w:rsid w:val="00A07B2D"/>
    <w:pPr>
      <w:pBdr>
        <w:top w:val="single" w:sz="6" w:space="2" w:color="918585"/>
        <w:bottom w:val="single" w:sz="6" w:space="2" w:color="918585"/>
      </w:pBdr>
      <w:tabs>
        <w:tab w:val="left" w:pos="1021"/>
      </w:tabs>
      <w:ind w:firstLine="0"/>
    </w:pPr>
  </w:style>
  <w:style w:type="paragraph" w:customStyle="1" w:styleId="Warning">
    <w:name w:val="Warning"/>
    <w:basedOn w:val="BodyText"/>
    <w:rsid w:val="00A07B2D"/>
    <w:pPr>
      <w:shd w:val="clear" w:color="auto" w:fill="D9D9D9"/>
      <w:tabs>
        <w:tab w:val="left" w:pos="992"/>
      </w:tabs>
      <w:ind w:left="119" w:right="119"/>
    </w:pPr>
    <w:rPr>
      <w:sz w:val="20"/>
    </w:rPr>
  </w:style>
  <w:style w:type="paragraph" w:customStyle="1" w:styleId="MarginIcons">
    <w:name w:val="Margin Icons"/>
    <w:basedOn w:val="BodyText"/>
    <w:rsid w:val="00A07B2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07B2D"/>
    <w:rPr>
      <w:rFonts w:ascii="Courier New" w:hAnsi="Courier New"/>
    </w:rPr>
  </w:style>
  <w:style w:type="paragraph" w:customStyle="1" w:styleId="NoteBullet">
    <w:name w:val="Note Bullet"/>
    <w:basedOn w:val="Note"/>
    <w:rsid w:val="00A07B2D"/>
    <w:pPr>
      <w:tabs>
        <w:tab w:val="clear" w:pos="680"/>
      </w:tabs>
      <w:spacing w:before="60" w:after="60"/>
    </w:pPr>
  </w:style>
  <w:style w:type="paragraph" w:customStyle="1" w:styleId="SubHeading2">
    <w:name w:val="SubHeading2"/>
    <w:basedOn w:val="HeadingBase"/>
    <w:rsid w:val="00A07B2D"/>
    <w:pPr>
      <w:spacing w:before="240" w:after="60"/>
    </w:pPr>
    <w:rPr>
      <w:sz w:val="20"/>
    </w:rPr>
  </w:style>
  <w:style w:type="paragraph" w:customStyle="1" w:styleId="SubHeading1">
    <w:name w:val="SubHeading1"/>
    <w:basedOn w:val="HeadingBase"/>
    <w:rsid w:val="00A07B2D"/>
    <w:pPr>
      <w:spacing w:before="240" w:after="60"/>
    </w:pPr>
    <w:rPr>
      <w:color w:val="918585"/>
      <w:sz w:val="22"/>
    </w:rPr>
  </w:style>
  <w:style w:type="paragraph" w:customStyle="1" w:styleId="SideHeading">
    <w:name w:val="Side Heading"/>
    <w:basedOn w:val="HeadingBase"/>
    <w:rsid w:val="00A07B2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07B2D"/>
    <w:pPr>
      <w:numPr>
        <w:numId w:val="12"/>
      </w:numPr>
    </w:pPr>
  </w:style>
  <w:style w:type="paragraph" w:styleId="PlainText">
    <w:name w:val="Plain Text"/>
    <w:basedOn w:val="Normal"/>
    <w:link w:val="PlainTextChar"/>
    <w:rsid w:val="00A07B2D"/>
    <w:rPr>
      <w:sz w:val="20"/>
    </w:rPr>
  </w:style>
  <w:style w:type="character" w:customStyle="1" w:styleId="PlainTextChar">
    <w:name w:val="Plain Text Char"/>
    <w:basedOn w:val="DefaultParagraphFont"/>
    <w:link w:val="PlainText"/>
    <w:rsid w:val="00A07B2D"/>
    <w:rPr>
      <w:rFonts w:ascii="Courier New" w:eastAsia="Times New Roman" w:hAnsi="Courier New" w:cs="Times New Roman"/>
      <w:sz w:val="20"/>
      <w:szCs w:val="20"/>
      <w:lang w:eastAsia="en-US"/>
    </w:rPr>
  </w:style>
  <w:style w:type="character" w:customStyle="1" w:styleId="MenuOption">
    <w:name w:val="Menu Option"/>
    <w:basedOn w:val="DefaultParagraphFont"/>
    <w:rsid w:val="00A07B2D"/>
    <w:rPr>
      <w:b/>
      <w:smallCaps/>
    </w:rPr>
  </w:style>
  <w:style w:type="paragraph" w:customStyle="1" w:styleId="TableListNumber">
    <w:name w:val="Table List Number"/>
    <w:basedOn w:val="ListNumber"/>
    <w:rsid w:val="00A07B2D"/>
    <w:pPr>
      <w:numPr>
        <w:numId w:val="0"/>
      </w:numPr>
    </w:pPr>
  </w:style>
  <w:style w:type="paragraph" w:styleId="TOC4">
    <w:name w:val="toc 4"/>
    <w:basedOn w:val="TOCBase"/>
    <w:next w:val="Normal"/>
    <w:semiHidden/>
    <w:rsid w:val="00A07B2D"/>
    <w:pPr>
      <w:tabs>
        <w:tab w:val="right" w:leader="dot" w:pos="9071"/>
      </w:tabs>
      <w:ind w:left="1701"/>
    </w:pPr>
  </w:style>
  <w:style w:type="paragraph" w:customStyle="1" w:styleId="ListAlpha">
    <w:name w:val="List Alpha"/>
    <w:basedOn w:val="List"/>
    <w:rsid w:val="00A07B2D"/>
    <w:pPr>
      <w:numPr>
        <w:numId w:val="9"/>
      </w:numPr>
    </w:pPr>
  </w:style>
  <w:style w:type="paragraph" w:customStyle="1" w:styleId="ListAlpha2">
    <w:name w:val="List Alpha 2"/>
    <w:basedOn w:val="List2"/>
    <w:rsid w:val="00A07B2D"/>
    <w:pPr>
      <w:numPr>
        <w:numId w:val="8"/>
      </w:numPr>
    </w:pPr>
  </w:style>
  <w:style w:type="paragraph" w:styleId="List2">
    <w:name w:val="List 2"/>
    <w:basedOn w:val="BodyText"/>
    <w:rsid w:val="00A07B2D"/>
    <w:pPr>
      <w:tabs>
        <w:tab w:val="left" w:pos="680"/>
      </w:tabs>
      <w:spacing w:before="60" w:after="60"/>
      <w:ind w:left="680" w:hanging="340"/>
    </w:pPr>
  </w:style>
  <w:style w:type="paragraph" w:styleId="List3">
    <w:name w:val="List 3"/>
    <w:basedOn w:val="BodyText"/>
    <w:rsid w:val="00A07B2D"/>
    <w:pPr>
      <w:tabs>
        <w:tab w:val="left" w:pos="1021"/>
      </w:tabs>
      <w:spacing w:before="60" w:after="60"/>
      <w:ind w:left="1020" w:hanging="340"/>
    </w:pPr>
  </w:style>
  <w:style w:type="paragraph" w:styleId="List4">
    <w:name w:val="List 4"/>
    <w:basedOn w:val="BodyText"/>
    <w:rsid w:val="00A07B2D"/>
    <w:pPr>
      <w:tabs>
        <w:tab w:val="left" w:pos="1361"/>
      </w:tabs>
      <w:spacing w:before="60" w:after="60"/>
      <w:ind w:left="1361" w:hanging="340"/>
    </w:pPr>
  </w:style>
  <w:style w:type="paragraph" w:styleId="List5">
    <w:name w:val="List 5"/>
    <w:basedOn w:val="BodyText"/>
    <w:rsid w:val="00A07B2D"/>
    <w:pPr>
      <w:tabs>
        <w:tab w:val="left" w:pos="1701"/>
      </w:tabs>
      <w:spacing w:before="60" w:after="60"/>
      <w:ind w:left="1701" w:hanging="340"/>
    </w:pPr>
  </w:style>
  <w:style w:type="paragraph" w:styleId="ListBullet3">
    <w:name w:val="List Bullet 3"/>
    <w:basedOn w:val="List3"/>
    <w:rsid w:val="00A07B2D"/>
    <w:pPr>
      <w:numPr>
        <w:numId w:val="15"/>
      </w:numPr>
      <w:tabs>
        <w:tab w:val="clear" w:pos="1021"/>
      </w:tabs>
      <w:ind w:left="1037" w:hanging="357"/>
    </w:pPr>
  </w:style>
  <w:style w:type="paragraph" w:styleId="ListBullet4">
    <w:name w:val="List Bullet 4"/>
    <w:basedOn w:val="List4"/>
    <w:rsid w:val="00A07B2D"/>
    <w:pPr>
      <w:numPr>
        <w:numId w:val="3"/>
      </w:numPr>
    </w:pPr>
  </w:style>
  <w:style w:type="paragraph" w:styleId="ListBullet5">
    <w:name w:val="List Bullet 5"/>
    <w:basedOn w:val="List5"/>
    <w:rsid w:val="00A07B2D"/>
    <w:pPr>
      <w:numPr>
        <w:numId w:val="4"/>
      </w:numPr>
    </w:pPr>
  </w:style>
  <w:style w:type="paragraph" w:styleId="ListContinue2">
    <w:name w:val="List Continue 2"/>
    <w:basedOn w:val="List2"/>
    <w:rsid w:val="00A07B2D"/>
    <w:pPr>
      <w:ind w:firstLine="0"/>
    </w:pPr>
  </w:style>
  <w:style w:type="paragraph" w:styleId="ListContinue3">
    <w:name w:val="List Continue 3"/>
    <w:basedOn w:val="List3"/>
    <w:rsid w:val="00A07B2D"/>
    <w:pPr>
      <w:ind w:left="1021" w:firstLine="0"/>
    </w:pPr>
  </w:style>
  <w:style w:type="paragraph" w:styleId="ListContinue4">
    <w:name w:val="List Continue 4"/>
    <w:basedOn w:val="List4"/>
    <w:rsid w:val="00A07B2D"/>
    <w:pPr>
      <w:ind w:firstLine="0"/>
    </w:pPr>
  </w:style>
  <w:style w:type="paragraph" w:styleId="ListContinue5">
    <w:name w:val="List Continue 5"/>
    <w:basedOn w:val="List5"/>
    <w:rsid w:val="00A07B2D"/>
    <w:pPr>
      <w:ind w:firstLine="0"/>
    </w:pPr>
  </w:style>
  <w:style w:type="paragraph" w:styleId="ListNumber3">
    <w:name w:val="List Number 3"/>
    <w:basedOn w:val="List3"/>
    <w:rsid w:val="00A07B2D"/>
    <w:pPr>
      <w:numPr>
        <w:numId w:val="5"/>
      </w:numPr>
    </w:pPr>
  </w:style>
  <w:style w:type="paragraph" w:styleId="ListNumber4">
    <w:name w:val="List Number 4"/>
    <w:basedOn w:val="List4"/>
    <w:rsid w:val="00A07B2D"/>
    <w:pPr>
      <w:numPr>
        <w:numId w:val="6"/>
      </w:numPr>
    </w:pPr>
  </w:style>
  <w:style w:type="paragraph" w:styleId="ListNumber5">
    <w:name w:val="List Number 5"/>
    <w:basedOn w:val="List5"/>
    <w:rsid w:val="00A07B2D"/>
    <w:pPr>
      <w:numPr>
        <w:numId w:val="7"/>
      </w:numPr>
    </w:pPr>
  </w:style>
  <w:style w:type="paragraph" w:styleId="BlockText">
    <w:name w:val="Block Text"/>
    <w:basedOn w:val="Normal"/>
    <w:rsid w:val="00A07B2D"/>
    <w:pPr>
      <w:spacing w:after="120"/>
      <w:ind w:left="1440" w:right="1440"/>
    </w:pPr>
  </w:style>
  <w:style w:type="character" w:customStyle="1" w:styleId="Subscript">
    <w:name w:val="Subscript"/>
    <w:basedOn w:val="DefaultParagraphFont"/>
    <w:rsid w:val="00A07B2D"/>
    <w:rPr>
      <w:sz w:val="16"/>
      <w:vertAlign w:val="subscript"/>
    </w:rPr>
  </w:style>
  <w:style w:type="character" w:customStyle="1" w:styleId="Superscript">
    <w:name w:val="Superscript"/>
    <w:basedOn w:val="DefaultParagraphFont"/>
    <w:rsid w:val="00A07B2D"/>
    <w:rPr>
      <w:sz w:val="16"/>
      <w:vertAlign w:val="superscript"/>
    </w:rPr>
  </w:style>
  <w:style w:type="character" w:customStyle="1" w:styleId="Symbols">
    <w:name w:val="Symbols"/>
    <w:basedOn w:val="DefaultParagraphFont"/>
    <w:rsid w:val="00A07B2D"/>
    <w:rPr>
      <w:rFonts w:ascii="Symbol" w:hAnsi="Symbol"/>
    </w:rPr>
  </w:style>
  <w:style w:type="character" w:customStyle="1" w:styleId="MenuOptions">
    <w:name w:val="Menu Options"/>
    <w:basedOn w:val="DefaultParagraphFont"/>
    <w:rsid w:val="00A07B2D"/>
    <w:rPr>
      <w:rFonts w:ascii="Arial Narrow" w:hAnsi="Arial Narrow"/>
      <w:smallCaps/>
    </w:rPr>
  </w:style>
  <w:style w:type="character" w:customStyle="1" w:styleId="Buttons">
    <w:name w:val="Buttons"/>
    <w:basedOn w:val="DefaultParagraphFont"/>
    <w:rsid w:val="00A07B2D"/>
    <w:rPr>
      <w:b/>
    </w:rPr>
  </w:style>
  <w:style w:type="character" w:customStyle="1" w:styleId="Underlined">
    <w:name w:val="Underlined"/>
    <w:basedOn w:val="DefaultParagraphFont"/>
    <w:rsid w:val="00A07B2D"/>
    <w:rPr>
      <w:u w:val="single"/>
    </w:rPr>
  </w:style>
  <w:style w:type="paragraph" w:customStyle="1" w:styleId="TableBodyTextRight">
    <w:name w:val="Table Body Text Right"/>
    <w:basedOn w:val="TableBodyText"/>
    <w:rsid w:val="00A07B2D"/>
    <w:pPr>
      <w:widowControl w:val="0"/>
      <w:autoSpaceDE w:val="0"/>
      <w:autoSpaceDN w:val="0"/>
      <w:adjustRightInd w:val="0"/>
      <w:jc w:val="right"/>
    </w:pPr>
    <w:rPr>
      <w:rFonts w:cs="Arial"/>
      <w:szCs w:val="18"/>
    </w:rPr>
  </w:style>
  <w:style w:type="paragraph" w:customStyle="1" w:styleId="CopyrightText">
    <w:name w:val="Copyright Text"/>
    <w:basedOn w:val="BodyText"/>
    <w:rsid w:val="00A07B2D"/>
    <w:rPr>
      <w:sz w:val="18"/>
    </w:rPr>
  </w:style>
  <w:style w:type="paragraph" w:customStyle="1" w:styleId="BodySmallRight">
    <w:name w:val="Body Small Right"/>
    <w:basedOn w:val="BodyTextRight"/>
    <w:rsid w:val="00A07B2D"/>
    <w:rPr>
      <w:sz w:val="18"/>
      <w:szCs w:val="18"/>
    </w:rPr>
  </w:style>
  <w:style w:type="paragraph" w:customStyle="1" w:styleId="MarginEdition">
    <w:name w:val="Margin Edition"/>
    <w:basedOn w:val="MarginNote"/>
    <w:rsid w:val="00A07B2D"/>
    <w:pPr>
      <w:spacing w:before="0" w:after="0"/>
    </w:pPr>
    <w:rPr>
      <w:rFonts w:ascii="Times New Roman" w:hAnsi="Times New Roman"/>
      <w:color w:val="999999"/>
    </w:rPr>
  </w:style>
  <w:style w:type="paragraph" w:customStyle="1" w:styleId="Spacer">
    <w:name w:val="Spacer"/>
    <w:basedOn w:val="Normal"/>
    <w:rsid w:val="00A07B2D"/>
    <w:rPr>
      <w:sz w:val="2"/>
      <w:szCs w:val="2"/>
    </w:rPr>
  </w:style>
  <w:style w:type="character" w:customStyle="1" w:styleId="Small">
    <w:name w:val="Small"/>
    <w:basedOn w:val="DefaultParagraphFont"/>
    <w:rsid w:val="00A07B2D"/>
    <w:rPr>
      <w:sz w:val="16"/>
    </w:rPr>
  </w:style>
  <w:style w:type="paragraph" w:customStyle="1" w:styleId="WideTable">
    <w:name w:val="Wide Table"/>
    <w:basedOn w:val="Normal"/>
    <w:rsid w:val="00A07B2D"/>
    <w:pPr>
      <w:ind w:left="-1418"/>
    </w:pPr>
    <w:rPr>
      <w:sz w:val="2"/>
      <w:szCs w:val="2"/>
    </w:rPr>
  </w:style>
  <w:style w:type="character" w:styleId="PageNumber">
    <w:name w:val="page number"/>
    <w:basedOn w:val="DefaultParagraphFont"/>
    <w:rsid w:val="00A07B2D"/>
  </w:style>
  <w:style w:type="paragraph" w:styleId="Quote">
    <w:name w:val="Quote"/>
    <w:basedOn w:val="Heading1"/>
    <w:link w:val="QuoteChar"/>
    <w:qFormat/>
    <w:rsid w:val="00A07B2D"/>
    <w:rPr>
      <w:b w:val="0"/>
      <w:sz w:val="72"/>
      <w:szCs w:val="72"/>
      <w:lang w:val="en-NZ"/>
    </w:rPr>
  </w:style>
  <w:style w:type="character" w:customStyle="1" w:styleId="QuoteChar">
    <w:name w:val="Quote Char"/>
    <w:basedOn w:val="DefaultParagraphFont"/>
    <w:link w:val="Quote"/>
    <w:rsid w:val="00A07B2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07B2D"/>
    <w:pPr>
      <w:pageBreakBefore/>
    </w:pPr>
  </w:style>
  <w:style w:type="paragraph" w:customStyle="1" w:styleId="Border">
    <w:name w:val="Border"/>
    <w:basedOn w:val="Normal"/>
    <w:qFormat/>
    <w:rsid w:val="00A07B2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07B2D"/>
    <w:rPr>
      <w:b/>
      <w:bCs/>
      <w:i/>
      <w:iCs/>
      <w:color w:val="auto"/>
    </w:rPr>
  </w:style>
  <w:style w:type="paragraph" w:styleId="IntenseQuote">
    <w:name w:val="Intense Quote"/>
    <w:basedOn w:val="Normal"/>
    <w:next w:val="Normal"/>
    <w:link w:val="IntenseQuoteChar"/>
    <w:uiPriority w:val="30"/>
    <w:qFormat/>
    <w:rsid w:val="00A07B2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07B2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07B2D"/>
    <w:rPr>
      <w:smallCaps/>
      <w:color w:val="auto"/>
      <w:u w:val="single"/>
    </w:rPr>
  </w:style>
  <w:style w:type="character" w:styleId="IntenseReference">
    <w:name w:val="Intense Reference"/>
    <w:basedOn w:val="DefaultParagraphFont"/>
    <w:uiPriority w:val="32"/>
    <w:qFormat/>
    <w:rsid w:val="00A07B2D"/>
    <w:rPr>
      <w:b/>
      <w:bCs/>
      <w:smallCaps/>
      <w:color w:val="auto"/>
      <w:spacing w:val="5"/>
      <w:u w:val="single"/>
    </w:rPr>
  </w:style>
  <w:style w:type="paragraph" w:customStyle="1" w:styleId="2ColumnHeading">
    <w:name w:val="2Column Heading"/>
    <w:basedOn w:val="BodyText"/>
    <w:qFormat/>
    <w:rsid w:val="00A07B2D"/>
    <w:pPr>
      <w:spacing w:after="60"/>
      <w:ind w:left="-2268"/>
    </w:pPr>
    <w:rPr>
      <w:b/>
    </w:rPr>
  </w:style>
  <w:style w:type="paragraph" w:customStyle="1" w:styleId="Heading1TOC">
    <w:name w:val="Heading1 TOC"/>
    <w:basedOn w:val="Normal"/>
    <w:qFormat/>
    <w:rsid w:val="00A07B2D"/>
    <w:pPr>
      <w:spacing w:before="240" w:after="120"/>
    </w:pPr>
    <w:rPr>
      <w:rFonts w:ascii="Times New Roman" w:hAnsi="Times New Roman"/>
      <w:b/>
      <w:sz w:val="32"/>
    </w:rPr>
  </w:style>
  <w:style w:type="paragraph" w:customStyle="1" w:styleId="Heading2TOC">
    <w:name w:val="Heading2 TOC"/>
    <w:basedOn w:val="Normal"/>
    <w:qFormat/>
    <w:rsid w:val="00A07B2D"/>
    <w:pPr>
      <w:spacing w:before="240" w:after="60"/>
    </w:pPr>
    <w:rPr>
      <w:rFonts w:ascii="Times New Roman" w:hAnsi="Times New Roman"/>
      <w:b/>
      <w:sz w:val="28"/>
    </w:rPr>
  </w:style>
  <w:style w:type="character" w:customStyle="1" w:styleId="Underline">
    <w:name w:val="Underline"/>
    <w:basedOn w:val="DefaultParagraphFont"/>
    <w:qFormat/>
    <w:rsid w:val="00A07B2D"/>
    <w:rPr>
      <w:u w:val="single"/>
    </w:rPr>
  </w:style>
  <w:style w:type="paragraph" w:styleId="BalloonText">
    <w:name w:val="Balloon Text"/>
    <w:basedOn w:val="Normal"/>
    <w:link w:val="BalloonTextChar"/>
    <w:rsid w:val="00A07B2D"/>
    <w:rPr>
      <w:rFonts w:ascii="Tahoma" w:hAnsi="Tahoma" w:cs="Tahoma"/>
      <w:sz w:val="16"/>
      <w:szCs w:val="16"/>
    </w:rPr>
  </w:style>
  <w:style w:type="character" w:customStyle="1" w:styleId="BalloonTextChar">
    <w:name w:val="Balloon Text Char"/>
    <w:basedOn w:val="DefaultParagraphFont"/>
    <w:link w:val="BalloonText"/>
    <w:rsid w:val="00A07B2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07B2D"/>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A07B2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07B2D"/>
    <w:rPr>
      <w:b/>
      <w:color w:val="660033"/>
      <w:spacing w:val="0"/>
    </w:rPr>
  </w:style>
  <w:style w:type="paragraph" w:customStyle="1" w:styleId="Nameditemlist">
    <w:name w:val="Named item list"/>
    <w:basedOn w:val="BodyText"/>
    <w:qFormat/>
    <w:rsid w:val="00A07B2D"/>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1360</Words>
  <Characters>8731</Characters>
  <Application>Microsoft Office Word</Application>
  <DocSecurity>0</DocSecurity>
  <Lines>303</Lines>
  <Paragraphs>170</Paragraphs>
  <ScaleCrop>false</ScaleCrop>
  <Company>Author-it Software Corporation Ltd.</Company>
  <LinksUpToDate>false</LinksUpToDate>
  <CharactersWithSpaces>10003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CPPSIS4022A Store and retrieve spatial data</dc:title>
  <dc:subject>Approved</dc:subject>
  <dc:creator>Construction &amp; Property Services Industry Skills Council</dc:creator>
  <cp:keywords>Release:</cp:keywords>
  <dc:description>Copyright © 1996-2007 Author-it Software Corporation Ltd., all rights reserved.</dc:description>
  <cp:lastModifiedBy>TPCMS</cp:lastModifiedBy>
  <cp:revision>3</cp:revision>
  <dcterms:created xsi:type="dcterms:W3CDTF">2012-11-27T02:13:00Z</dcterms:created>
  <dcterms:modified xsi:type="dcterms:W3CDTF">2012-11-27T02:13:00Z</dcterms:modified>
</cp:coreProperties>
</file>