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C22" w:rsidP="00206C22">
      <w:pPr>
        <w:pStyle w:val="Title"/>
      </w:pPr>
      <w:r>
        <w:fldChar w:fldCharType="begin"/>
      </w:r>
      <w:r>
        <w:instrText xml:space="preserve"> TITLE   \* MERGEFORMAT </w:instrText>
      </w:r>
      <w:r>
        <w:fldChar w:fldCharType="separate"/>
      </w:r>
      <w:r>
        <w:t>CPPSEC5003A Assess security risk management options</w:t>
      </w:r>
      <w:r>
        <w:fldChar w:fldCharType="end"/>
      </w:r>
    </w:p>
    <w:p w:rsidR="00206C22" w:rsidP="00206C22">
      <w:pPr>
        <w:pStyle w:val="Version"/>
        <w:sectPr w:rsidSect="00F70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0F1" w:rsidP="00F700F1">
      <w:pPr>
        <w:pStyle w:val="SuperHeading"/>
      </w:pPr>
      <w:r w:rsidRPr="00F700F1">
        <w:t>CPPSEC5003A Assess security risk management options</w:t>
      </w:r>
    </w:p>
    <w:p w:rsidR="00000000" w:rsidRPr="00F700F1" w:rsidP="00F700F1">
      <w:pPr>
        <w:pStyle w:val="Heading1"/>
      </w:pPr>
      <w:bookmarkStart w:id="1" w:name="O_270271"/>
      <w:bookmarkEnd w:id="1"/>
      <w:r w:rsidRPr="00F700F1">
        <w:t>Modification History</w:t>
      </w:r>
    </w:p>
    <w:p w:rsidR="00000000" w:rsidRPr="00F700F1" w:rsidP="00F700F1">
      <w:pPr>
        <w:pStyle w:val="BodyText"/>
      </w:pPr>
      <w:r w:rsidRPr="00F700F1">
        <w:t>Not Applicable</w:t>
      </w:r>
    </w:p>
    <w:p w:rsidR="00000000" w:rsidRPr="00F700F1" w:rsidP="00F700F1">
      <w:pPr>
        <w:pStyle w:val="AllowPageBreak"/>
      </w:pPr>
    </w:p>
    <w:p w:rsidR="00000000" w:rsidRPr="00F700F1" w:rsidP="00F700F1">
      <w:pPr>
        <w:pStyle w:val="Heading1"/>
      </w:pPr>
      <w:bookmarkStart w:id="2" w:name="O_202150"/>
      <w:bookmarkEnd w:id="2"/>
      <w:r w:rsidRPr="00F700F1">
        <w:t>Unit Descriptor</w:t>
      </w:r>
    </w:p>
    <w:tbl>
      <w:tblPr>
        <w:tblW w:w="0" w:type="auto"/>
        <w:tblLayout w:type="fixed"/>
        <w:tblCellMar>
          <w:left w:w="62" w:type="dxa"/>
          <w:right w:w="62" w:type="dxa"/>
        </w:tblCellMar>
        <w:tblLook w:val="0000"/>
      </w:tblPr>
      <w:tblGrid>
        <w:gridCol w:w="2391"/>
        <w:gridCol w:w="6131"/>
      </w:tblGrid>
      <w:tr w:rsidTr="00206C2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This unit of competency specifies the outcomes required to assess options for the manag</w:t>
            </w:r>
            <w:r w:rsidRPr="00F700F1">
              <w:t xml:space="preserve">ement of security risk in an organisational environment.  It requires the ability to compare treatment options against identified security risks, rank suitable treatment options, and prepare and present recommended options and supporting analysis.  </w:t>
            </w:r>
          </w:p>
          <w:p w:rsidR="00000000" w:rsidRPr="00F700F1" w:rsidP="00F700F1">
            <w:pPr>
              <w:pStyle w:val="BodyText"/>
            </w:pPr>
            <w:r w:rsidRPr="00F700F1">
              <w:t>This u</w:t>
            </w:r>
            <w:r w:rsidRPr="00F700F1">
              <w:t>nit may form part of the licensing requirements for persons engaged in risk assessment operations in those states and territories where these are regulated activities.</w:t>
            </w:r>
          </w:p>
        </w:tc>
      </w:tr>
    </w:tbl>
    <w:p w:rsidR="00206C22" w:rsidP="00F700F1">
      <w:pPr>
        <w:pStyle w:val="BodyText"/>
      </w:pPr>
    </w:p>
    <w:p w:rsidR="00206C22" w:rsidP="00F700F1">
      <w:pPr>
        <w:pStyle w:val="BodyText"/>
      </w:pPr>
    </w:p>
    <w:p w:rsidR="00000000" w:rsidRPr="00F700F1" w:rsidP="00F700F1">
      <w:pPr>
        <w:pStyle w:val="Heading1"/>
      </w:pPr>
      <w:bookmarkStart w:id="3" w:name="O_202152"/>
      <w:bookmarkEnd w:id="3"/>
      <w:r w:rsidRPr="00F700F1">
        <w:t>Application of the Unit</w:t>
      </w:r>
    </w:p>
    <w:tbl>
      <w:tblPr>
        <w:tblW w:w="0" w:type="auto"/>
        <w:tblLayout w:type="fixed"/>
        <w:tblCellMar>
          <w:left w:w="62" w:type="dxa"/>
          <w:right w:w="62" w:type="dxa"/>
        </w:tblCellMar>
        <w:tblLook w:val="0000"/>
      </w:tblPr>
      <w:tblGrid>
        <w:gridCol w:w="2391"/>
        <w:gridCol w:w="6131"/>
      </w:tblGrid>
      <w:tr w:rsidTr="00206C2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This unit of competency has application in those work roles involving the assessment of security risks in an organisational environment.  Competency requires legal and operational knowledge applicable to relevant sectors of the security industry. The knowl</w:t>
            </w:r>
            <w:r w:rsidRPr="00F700F1">
              <w:t>edge and skills described in this unit are to be applied within relevant legislative and organisational guidelines.</w:t>
            </w:r>
          </w:p>
        </w:tc>
      </w:tr>
    </w:tbl>
    <w:p w:rsidR="00206C22" w:rsidP="00F700F1">
      <w:pPr>
        <w:pStyle w:val="BodyText"/>
      </w:pPr>
    </w:p>
    <w:p w:rsidR="00206C22" w:rsidP="00F700F1">
      <w:pPr>
        <w:pStyle w:val="BodyText"/>
      </w:pPr>
    </w:p>
    <w:p w:rsidR="00000000" w:rsidRPr="00F700F1" w:rsidP="00F700F1">
      <w:pPr>
        <w:pStyle w:val="Heading1"/>
      </w:pPr>
      <w:bookmarkStart w:id="4" w:name="O_278531"/>
      <w:bookmarkEnd w:id="4"/>
      <w:r w:rsidRPr="00F700F1">
        <w:t>Licensing/Regulatory Information</w:t>
      </w:r>
    </w:p>
    <w:p w:rsidR="00000000" w:rsidRPr="00F700F1" w:rsidP="00F700F1">
      <w:pPr>
        <w:pStyle w:val="BodyText"/>
      </w:pPr>
      <w:r w:rsidRPr="00F700F1">
        <w:t>Refer to Unit Descriptor</w:t>
      </w:r>
    </w:p>
    <w:p w:rsidR="00000000" w:rsidRPr="00F700F1" w:rsidP="00F700F1">
      <w:pPr>
        <w:pStyle w:val="AllowPageBreak"/>
      </w:pPr>
    </w:p>
    <w:p w:rsidR="00000000" w:rsidRPr="00F700F1" w:rsidP="00F700F1">
      <w:pPr>
        <w:pStyle w:val="Heading1"/>
      </w:pPr>
      <w:bookmarkStart w:id="5" w:name="O_283652"/>
      <w:bookmarkEnd w:id="5"/>
      <w:r w:rsidRPr="00F700F1">
        <w:t>Pre-Requisites</w:t>
      </w:r>
    </w:p>
    <w:p w:rsidR="00000000" w:rsidRPr="00F700F1" w:rsidP="00F700F1">
      <w:pPr>
        <w:pStyle w:val="BodyText"/>
      </w:pPr>
      <w:r w:rsidRPr="00F700F1">
        <w:t>Not Applicable</w:t>
      </w:r>
    </w:p>
    <w:p w:rsidR="00000000" w:rsidRPr="00F700F1" w:rsidP="00F700F1">
      <w:pPr>
        <w:pStyle w:val="AllowPageBreak"/>
      </w:pPr>
    </w:p>
    <w:p w:rsidR="00000000" w:rsidRPr="00F700F1" w:rsidP="00F700F1">
      <w:pPr>
        <w:pStyle w:val="Heading1"/>
      </w:pPr>
      <w:bookmarkStart w:id="6" w:name="O_202151"/>
      <w:bookmarkEnd w:id="6"/>
      <w:r w:rsidRPr="00F700F1">
        <w:t>Employability Skills Information</w:t>
      </w:r>
    </w:p>
    <w:tbl>
      <w:tblPr>
        <w:tblW w:w="0" w:type="auto"/>
        <w:tblLayout w:type="fixed"/>
        <w:tblCellMar>
          <w:left w:w="62" w:type="dxa"/>
          <w:right w:w="62" w:type="dxa"/>
        </w:tblCellMar>
        <w:tblLook w:val="0000"/>
      </w:tblPr>
      <w:tblGrid>
        <w:gridCol w:w="2624"/>
        <w:gridCol w:w="5898"/>
      </w:tblGrid>
      <w:tr w:rsidTr="00206C2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This unit contains employability skills.</w:t>
            </w:r>
          </w:p>
        </w:tc>
      </w:tr>
    </w:tbl>
    <w:p w:rsidR="00206C22" w:rsidP="00F700F1">
      <w:pPr>
        <w:pStyle w:val="BodyText"/>
      </w:pPr>
    </w:p>
    <w:p w:rsidR="00206C22" w:rsidP="00F700F1">
      <w:pPr>
        <w:pStyle w:val="BodyText"/>
      </w:pPr>
    </w:p>
    <w:p w:rsidR="00000000" w:rsidRPr="00F700F1" w:rsidP="00F700F1">
      <w:pPr>
        <w:pStyle w:val="Heading1"/>
      </w:pPr>
      <w:bookmarkStart w:id="7" w:name="O_288317"/>
      <w:bookmarkEnd w:id="7"/>
      <w:r w:rsidRPr="00F700F1">
        <w:t>Elements and Performance Criteria Pre-Content</w:t>
      </w:r>
    </w:p>
    <w:tbl>
      <w:tblPr>
        <w:tblW w:w="0" w:type="auto"/>
        <w:tblLayout w:type="fixed"/>
        <w:tblCellMar>
          <w:left w:w="62" w:type="dxa"/>
          <w:right w:w="62" w:type="dxa"/>
        </w:tblCellMar>
        <w:tblLook w:val="0000"/>
      </w:tblPr>
      <w:tblGrid>
        <w:gridCol w:w="2412"/>
        <w:gridCol w:w="6110"/>
      </w:tblGrid>
      <w:tr w:rsidTr="00206C2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Performance c</w:t>
            </w:r>
            <w:r w:rsidRPr="00F700F1">
              <w:t xml:space="preserve">riteria describe the required performance needed to demonstrate achievement of the element. Where </w:t>
            </w:r>
            <w:r w:rsidRPr="00F700F1">
              <w:rPr>
                <w:rStyle w:val="BoldandItalics"/>
              </w:rPr>
              <w:t>bold italicised</w:t>
            </w:r>
            <w:r w:rsidRPr="00F700F1">
              <w:t xml:space="preserve"> text is used, further information is detailed in the required skills and knowledge section and/or the range statement. Assessment of performan</w:t>
            </w:r>
            <w:r w:rsidRPr="00F700F1">
              <w:t>ce is to be consistent with the evidence guide.</w:t>
            </w:r>
          </w:p>
        </w:tc>
      </w:tr>
    </w:tbl>
    <w:p w:rsidR="00000000" w:rsidRPr="00F700F1" w:rsidP="00F700F1">
      <w:pPr>
        <w:pStyle w:val="BodyText"/>
      </w:pPr>
    </w:p>
    <w:p w:rsidR="00000000" w:rsidRPr="00F700F1" w:rsidP="00F700F1">
      <w:pPr>
        <w:pStyle w:val="AllowPageBreak"/>
      </w:pPr>
    </w:p>
    <w:p w:rsidR="00000000" w:rsidRPr="00F700F1" w:rsidP="00F700F1">
      <w:pPr>
        <w:pStyle w:val="Heading1"/>
      </w:pPr>
      <w:bookmarkStart w:id="8" w:name="O_234984"/>
      <w:bookmarkEnd w:id="8"/>
      <w:r w:rsidRPr="00F700F1">
        <w:t>Elements and Performance Criteria</w:t>
      </w:r>
    </w:p>
    <w:tbl>
      <w:tblPr>
        <w:tblW w:w="0" w:type="auto"/>
        <w:tblLayout w:type="fixed"/>
        <w:tblCellMar>
          <w:left w:w="62" w:type="dxa"/>
          <w:right w:w="62" w:type="dxa"/>
        </w:tblCellMar>
        <w:tblLook w:val="0000"/>
      </w:tblPr>
      <w:tblGrid>
        <w:gridCol w:w="2412"/>
        <w:gridCol w:w="6110"/>
      </w:tblGrid>
      <w:tr w:rsidTr="00206C2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700F1" w:rsidP="00F700F1">
            <w:pPr>
              <w:pStyle w:val="List"/>
            </w:pPr>
            <w:r w:rsidRPr="00F700F1">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700F1">
            <w:pPr>
              <w:pStyle w:val="List"/>
              <w:rPr>
                <w:lang w:val="en-NZ"/>
              </w:rPr>
            </w:pPr>
            <w:r w:rsidRPr="00F700F1">
              <w:rPr>
                <w:rStyle w:val="SpecialBold"/>
              </w:rPr>
              <w:t>PERFORMANCE CRITERIA</w:t>
            </w:r>
          </w:p>
        </w:tc>
      </w:tr>
      <w:tr w:rsidTr="00206C2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00F1">
            <w:pPr>
              <w:pStyle w:val="List"/>
              <w:rPr>
                <w:lang w:val="en-NZ"/>
              </w:rPr>
            </w:pPr>
            <w:r w:rsidRPr="00F700F1">
              <w:rPr>
                <w:rStyle w:val="SpecialBold"/>
              </w:rPr>
              <w:t>1</w:t>
            </w:r>
            <w:r w:rsidRPr="00F700F1">
              <w:tab/>
            </w:r>
            <w:r w:rsidRPr="00F700F1">
              <w:rPr>
                <w:rStyle w:val="SpecialBold"/>
              </w:rPr>
              <w:t>Determine security risk</w:t>
            </w:r>
            <w:r w:rsidRPr="00F700F1">
              <w:t>.</w:t>
            </w:r>
          </w:p>
        </w:tc>
        <w:tc>
          <w:tcPr>
            <w:tcW w:w="6110" w:type="dxa"/>
            <w:tcBorders>
              <w:top w:val="nil"/>
              <w:left w:val="nil"/>
              <w:bottom w:val="nil"/>
              <w:right w:val="nil"/>
            </w:tcBorders>
            <w:tcMar>
              <w:top w:w="0" w:type="dxa"/>
              <w:left w:w="62" w:type="dxa"/>
              <w:bottom w:w="0" w:type="dxa"/>
              <w:right w:w="62" w:type="dxa"/>
            </w:tcMar>
          </w:tcPr>
          <w:p w:rsidR="00000000" w:rsidRPr="00F700F1" w:rsidP="00F700F1">
            <w:pPr>
              <w:pStyle w:val="List"/>
            </w:pPr>
            <w:r w:rsidRPr="00F700F1">
              <w:t>1.1</w:t>
            </w:r>
            <w:r w:rsidRPr="00F700F1">
              <w:tab/>
              <w:t xml:space="preserve">Applicable provisions of </w:t>
            </w:r>
            <w:r w:rsidRPr="00F700F1">
              <w:rPr>
                <w:rStyle w:val="BoldandItalics"/>
              </w:rPr>
              <w:t>legislative</w:t>
            </w:r>
            <w:r w:rsidRPr="00F700F1">
              <w:t xml:space="preserve"> and </w:t>
            </w:r>
            <w:r w:rsidRPr="00F700F1">
              <w:rPr>
                <w:rStyle w:val="BoldandItalics"/>
              </w:rPr>
              <w:t>organisational requirements</w:t>
            </w:r>
            <w:r w:rsidRPr="00F700F1">
              <w:t xml:space="preserve">, and </w:t>
            </w:r>
            <w:r w:rsidRPr="00F700F1">
              <w:rPr>
                <w:rStyle w:val="BoldandItalics"/>
              </w:rPr>
              <w:t>relevant standards</w:t>
            </w:r>
            <w:r w:rsidRPr="00F700F1">
              <w:t xml:space="preserve"> for assessment activities are identified and complied with.</w:t>
            </w:r>
          </w:p>
          <w:p w:rsidR="00000000" w:rsidRPr="00F700F1" w:rsidP="00F700F1">
            <w:pPr>
              <w:pStyle w:val="List"/>
            </w:pPr>
            <w:r w:rsidRPr="00F700F1">
              <w:t>1.2</w:t>
            </w:r>
            <w:r w:rsidRPr="00F700F1">
              <w:tab/>
              <w:t xml:space="preserve">Type and nature of </w:t>
            </w:r>
            <w:r w:rsidRPr="00F700F1">
              <w:rPr>
                <w:rStyle w:val="BoldandItalics"/>
              </w:rPr>
              <w:t>security risks</w:t>
            </w:r>
            <w:r w:rsidRPr="00F700F1">
              <w:t xml:space="preserve"> are determined based on an accurate and current assessment of the client's </w:t>
            </w:r>
            <w:r w:rsidRPr="00F700F1">
              <w:rPr>
                <w:rStyle w:val="BoldandItalics"/>
              </w:rPr>
              <w:t>operating environment</w:t>
            </w:r>
            <w:r w:rsidRPr="00F700F1">
              <w:t xml:space="preserve"> and core business operations. </w:t>
            </w:r>
          </w:p>
          <w:p w:rsidR="00000000" w:rsidRPr="00F700F1" w:rsidP="00F700F1">
            <w:pPr>
              <w:pStyle w:val="List"/>
            </w:pPr>
            <w:r w:rsidRPr="00F700F1">
              <w:t>1.3</w:t>
            </w:r>
            <w:r w:rsidRPr="00F700F1">
              <w:tab/>
              <w:t>Security risks are ranked</w:t>
            </w:r>
            <w:r w:rsidRPr="00F700F1">
              <w:t xml:space="preserve"> in terms of degree of risk and linked to potentially suitable </w:t>
            </w:r>
            <w:r w:rsidRPr="00F700F1">
              <w:rPr>
                <w:rStyle w:val="BoldandItalics"/>
              </w:rPr>
              <w:t>treatment options</w:t>
            </w:r>
            <w:r w:rsidRPr="00F700F1">
              <w:t>.</w:t>
            </w:r>
          </w:p>
          <w:p w:rsidR="00000000" w:rsidP="00F700F1">
            <w:pPr>
              <w:pStyle w:val="List"/>
              <w:rPr>
                <w:lang w:val="en-NZ"/>
              </w:rPr>
            </w:pPr>
            <w:r w:rsidRPr="00F700F1">
              <w:t>1.4</w:t>
            </w:r>
            <w:r w:rsidRPr="00F700F1">
              <w:tab/>
              <w:t xml:space="preserve">Degree of risk is determined by an assessment of current and valid data. </w:t>
            </w:r>
          </w:p>
        </w:tc>
      </w:tr>
      <w:tr w:rsidTr="00206C2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00F1">
            <w:pPr>
              <w:pStyle w:val="List"/>
              <w:rPr>
                <w:lang w:val="en-NZ"/>
              </w:rPr>
            </w:pPr>
            <w:r w:rsidRPr="00F700F1">
              <w:rPr>
                <w:rStyle w:val="SpecialBold"/>
              </w:rPr>
              <w:t>2</w:t>
            </w:r>
            <w:r w:rsidRPr="00F700F1">
              <w:tab/>
            </w:r>
            <w:r w:rsidRPr="00F700F1">
              <w:rPr>
                <w:rStyle w:val="SpecialBold"/>
              </w:rPr>
              <w:t>Identify and assess treatment options</w:t>
            </w:r>
            <w:r w:rsidRPr="00F700F1">
              <w:t>.</w:t>
            </w:r>
          </w:p>
        </w:tc>
        <w:tc>
          <w:tcPr>
            <w:tcW w:w="6110" w:type="dxa"/>
            <w:tcBorders>
              <w:top w:val="nil"/>
              <w:left w:val="nil"/>
              <w:bottom w:val="nil"/>
              <w:right w:val="nil"/>
            </w:tcBorders>
            <w:tcMar>
              <w:top w:w="0" w:type="dxa"/>
              <w:left w:w="62" w:type="dxa"/>
              <w:bottom w:w="0" w:type="dxa"/>
              <w:right w:w="62" w:type="dxa"/>
            </w:tcMar>
          </w:tcPr>
          <w:p w:rsidR="00000000" w:rsidRPr="00F700F1" w:rsidP="00F700F1">
            <w:pPr>
              <w:pStyle w:val="List"/>
            </w:pPr>
            <w:r w:rsidRPr="00F700F1">
              <w:t>2.1</w:t>
            </w:r>
            <w:r w:rsidRPr="00F700F1">
              <w:tab/>
              <w:t xml:space="preserve">Treatment options are identified and confirmed to </w:t>
            </w:r>
            <w:r w:rsidRPr="00F700F1">
              <w:t xml:space="preserve">be commensurate with the identified type, </w:t>
            </w:r>
            <w:r w:rsidRPr="00F700F1">
              <w:rPr>
                <w:rStyle w:val="BoldandItalics"/>
              </w:rPr>
              <w:t>nature and cause</w:t>
            </w:r>
            <w:r w:rsidRPr="00F700F1">
              <w:t xml:space="preserve"> of security risk. </w:t>
            </w:r>
          </w:p>
          <w:p w:rsidR="00000000" w:rsidRPr="00F700F1" w:rsidP="00F700F1">
            <w:pPr>
              <w:pStyle w:val="List"/>
            </w:pPr>
            <w:r w:rsidRPr="00F700F1">
              <w:t>2.2</w:t>
            </w:r>
            <w:r w:rsidRPr="00F700F1">
              <w:tab/>
              <w:t xml:space="preserve">Treatment options applied in a similar context are researched and assessed for effectiveness against documented and </w:t>
            </w:r>
            <w:r w:rsidRPr="00F700F1">
              <w:rPr>
                <w:rStyle w:val="BoldandItalics"/>
              </w:rPr>
              <w:t>verifiable evidence</w:t>
            </w:r>
            <w:r w:rsidRPr="00F700F1">
              <w:t xml:space="preserve">. </w:t>
            </w:r>
          </w:p>
          <w:p w:rsidR="00000000" w:rsidRPr="00F700F1" w:rsidP="00F700F1">
            <w:pPr>
              <w:pStyle w:val="List"/>
            </w:pPr>
            <w:r w:rsidRPr="00F700F1">
              <w:t>2.3</w:t>
            </w:r>
            <w:r w:rsidRPr="00F700F1">
              <w:tab/>
            </w:r>
            <w:r w:rsidRPr="00F700F1">
              <w:rPr>
                <w:rStyle w:val="BoldandItalics"/>
              </w:rPr>
              <w:t>Criteria</w:t>
            </w:r>
            <w:r w:rsidRPr="00F700F1">
              <w:t xml:space="preserve"> for assessment of risks</w:t>
            </w:r>
            <w:r w:rsidRPr="00F700F1">
              <w:t xml:space="preserve"> against treatment options are consistent with recognised industry practice and relevant standards.</w:t>
            </w:r>
          </w:p>
          <w:p w:rsidR="00000000" w:rsidP="00F700F1">
            <w:pPr>
              <w:pStyle w:val="List"/>
              <w:rPr>
                <w:lang w:val="en-NZ"/>
              </w:rPr>
            </w:pPr>
            <w:r w:rsidRPr="00F700F1">
              <w:t>2.4</w:t>
            </w:r>
            <w:r w:rsidRPr="00F700F1">
              <w:tab/>
              <w:t>Treatment options appropriate to the full range of potential security risks are selected and prioritised according to established criteria.</w:t>
            </w:r>
          </w:p>
        </w:tc>
      </w:tr>
      <w:tr w:rsidTr="00206C2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00F1">
            <w:pPr>
              <w:pStyle w:val="List"/>
              <w:rPr>
                <w:lang w:val="en-NZ"/>
              </w:rPr>
            </w:pPr>
            <w:r w:rsidRPr="00F700F1">
              <w:rPr>
                <w:rStyle w:val="SpecialBold"/>
              </w:rPr>
              <w:t>3</w:t>
            </w:r>
            <w:r w:rsidRPr="00F700F1">
              <w:tab/>
            </w:r>
            <w:r w:rsidRPr="00F700F1">
              <w:rPr>
                <w:rStyle w:val="SpecialBold"/>
              </w:rPr>
              <w:t>Review an</w:t>
            </w:r>
            <w:r w:rsidRPr="00F700F1">
              <w:rPr>
                <w:rStyle w:val="SpecialBold"/>
              </w:rPr>
              <w:t>d present findings</w:t>
            </w:r>
            <w:r w:rsidRPr="00F700F1">
              <w:t>.</w:t>
            </w:r>
          </w:p>
        </w:tc>
        <w:tc>
          <w:tcPr>
            <w:tcW w:w="6110" w:type="dxa"/>
            <w:tcBorders>
              <w:top w:val="nil"/>
              <w:left w:val="nil"/>
              <w:bottom w:val="nil"/>
              <w:right w:val="nil"/>
            </w:tcBorders>
            <w:tcMar>
              <w:top w:w="0" w:type="dxa"/>
              <w:left w:w="62" w:type="dxa"/>
              <w:bottom w:w="0" w:type="dxa"/>
              <w:right w:w="62" w:type="dxa"/>
            </w:tcMar>
          </w:tcPr>
          <w:p w:rsidR="00000000" w:rsidRPr="00F700F1" w:rsidP="00F700F1">
            <w:pPr>
              <w:pStyle w:val="List"/>
            </w:pPr>
            <w:r w:rsidRPr="00F700F1">
              <w:t>3.1</w:t>
            </w:r>
            <w:r w:rsidRPr="00F700F1">
              <w:tab/>
              <w:t xml:space="preserve">A report outlining assessment findings and recommended treatment options is prepared and </w:t>
            </w:r>
            <w:r w:rsidRPr="00F700F1">
              <w:rPr>
                <w:rStyle w:val="BoldandItalics"/>
              </w:rPr>
              <w:t>presented</w:t>
            </w:r>
            <w:r w:rsidRPr="00F700F1">
              <w:t xml:space="preserve"> to relevant persons.</w:t>
            </w:r>
          </w:p>
          <w:p w:rsidR="00000000" w:rsidRPr="00F700F1" w:rsidP="00F700F1">
            <w:pPr>
              <w:pStyle w:val="List"/>
            </w:pPr>
            <w:r w:rsidRPr="00F700F1">
              <w:t>3.2</w:t>
            </w:r>
            <w:r w:rsidRPr="00F700F1">
              <w:tab/>
              <w:t xml:space="preserve">Analysis and recommendations are clear, coherent and consistent with </w:t>
            </w:r>
            <w:r w:rsidRPr="00F700F1">
              <w:rPr>
                <w:rStyle w:val="BoldandItalics"/>
              </w:rPr>
              <w:t>terms of reference</w:t>
            </w:r>
            <w:r w:rsidRPr="00F700F1">
              <w:t xml:space="preserve"> and supported by ver</w:t>
            </w:r>
            <w:r w:rsidRPr="00F700F1">
              <w:t>ifiable evidence.</w:t>
            </w:r>
          </w:p>
          <w:p w:rsidR="00000000" w:rsidRPr="00F700F1" w:rsidP="00F700F1">
            <w:pPr>
              <w:pStyle w:val="List"/>
            </w:pPr>
            <w:r w:rsidRPr="00F700F1">
              <w:t>3.3</w:t>
            </w:r>
            <w:r w:rsidRPr="00F700F1">
              <w:tab/>
              <w:t xml:space="preserve">Advice outlining possible consequences of not implementing recommended treatment options is included in the analysis. </w:t>
            </w:r>
          </w:p>
          <w:p w:rsidR="00000000" w:rsidRPr="00F700F1" w:rsidP="00F700F1">
            <w:pPr>
              <w:pStyle w:val="List"/>
            </w:pPr>
            <w:r w:rsidRPr="00F700F1">
              <w:t>3.4</w:t>
            </w:r>
            <w:r w:rsidRPr="00F700F1">
              <w:tab/>
              <w:t xml:space="preserve">Effective </w:t>
            </w:r>
            <w:r w:rsidRPr="00F700F1">
              <w:rPr>
                <w:rStyle w:val="BoldandItalics"/>
              </w:rPr>
              <w:t>interpersonal techniques</w:t>
            </w:r>
            <w:r w:rsidRPr="00F700F1">
              <w:t xml:space="preserve"> and presentation procedures are used to enhance understanding and acceptance of recommended treatment options.</w:t>
            </w:r>
          </w:p>
        </w:tc>
      </w:tr>
    </w:tbl>
    <w:p w:rsidR="00206C22" w:rsidP="00F700F1">
      <w:pPr>
        <w:pStyle w:val="BodyText"/>
      </w:pPr>
    </w:p>
    <w:p w:rsidR="00206C22" w:rsidP="00F700F1">
      <w:pPr>
        <w:pStyle w:val="BodyText"/>
      </w:pPr>
    </w:p>
    <w:p w:rsidR="00000000" w:rsidRPr="00F700F1" w:rsidP="00F700F1">
      <w:pPr>
        <w:pStyle w:val="Heading1"/>
      </w:pPr>
      <w:bookmarkStart w:id="9" w:name="O_258934"/>
      <w:bookmarkEnd w:id="9"/>
      <w:r w:rsidRPr="00F700F1">
        <w:t>Required Skills and Knowledge</w:t>
      </w:r>
    </w:p>
    <w:tbl>
      <w:tblPr>
        <w:tblW w:w="0" w:type="auto"/>
        <w:tblLayout w:type="fixed"/>
        <w:tblCellMar>
          <w:left w:w="62" w:type="dxa"/>
          <w:right w:w="62" w:type="dxa"/>
        </w:tblCellMar>
        <w:tblLook w:val="0000"/>
      </w:tblPr>
      <w:tblGrid>
        <w:gridCol w:w="8522"/>
      </w:tblGrid>
      <w:tr w:rsidTr="00206C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REQUIRED SKILLS AND KNOWLEDGE</w:t>
            </w:r>
          </w:p>
        </w:tc>
      </w:tr>
      <w:tr w:rsidTr="00206C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t>This section describes the skills and knowledge and their level required for this unit.</w:t>
            </w:r>
          </w:p>
        </w:tc>
      </w:tr>
      <w:tr w:rsidTr="00206C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Required skills</w:t>
            </w:r>
          </w:p>
        </w:tc>
      </w:tr>
      <w:tr w:rsidTr="00206C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 xml:space="preserve">accurately determine identified risks and threats </w:t>
            </w:r>
          </w:p>
          <w:p w:rsidR="00000000" w:rsidRPr="00F700F1" w:rsidP="00F700F1">
            <w:pPr>
              <w:pStyle w:val="ListBullet"/>
            </w:pPr>
            <w:r w:rsidRPr="00F700F1">
              <w:t>apply reasoning and logical analysis in assessment processes</w:t>
            </w:r>
          </w:p>
          <w:p w:rsidR="00000000" w:rsidRPr="00F700F1" w:rsidP="00F700F1">
            <w:pPr>
              <w:pStyle w:val="ListBullet"/>
            </w:pPr>
            <w:r w:rsidRPr="00F700F1">
              <w:t>assess risks and threats</w:t>
            </w:r>
          </w:p>
          <w:p w:rsidR="00000000" w:rsidRPr="00F700F1" w:rsidP="00F700F1">
            <w:pPr>
              <w:pStyle w:val="ListBullet"/>
            </w:pPr>
            <w:r w:rsidRPr="00F700F1">
              <w:t>coaching and mentoring to provide support to colleagues</w:t>
            </w:r>
          </w:p>
          <w:p w:rsidR="00000000" w:rsidRPr="00F700F1" w:rsidP="00F700F1">
            <w:pPr>
              <w:pStyle w:val="ListBullet"/>
            </w:pPr>
            <w:r w:rsidRPr="00F700F1">
              <w:t>collate numerical data</w:t>
            </w:r>
          </w:p>
          <w:p w:rsidR="00000000" w:rsidRPr="00F700F1" w:rsidP="00F700F1">
            <w:pPr>
              <w:pStyle w:val="ListBullet"/>
            </w:pPr>
            <w:r w:rsidRPr="00F700F1">
              <w:t>communicate in a clear and concise manner</w:t>
            </w:r>
          </w:p>
          <w:p w:rsidR="00000000" w:rsidRPr="00F700F1" w:rsidP="00F700F1">
            <w:pPr>
              <w:pStyle w:val="ListBullet"/>
            </w:pPr>
            <w:r w:rsidRPr="00F700F1">
              <w:t>determine suitability of treatment option against security risk</w:t>
            </w:r>
          </w:p>
          <w:p w:rsidR="00000000" w:rsidRPr="00F700F1" w:rsidP="00F700F1">
            <w:pPr>
              <w:pStyle w:val="ListBullet"/>
            </w:pPr>
            <w:r w:rsidRPr="00F700F1">
              <w:t xml:space="preserve">determine type and nature of security risks </w:t>
            </w:r>
          </w:p>
          <w:p w:rsidR="00000000" w:rsidRPr="00F700F1" w:rsidP="00F700F1">
            <w:pPr>
              <w:pStyle w:val="ListBullet"/>
            </w:pPr>
            <w:r w:rsidRPr="00F700F1">
              <w:t>identify and assess assets</w:t>
            </w:r>
          </w:p>
          <w:p w:rsidR="00000000" w:rsidRPr="00F700F1" w:rsidP="00F700F1">
            <w:pPr>
              <w:pStyle w:val="ListBullet"/>
            </w:pPr>
            <w:r w:rsidRPr="00F700F1">
              <w:t xml:space="preserve">prepare and present verbal and written reports </w:t>
            </w:r>
          </w:p>
          <w:p w:rsidR="00000000" w:rsidRPr="00F700F1" w:rsidP="00F700F1">
            <w:pPr>
              <w:pStyle w:val="ListBullet"/>
            </w:pPr>
            <w:r w:rsidRPr="00F700F1">
              <w:t>prioritise tasks and organise schedules</w:t>
            </w:r>
          </w:p>
          <w:p w:rsidR="00000000" w:rsidRPr="00F700F1" w:rsidP="00F700F1">
            <w:pPr>
              <w:pStyle w:val="ListBullet"/>
            </w:pPr>
            <w:r w:rsidRPr="00F700F1">
              <w:t xml:space="preserve">prioritise treatment options in terms of degree of security risk </w:t>
            </w:r>
          </w:p>
          <w:p w:rsidR="00000000" w:rsidRPr="00F700F1" w:rsidP="00F700F1">
            <w:pPr>
              <w:pStyle w:val="ListBullet"/>
            </w:pPr>
            <w:r w:rsidRPr="00F700F1">
              <w:t>provide written communication to a standard required for compiling reports and summarising informatio</w:t>
            </w:r>
            <w:r w:rsidRPr="00F700F1">
              <w:t>n</w:t>
            </w:r>
          </w:p>
          <w:p w:rsidR="00000000" w:rsidRPr="00F700F1" w:rsidP="00F700F1">
            <w:pPr>
              <w:pStyle w:val="ListBullet"/>
            </w:pPr>
            <w:r w:rsidRPr="00F700F1">
              <w:t>relate to persons of different social and cultural backgrounds and varying physical and mental abilities</w:t>
            </w:r>
          </w:p>
          <w:p w:rsidR="00000000" w:rsidRPr="00F700F1" w:rsidP="00F700F1">
            <w:pPr>
              <w:pStyle w:val="ListBullet"/>
            </w:pPr>
            <w:r w:rsidRPr="00F700F1">
              <w:t>research and analyse information</w:t>
            </w:r>
          </w:p>
          <w:p w:rsidR="00000000" w:rsidRPr="00F700F1" w:rsidP="00F700F1">
            <w:pPr>
              <w:pStyle w:val="ListBullet"/>
            </w:pPr>
            <w:r w:rsidRPr="00F700F1">
              <w:t xml:space="preserve">source and access information </w:t>
            </w:r>
          </w:p>
          <w:p w:rsidR="00000000" w:rsidRPr="00F700F1" w:rsidP="00F700F1">
            <w:pPr>
              <w:pStyle w:val="ListBullet"/>
            </w:pPr>
            <w:r w:rsidRPr="00F700F1">
              <w:t>use a variety of problem-solving techniques</w:t>
            </w:r>
          </w:p>
          <w:p w:rsidR="00000000" w:rsidP="00F700F1">
            <w:pPr>
              <w:pStyle w:val="ListBullet"/>
              <w:rPr>
                <w:lang w:val="en-NZ"/>
              </w:rPr>
            </w:pPr>
            <w:r w:rsidRPr="00F700F1">
              <w:t>use business and information technology.</w:t>
            </w:r>
          </w:p>
        </w:tc>
      </w:tr>
      <w:tr w:rsidTr="00206C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Required knowledge</w:t>
            </w:r>
          </w:p>
        </w:tc>
      </w:tr>
      <w:tr w:rsidTr="00206C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applicable Australian standards, industry codes of practice and legislation including Occupational Health and Safety (OHS)</w:t>
            </w:r>
          </w:p>
          <w:p w:rsidR="00000000" w:rsidRPr="00F700F1" w:rsidP="00F700F1">
            <w:pPr>
              <w:pStyle w:val="ListBullet"/>
            </w:pPr>
            <w:r w:rsidRPr="00F700F1">
              <w:t>basic understanding of insurance in terms of acceptable risks, premium ranges and liabilities</w:t>
            </w:r>
          </w:p>
          <w:p w:rsidR="00000000" w:rsidRPr="00F700F1" w:rsidP="00F700F1">
            <w:pPr>
              <w:pStyle w:val="ListBullet"/>
            </w:pPr>
            <w:r w:rsidRPr="00F700F1">
              <w:t>client's operatin</w:t>
            </w:r>
            <w:r w:rsidRPr="00F700F1">
              <w:t>g environment and business operations</w:t>
            </w:r>
          </w:p>
          <w:p w:rsidR="00000000" w:rsidRPr="00F700F1" w:rsidP="00F700F1">
            <w:pPr>
              <w:pStyle w:val="ListBullet"/>
            </w:pPr>
            <w:r w:rsidRPr="00F700F1">
              <w:t>concept of integrated security measures including physical security; information technology security, and security of personnel and information</w:t>
            </w:r>
          </w:p>
          <w:p w:rsidR="00000000" w:rsidRPr="00F700F1" w:rsidP="00F700F1">
            <w:pPr>
              <w:pStyle w:val="ListBullet"/>
            </w:pPr>
            <w:r w:rsidRPr="00F700F1">
              <w:t>concept of litigation</w:t>
            </w:r>
          </w:p>
          <w:p w:rsidR="00000000" w:rsidRPr="00F700F1" w:rsidP="00F700F1">
            <w:pPr>
              <w:pStyle w:val="ListBullet"/>
            </w:pPr>
            <w:r w:rsidRPr="00F700F1">
              <w:t xml:space="preserve">current security systems and technologies available </w:t>
            </w:r>
            <w:r w:rsidRPr="00F700F1">
              <w:t>expertise</w:t>
            </w:r>
          </w:p>
          <w:p w:rsidR="00000000" w:rsidRPr="00F700F1" w:rsidP="00F700F1">
            <w:pPr>
              <w:pStyle w:val="ListBullet"/>
            </w:pPr>
            <w:r w:rsidRPr="00F700F1">
              <w:t>distinction between information and intelligence</w:t>
            </w:r>
          </w:p>
          <w:p w:rsidR="00000000" w:rsidRPr="00F700F1" w:rsidP="00F700F1">
            <w:pPr>
              <w:pStyle w:val="ListBullet"/>
            </w:pPr>
            <w:r w:rsidRPr="00F700F1">
              <w:t>preparation of documentation and presentation procedures</w:t>
            </w:r>
          </w:p>
          <w:p w:rsidR="00000000" w:rsidRPr="00F700F1" w:rsidP="00F700F1">
            <w:pPr>
              <w:pStyle w:val="ListBullet"/>
            </w:pPr>
            <w:r w:rsidRPr="00F700F1">
              <w:t>principles of basic statistics and numeracy</w:t>
            </w:r>
          </w:p>
          <w:p w:rsidR="00000000" w:rsidRPr="00F700F1" w:rsidP="00F700F1">
            <w:pPr>
              <w:pStyle w:val="ListBullet"/>
            </w:pPr>
            <w:r w:rsidRPr="00F700F1">
              <w:t>principles of effective communication</w:t>
            </w:r>
          </w:p>
          <w:p w:rsidR="00000000" w:rsidRPr="00F700F1" w:rsidP="00F700F1">
            <w:pPr>
              <w:pStyle w:val="ListBullet"/>
            </w:pPr>
            <w:r w:rsidRPr="00F700F1">
              <w:t>principles of AS/NZS 4360: 2004 Risk management and related guidelines</w:t>
            </w:r>
          </w:p>
          <w:p w:rsidR="00000000" w:rsidRPr="00F700F1" w:rsidP="00F700F1">
            <w:pPr>
              <w:pStyle w:val="ListBullet"/>
            </w:pPr>
            <w:r w:rsidRPr="00F700F1">
              <w:t>privacy and confidentiality requirements</w:t>
            </w:r>
          </w:p>
          <w:p w:rsidR="00000000" w:rsidRPr="00F700F1" w:rsidP="00F700F1">
            <w:pPr>
              <w:pStyle w:val="ListBullet"/>
            </w:pPr>
            <w:r w:rsidRPr="00F700F1">
              <w:t>relevant industry codes of practice</w:t>
            </w:r>
          </w:p>
          <w:p w:rsidR="00000000" w:rsidRPr="00F700F1" w:rsidP="00F700F1">
            <w:pPr>
              <w:pStyle w:val="ListBullet"/>
            </w:pPr>
            <w:r w:rsidRPr="00F700F1">
              <w:t>relevant legislation and regulations including licensing requirements</w:t>
            </w:r>
          </w:p>
          <w:p w:rsidR="00000000" w:rsidRPr="00F700F1" w:rsidP="00F700F1">
            <w:pPr>
              <w:pStyle w:val="ListBullet"/>
            </w:pPr>
            <w:r w:rsidRPr="00F700F1">
              <w:t xml:space="preserve">risk assessment techniques </w:t>
            </w:r>
          </w:p>
          <w:p w:rsidR="00000000" w:rsidRPr="00F700F1" w:rsidP="00F700F1">
            <w:pPr>
              <w:pStyle w:val="ListBullet"/>
            </w:pPr>
            <w:r w:rsidRPr="00F700F1">
              <w:t>types of t</w:t>
            </w:r>
            <w:r w:rsidRPr="00F700F1">
              <w:t>reatment options appropriate to the range of security risks and threats applicable to premises and businesses.</w:t>
            </w:r>
          </w:p>
        </w:tc>
      </w:tr>
    </w:tbl>
    <w:p w:rsidR="00206C22" w:rsidP="00F700F1">
      <w:pPr>
        <w:pStyle w:val="BodyText"/>
      </w:pPr>
    </w:p>
    <w:p w:rsidR="00206C22" w:rsidP="00F700F1">
      <w:pPr>
        <w:pStyle w:val="BodyText"/>
      </w:pPr>
    </w:p>
    <w:p w:rsidR="00000000" w:rsidRPr="00F700F1" w:rsidP="00F700F1">
      <w:pPr>
        <w:pStyle w:val="Heading1"/>
      </w:pPr>
      <w:bookmarkStart w:id="10" w:name="O_242968"/>
      <w:bookmarkEnd w:id="10"/>
      <w:r w:rsidRPr="00F700F1">
        <w:t>Evidence Guide</w:t>
      </w:r>
    </w:p>
    <w:tbl>
      <w:tblPr>
        <w:tblW w:w="9287" w:type="dxa"/>
        <w:tblLayout w:type="fixed"/>
        <w:tblCellMar>
          <w:left w:w="62" w:type="dxa"/>
          <w:right w:w="62" w:type="dxa"/>
        </w:tblCellMar>
        <w:tblLook w:val="0000"/>
      </w:tblPr>
      <w:tblGrid>
        <w:gridCol w:w="2621"/>
        <w:gridCol w:w="6659"/>
        <w:gridCol w:w="7"/>
      </w:tblGrid>
      <w:tr w:rsidTr="00206C2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EVIDENCE GUIDE</w:t>
            </w:r>
          </w:p>
        </w:tc>
      </w:tr>
      <w:tr w:rsidTr="00206C2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t>The evidence guide provides advice on assessment and must be read in conjunction with the performance criteria, required skills and knowledge, range statement and the Assessment Guidelines for the Training Package.</w:t>
            </w:r>
          </w:p>
        </w:tc>
      </w:tr>
      <w:tr w:rsidTr="00206C2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Critical aspects for assessment and evi</w:t>
            </w:r>
            <w:r w:rsidRPr="00F700F1">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A person who demonstrates competency in this unit must be able to provide evidence of understanding and knowledge of the following:</w:t>
            </w:r>
          </w:p>
          <w:p w:rsidR="00000000" w:rsidRPr="00F700F1" w:rsidP="00F700F1">
            <w:pPr>
              <w:pStyle w:val="ListBullet"/>
            </w:pPr>
            <w:r w:rsidRPr="00F700F1">
              <w:t>evaluating risks against developed criteria and selecting treatment o</w:t>
            </w:r>
            <w:r w:rsidRPr="00F700F1">
              <w:t>ptions commensurate with the level and nature of potential risks based on the principles of AS/NZS 4360: 2004</w:t>
            </w:r>
          </w:p>
          <w:p w:rsidR="00000000" w:rsidRPr="00F700F1" w:rsidP="00F700F1">
            <w:pPr>
              <w:pStyle w:val="ListBullet"/>
            </w:pPr>
            <w:r w:rsidRPr="00F700F1">
              <w:t xml:space="preserve">identifying the nature, cause and range of potential security risks to client based on an assessment of valid and relevant data </w:t>
            </w:r>
          </w:p>
          <w:p w:rsidR="00000000" w:rsidP="00F700F1">
            <w:pPr>
              <w:pStyle w:val="ListBullet"/>
              <w:rPr>
                <w:lang w:val="en-NZ"/>
              </w:rPr>
            </w:pPr>
            <w:r w:rsidRPr="00F700F1">
              <w:t>preparing and pre</w:t>
            </w:r>
            <w:r w:rsidRPr="00F700F1">
              <w:t>senting an analysis and options related to management of security risks and using effective interpersonal skills to enhance client understanding and acceptance of recommendations.</w:t>
            </w:r>
          </w:p>
        </w:tc>
      </w:tr>
      <w:tr w:rsidTr="00206C2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Context of assessment includes:</w:t>
            </w:r>
          </w:p>
          <w:p w:rsidR="00000000" w:rsidRPr="00F700F1" w:rsidP="00F700F1">
            <w:pPr>
              <w:pStyle w:val="ListBullet"/>
            </w:pPr>
            <w:r w:rsidRPr="00F700F1">
              <w:t>a setting in the workplace or environment that simulates the conditions of performance described in the elements, performance criteria and range statement.</w:t>
            </w:r>
          </w:p>
          <w:p w:rsidR="00000000" w:rsidRPr="00F700F1" w:rsidP="00F700F1">
            <w:pPr>
              <w:pStyle w:val="BodyText"/>
            </w:pPr>
            <w:r w:rsidRPr="00F700F1">
              <w:t>Resource implications for assessment include:</w:t>
            </w:r>
          </w:p>
          <w:p w:rsidR="00000000" w:rsidRPr="00F700F1" w:rsidP="00F700F1">
            <w:pPr>
              <w:pStyle w:val="ListBullet"/>
            </w:pPr>
            <w:r w:rsidRPr="00F700F1">
              <w:t>access to a register</w:t>
            </w:r>
            <w:r w:rsidRPr="00F700F1">
              <w:t>ed provider of assessment services</w:t>
            </w:r>
          </w:p>
          <w:p w:rsidR="00000000" w:rsidRPr="00F700F1" w:rsidP="00F700F1">
            <w:pPr>
              <w:pStyle w:val="ListBullet"/>
            </w:pPr>
            <w:r w:rsidRPr="00F700F1">
              <w:t>access to a suitable venue and equipment</w:t>
            </w:r>
          </w:p>
          <w:p w:rsidR="00000000" w:rsidRPr="00F700F1" w:rsidP="00F700F1">
            <w:pPr>
              <w:pStyle w:val="ListBullet"/>
            </w:pPr>
            <w:r w:rsidRPr="00F700F1">
              <w:t>access to plain English version of relevant statutes and procedures</w:t>
            </w:r>
          </w:p>
          <w:p w:rsidR="00000000" w:rsidRPr="00F700F1" w:rsidP="00F700F1">
            <w:pPr>
              <w:pStyle w:val="ListBullet"/>
            </w:pPr>
            <w:r w:rsidRPr="00F700F1">
              <w:t>assessment instruments including personal planner and assessment record book</w:t>
            </w:r>
          </w:p>
          <w:p w:rsidR="00000000" w:rsidRPr="00F700F1" w:rsidP="00F700F1">
            <w:pPr>
              <w:pStyle w:val="ListBullet"/>
            </w:pPr>
            <w:r w:rsidRPr="00F700F1">
              <w:t>work schedules, organisational poli</w:t>
            </w:r>
            <w:r w:rsidRPr="00F700F1">
              <w:t>cies and duty statements.</w:t>
            </w:r>
          </w:p>
          <w:p w:rsidR="00000000" w:rsidP="00F700F1">
            <w:pPr>
              <w:pStyle w:val="BodyText"/>
              <w:rPr>
                <w:lang w:val="en-NZ"/>
              </w:rPr>
            </w:pPr>
            <w:r w:rsidRPr="00F700F1">
              <w:t>Reasonable adjustments must be made to assessment processes where required for people with disabilities. This could include access to modified equipment and other physical resources, and the provision of appropriate assessment sup</w:t>
            </w:r>
            <w:r w:rsidRPr="00F700F1">
              <w:t>port.</w:t>
            </w:r>
          </w:p>
        </w:tc>
      </w:tr>
      <w:tr w:rsidTr="00206C2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t>This unit of competency should be assessed using questioning of underpinning knowledge and skills.</w:t>
            </w:r>
          </w:p>
        </w:tc>
      </w:tr>
      <w:tr w:rsidTr="00206C2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Assessment processes and techniques must be cultur</w:t>
            </w:r>
            <w:r w:rsidRPr="00F700F1">
              <w:t>ally appropriate and suitable to the language, literacy and numeracy capacity of the candidate and the competency being assessed. In all cases where practical assessment is used, it should be combined with targeted questioning to assess the underpinning kn</w:t>
            </w:r>
            <w:r w:rsidRPr="00F700F1">
              <w:t>owledge.</w:t>
            </w:r>
          </w:p>
          <w:p w:rsidR="00000000" w:rsidRPr="00F700F1" w:rsidP="00F700F1">
            <w:pPr>
              <w:pStyle w:val="BodyText"/>
            </w:pPr>
            <w:r w:rsidRPr="00F700F1">
              <w:t>Oral questioning or written assessment may be used to assess underpinning knowledge. In assessment situations where the candidate is offered a choice between oral questioning and written assessment, questions are to be identical.</w:t>
            </w:r>
          </w:p>
          <w:p w:rsidR="00000000" w:rsidRPr="00F700F1" w:rsidP="00F700F1">
            <w:pPr>
              <w:pStyle w:val="BodyText"/>
            </w:pPr>
            <w:r w:rsidRPr="00F700F1">
              <w:t>Supplementary evi</w:t>
            </w:r>
            <w:r w:rsidRPr="00F700F1">
              <w:t>dence may be obtained from relevant authenticated correspondence from existing supervisors, team leaders or specialist training staff.</w:t>
            </w:r>
          </w:p>
        </w:tc>
      </w:tr>
    </w:tbl>
    <w:p w:rsidR="00206C22" w:rsidP="00F700F1">
      <w:pPr>
        <w:pStyle w:val="BodyText"/>
      </w:pPr>
    </w:p>
    <w:p w:rsidR="00206C22" w:rsidP="00F700F1">
      <w:pPr>
        <w:pStyle w:val="BodyText"/>
      </w:pPr>
    </w:p>
    <w:p w:rsidR="00000000" w:rsidRPr="00F700F1" w:rsidP="00F700F1">
      <w:pPr>
        <w:pStyle w:val="Heading1"/>
      </w:pPr>
      <w:bookmarkStart w:id="11" w:name="O_250951"/>
      <w:bookmarkEnd w:id="11"/>
      <w:r w:rsidRPr="00F700F1">
        <w:t>Range Statement</w:t>
      </w:r>
    </w:p>
    <w:tbl>
      <w:tblPr>
        <w:tblW w:w="0" w:type="auto"/>
        <w:tblLayout w:type="fixed"/>
        <w:tblCellMar>
          <w:left w:w="62" w:type="dxa"/>
          <w:right w:w="62" w:type="dxa"/>
        </w:tblCellMar>
        <w:tblLook w:val="0000"/>
      </w:tblPr>
      <w:tblGrid>
        <w:gridCol w:w="2278"/>
        <w:gridCol w:w="6017"/>
      </w:tblGrid>
      <w:tr w:rsidTr="00206C22">
        <w:tblPrEx>
          <w:tblW w:w="0" w:type="auto"/>
          <w:tblLayout w:type="fixed"/>
          <w:tblCellMar>
            <w:left w:w="62" w:type="dxa"/>
            <w:right w:w="62" w:type="dxa"/>
          </w:tblCellMar>
          <w:tblLook w:val="0000"/>
        </w:tblPrEx>
        <w:tc>
          <w:tcPr>
            <w:tcW w:w="8295" w:type="dxa"/>
            <w:gridSpan w:val="2"/>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RANGE STATEMENT</w:t>
            </w:r>
          </w:p>
        </w:tc>
      </w:tr>
      <w:tr w:rsidTr="00206C22">
        <w:tblPrEx>
          <w:tblW w:w="0" w:type="auto"/>
          <w:tblLayout w:type="fixed"/>
          <w:tblCellMar>
            <w:left w:w="62" w:type="dxa"/>
            <w:right w:w="62" w:type="dxa"/>
          </w:tblCellMar>
          <w:tblLook w:val="0000"/>
        </w:tblPrEx>
        <w:tc>
          <w:tcPr>
            <w:tcW w:w="8295" w:type="dxa"/>
            <w:gridSpan w:val="2"/>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t>The range statement relates to the unit of competency as a whole</w:t>
            </w:r>
            <w:r w:rsidRPr="00F700F1">
              <w:t>. It allows for different work environments and situations that may affect performance. Bold italicised wording, if used in the performance criteria, is detailed below. Essential operating conditions that may be present with training and assessment (depend</w:t>
            </w:r>
            <w:r w:rsidRPr="00F700F1">
              <w:t>ing on the work situation, needs of the candidate, accessibility of the item, and local industry and regional contexts) may also be included.</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Legislative requirements may relate to</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 xml:space="preserve">apprehension and powers of arrest </w:t>
            </w:r>
          </w:p>
          <w:p w:rsidR="00000000" w:rsidRPr="00F700F1" w:rsidP="00F700F1">
            <w:pPr>
              <w:pStyle w:val="ListBullet"/>
            </w:pPr>
            <w:r w:rsidRPr="00F700F1">
              <w:t>Australian standards and quality assurance requirements</w:t>
            </w:r>
          </w:p>
          <w:p w:rsidR="00000000" w:rsidRPr="00F700F1" w:rsidP="00F700F1">
            <w:pPr>
              <w:pStyle w:val="ListBullet"/>
            </w:pPr>
            <w:r w:rsidRPr="00F700F1">
              <w:t>counter-terrorism</w:t>
            </w:r>
          </w:p>
          <w:p w:rsidR="00000000" w:rsidRPr="00F700F1" w:rsidP="00F700F1">
            <w:pPr>
              <w:pStyle w:val="ListBullet"/>
            </w:pPr>
            <w:r w:rsidRPr="00F700F1">
              <w:t>crowd control and control of persons under the influence of intoxicating substances</w:t>
            </w:r>
          </w:p>
          <w:p w:rsidR="00000000" w:rsidRPr="00F700F1" w:rsidP="00F700F1">
            <w:pPr>
              <w:pStyle w:val="ListBullet"/>
            </w:pPr>
            <w:r w:rsidRPr="00F700F1">
              <w:t>force continuum, use of force guidelines</w:t>
            </w:r>
          </w:p>
          <w:p w:rsidR="00000000" w:rsidRPr="00F700F1" w:rsidP="00F700F1">
            <w:pPr>
              <w:pStyle w:val="ListBullet"/>
            </w:pPr>
            <w:r w:rsidRPr="00F700F1">
              <w:t>general 'duty of care' responsibilities</w:t>
            </w:r>
          </w:p>
          <w:p w:rsidR="00000000" w:rsidRPr="00F700F1" w:rsidP="00F700F1">
            <w:pPr>
              <w:pStyle w:val="ListBullet"/>
            </w:pPr>
            <w:r w:rsidRPr="00F700F1">
              <w:t>inspection of peo</w:t>
            </w:r>
            <w:r w:rsidRPr="00F700F1">
              <w:t>ple and property, and search and seizure of goods</w:t>
            </w:r>
          </w:p>
          <w:p w:rsidR="00000000" w:rsidRPr="00F700F1" w:rsidP="00F700F1">
            <w:pPr>
              <w:pStyle w:val="ListBullet"/>
            </w:pPr>
            <w:r w:rsidRPr="00F700F1">
              <w:t>licensing or certification requirements</w:t>
            </w:r>
          </w:p>
          <w:p w:rsidR="00000000" w:rsidRPr="00F700F1" w:rsidP="00F700F1">
            <w:pPr>
              <w:pStyle w:val="ListBullet"/>
            </w:pPr>
            <w:r w:rsidRPr="00F700F1">
              <w:t>privacy and confidentiality</w:t>
            </w:r>
          </w:p>
          <w:p w:rsidR="00000000" w:rsidRPr="00F700F1" w:rsidP="00F700F1">
            <w:pPr>
              <w:pStyle w:val="ListBullet"/>
            </w:pPr>
            <w:r w:rsidRPr="00F700F1">
              <w:t>relevant commonwealth, state and territory legislation, codes and national standards for:</w:t>
            </w:r>
          </w:p>
          <w:p w:rsidR="00000000" w:rsidRPr="00F700F1" w:rsidP="00F700F1">
            <w:pPr>
              <w:pStyle w:val="ListBullet2"/>
            </w:pPr>
            <w:r w:rsidRPr="00F700F1">
              <w:t>anti-discrimination</w:t>
            </w:r>
          </w:p>
          <w:p w:rsidR="00000000" w:rsidRPr="00F700F1" w:rsidP="00F700F1">
            <w:pPr>
              <w:pStyle w:val="ListBullet2"/>
            </w:pPr>
            <w:r w:rsidRPr="00F700F1">
              <w:t>cultural and ethnic diversity</w:t>
            </w:r>
          </w:p>
          <w:p w:rsidR="00000000" w:rsidRPr="00F700F1" w:rsidP="00F700F1">
            <w:pPr>
              <w:pStyle w:val="ListBullet2"/>
            </w:pPr>
            <w:r w:rsidRPr="00F700F1">
              <w:t>environmental issues</w:t>
            </w:r>
          </w:p>
          <w:p w:rsidR="00000000" w:rsidRPr="00F700F1" w:rsidP="00F700F1">
            <w:pPr>
              <w:pStyle w:val="ListBullet2"/>
            </w:pPr>
            <w:r w:rsidRPr="00F700F1">
              <w:t>equal employment opportunity</w:t>
            </w:r>
          </w:p>
          <w:p w:rsidR="00000000" w:rsidRPr="00F700F1" w:rsidP="00F700F1">
            <w:pPr>
              <w:pStyle w:val="ListBullet2"/>
            </w:pPr>
            <w:r w:rsidRPr="00F700F1">
              <w:t>industrial relations</w:t>
            </w:r>
          </w:p>
          <w:p w:rsidR="00000000" w:rsidRPr="00F700F1" w:rsidP="00F700F1">
            <w:pPr>
              <w:pStyle w:val="ListBullet2"/>
            </w:pPr>
            <w:r w:rsidRPr="00F700F1">
              <w:t>OHS</w:t>
            </w:r>
          </w:p>
          <w:p w:rsidR="00000000" w:rsidRPr="00F700F1" w:rsidP="00F700F1">
            <w:pPr>
              <w:pStyle w:val="ListBullet"/>
            </w:pPr>
            <w:r w:rsidRPr="00F700F1">
              <w:t xml:space="preserve">relevant industry codes of practice </w:t>
            </w:r>
          </w:p>
          <w:p w:rsidR="00000000" w:rsidRPr="00F700F1" w:rsidP="00F700F1">
            <w:pPr>
              <w:pStyle w:val="ListBullet"/>
            </w:pPr>
            <w:r w:rsidRPr="00F700F1">
              <w:t>trespass and the removal of persons</w:t>
            </w:r>
          </w:p>
          <w:p w:rsidR="00000000" w:rsidRPr="00F700F1" w:rsidP="00F700F1">
            <w:pPr>
              <w:pStyle w:val="ListBullet"/>
            </w:pPr>
            <w:r w:rsidRPr="00F700F1">
              <w:t>use of restraints and weapons:</w:t>
            </w:r>
          </w:p>
          <w:p w:rsidR="00000000" w:rsidRPr="00F700F1" w:rsidP="00F700F1">
            <w:pPr>
              <w:pStyle w:val="ListBullet2"/>
            </w:pPr>
            <w:r w:rsidRPr="00F700F1">
              <w:t>batons</w:t>
            </w:r>
          </w:p>
          <w:p w:rsidR="00000000" w:rsidRPr="00F700F1" w:rsidP="00F700F1">
            <w:pPr>
              <w:pStyle w:val="ListBullet2"/>
            </w:pPr>
            <w:r w:rsidRPr="00F700F1">
              <w:t>firearms</w:t>
            </w:r>
          </w:p>
          <w:p w:rsidR="00000000" w:rsidRPr="00F700F1" w:rsidP="00F700F1">
            <w:pPr>
              <w:pStyle w:val="ListBullet2"/>
            </w:pPr>
            <w:r w:rsidRPr="00F700F1">
              <w:t>handcuffs</w:t>
            </w:r>
          </w:p>
          <w:p w:rsidR="00000000" w:rsidP="00F700F1">
            <w:pPr>
              <w:pStyle w:val="ListBullet2"/>
              <w:rPr>
                <w:lang w:val="en-NZ"/>
              </w:rPr>
            </w:pPr>
            <w:r w:rsidRPr="00F700F1">
              <w:t>spray.</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O</w:t>
            </w:r>
            <w:r w:rsidRPr="00F700F1">
              <w:rPr>
                <w:rStyle w:val="BoldandItalics"/>
              </w:rPr>
              <w:t>rganisational requirements may relate to</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access and equity policies, principles and practices</w:t>
            </w:r>
          </w:p>
          <w:p w:rsidR="00000000" w:rsidRPr="00F700F1" w:rsidP="00F700F1">
            <w:pPr>
              <w:pStyle w:val="ListBullet"/>
            </w:pPr>
            <w:r w:rsidRPr="00F700F1">
              <w:t>business and performance plans</w:t>
            </w:r>
          </w:p>
          <w:p w:rsidR="00000000" w:rsidRPr="00F700F1" w:rsidP="00F700F1">
            <w:pPr>
              <w:pStyle w:val="ListBullet"/>
            </w:pPr>
            <w:r w:rsidRPr="00F700F1">
              <w:t>client service standards</w:t>
            </w:r>
          </w:p>
          <w:p w:rsidR="00000000" w:rsidRPr="00F700F1" w:rsidP="00F700F1">
            <w:pPr>
              <w:pStyle w:val="ListBullet"/>
            </w:pPr>
            <w:r w:rsidRPr="00F700F1">
              <w:t>code of conduct, code of ethics</w:t>
            </w:r>
          </w:p>
          <w:p w:rsidR="00000000" w:rsidRPr="00F700F1" w:rsidP="00F700F1">
            <w:pPr>
              <w:pStyle w:val="ListBullet"/>
            </w:pPr>
            <w:r w:rsidRPr="00F700F1">
              <w:t>communication and reporting procedures</w:t>
            </w:r>
          </w:p>
          <w:p w:rsidR="00000000" w:rsidRPr="00F700F1" w:rsidP="00F700F1">
            <w:pPr>
              <w:pStyle w:val="ListBullet"/>
            </w:pPr>
            <w:r w:rsidRPr="00F700F1">
              <w:t xml:space="preserve">complaint and dispute resolution </w:t>
            </w:r>
            <w:r w:rsidRPr="00F700F1">
              <w:t>procedures</w:t>
            </w:r>
          </w:p>
          <w:p w:rsidR="00000000" w:rsidRPr="00F700F1" w:rsidP="00F700F1">
            <w:pPr>
              <w:pStyle w:val="ListBullet"/>
            </w:pPr>
            <w:r w:rsidRPr="00F700F1">
              <w:t>emergency and evacuation procedures</w:t>
            </w:r>
          </w:p>
          <w:p w:rsidR="00000000" w:rsidRPr="00F700F1" w:rsidP="00F700F1">
            <w:pPr>
              <w:pStyle w:val="ListBullet"/>
            </w:pPr>
            <w:r w:rsidRPr="00F700F1">
              <w:t xml:space="preserve">employer and employee rights and responsibilities </w:t>
            </w:r>
          </w:p>
          <w:p w:rsidR="00000000" w:rsidRPr="00F700F1" w:rsidP="00F700F1">
            <w:pPr>
              <w:pStyle w:val="ListBullet"/>
            </w:pPr>
            <w:r w:rsidRPr="00F700F1">
              <w:t>OHS policies, procedures and programs</w:t>
            </w:r>
          </w:p>
          <w:p w:rsidR="00000000" w:rsidRPr="00F700F1" w:rsidP="00F700F1">
            <w:pPr>
              <w:pStyle w:val="ListBullet"/>
            </w:pPr>
            <w:r w:rsidRPr="00F700F1">
              <w:t xml:space="preserve">own role, responsibility and authority </w:t>
            </w:r>
          </w:p>
          <w:p w:rsidR="00000000" w:rsidRPr="00F700F1" w:rsidP="00F700F1">
            <w:pPr>
              <w:pStyle w:val="ListBullet"/>
            </w:pPr>
            <w:r w:rsidRPr="00F700F1">
              <w:t>personal and professional development</w:t>
            </w:r>
          </w:p>
          <w:p w:rsidR="00000000" w:rsidRPr="00F700F1" w:rsidP="00F700F1">
            <w:pPr>
              <w:pStyle w:val="ListBullet"/>
            </w:pPr>
            <w:r w:rsidRPr="00F700F1">
              <w:t>privacy and confidentiality of information</w:t>
            </w:r>
          </w:p>
          <w:p w:rsidR="00000000" w:rsidRPr="00F700F1" w:rsidP="00F700F1">
            <w:pPr>
              <w:pStyle w:val="ListBullet"/>
            </w:pPr>
            <w:r w:rsidRPr="00F700F1">
              <w:t>quality assurance and continuous improvement processes and standards</w:t>
            </w:r>
          </w:p>
          <w:p w:rsidR="00000000" w:rsidRPr="00F700F1" w:rsidP="00F700F1">
            <w:pPr>
              <w:pStyle w:val="ListBullet"/>
            </w:pPr>
            <w:r w:rsidRPr="00F700F1">
              <w:t>resource parameters and procedures</w:t>
            </w:r>
          </w:p>
          <w:p w:rsidR="00000000" w:rsidRPr="00F700F1" w:rsidP="00F700F1">
            <w:pPr>
              <w:pStyle w:val="ListBullet"/>
            </w:pPr>
            <w:r w:rsidRPr="00F700F1">
              <w:t>roles, functions and responsibilities of security personnel</w:t>
            </w:r>
          </w:p>
          <w:p w:rsidR="00000000" w:rsidP="00F700F1">
            <w:pPr>
              <w:pStyle w:val="ListBullet"/>
              <w:rPr>
                <w:lang w:val="en-NZ"/>
              </w:rPr>
            </w:pPr>
            <w:r w:rsidRPr="00F700F1">
              <w:t>storage and disposal of information.</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Relevant standards</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must include AS/NZS 4360: 2004 Risk management</w:t>
            </w:r>
          </w:p>
          <w:p w:rsidR="00000000" w:rsidRPr="00F700F1" w:rsidP="00F700F1">
            <w:pPr>
              <w:pStyle w:val="ListBullet"/>
            </w:pPr>
            <w:r w:rsidRPr="00F700F1">
              <w:t>may relate to:</w:t>
            </w:r>
          </w:p>
          <w:p w:rsidR="00000000" w:rsidRPr="00F700F1" w:rsidP="00F700F1">
            <w:pPr>
              <w:pStyle w:val="ListBullet2"/>
            </w:pPr>
            <w:r w:rsidRPr="00F700F1">
              <w:t xml:space="preserve">AS2630-1983 Guide to the selection and application of intruder alarm systems for domestic and business premises </w:t>
            </w:r>
          </w:p>
          <w:p w:rsidR="00000000" w:rsidRPr="00F700F1" w:rsidP="00F700F1">
            <w:pPr>
              <w:pStyle w:val="ListBullet2"/>
            </w:pPr>
            <w:r w:rsidRPr="00F700F1">
              <w:t>HB 167:2006 Security Risk Management</w:t>
            </w:r>
          </w:p>
          <w:p w:rsidR="00000000" w:rsidRPr="00F700F1" w:rsidP="00F700F1">
            <w:pPr>
              <w:pStyle w:val="ListBullet2"/>
            </w:pPr>
            <w:r w:rsidRPr="00F700F1">
              <w:t>HB 436 Risk Management Guidelines - Companion to AS/NZS 4360</w:t>
            </w:r>
          </w:p>
          <w:p w:rsidR="00000000" w:rsidRPr="00F700F1" w:rsidP="00F700F1">
            <w:pPr>
              <w:pStyle w:val="ListBullet2"/>
            </w:pPr>
            <w:r w:rsidRPr="00F700F1">
              <w:t>HB 231:2000 Information security risk management guidelines</w:t>
            </w:r>
          </w:p>
          <w:p w:rsidR="00000000" w:rsidP="00F700F1">
            <w:pPr>
              <w:pStyle w:val="ListBullet2"/>
              <w:rPr>
                <w:lang w:val="en-NZ"/>
              </w:rPr>
            </w:pPr>
            <w:r w:rsidRPr="00F700F1">
              <w:t>other standards relating to the treatment options as published and distributed by Standards Australia.</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Security risks may be</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accept</w:t>
            </w:r>
            <w:r w:rsidRPr="00F700F1">
              <w:t>able</w:t>
            </w:r>
          </w:p>
          <w:p w:rsidR="00000000" w:rsidRPr="00F700F1" w:rsidP="00F700F1">
            <w:pPr>
              <w:pStyle w:val="ListBullet"/>
            </w:pPr>
            <w:r w:rsidRPr="00F700F1">
              <w:t>across all aspects of operations</w:t>
            </w:r>
          </w:p>
          <w:p w:rsidR="00000000" w:rsidRPr="00F700F1" w:rsidP="00F700F1">
            <w:pPr>
              <w:pStyle w:val="ListBullet"/>
            </w:pPr>
            <w:r w:rsidRPr="00F700F1">
              <w:t>across limited number of operations</w:t>
            </w:r>
          </w:p>
          <w:p w:rsidR="00000000" w:rsidRPr="00F700F1" w:rsidP="00F700F1">
            <w:pPr>
              <w:pStyle w:val="ListBullet"/>
            </w:pPr>
            <w:r w:rsidRPr="00F700F1">
              <w:t>high likelihood</w:t>
            </w:r>
          </w:p>
          <w:p w:rsidR="00000000" w:rsidRPr="00F700F1" w:rsidP="00F700F1">
            <w:pPr>
              <w:pStyle w:val="ListBullet"/>
            </w:pPr>
            <w:r w:rsidRPr="00F700F1">
              <w:t>long-term</w:t>
            </w:r>
          </w:p>
          <w:p w:rsidR="00000000" w:rsidRPr="00F700F1" w:rsidP="00F700F1">
            <w:pPr>
              <w:pStyle w:val="ListBullet"/>
            </w:pPr>
            <w:r w:rsidRPr="00F700F1">
              <w:t>low likelihood</w:t>
            </w:r>
          </w:p>
          <w:p w:rsidR="00000000" w:rsidRPr="00F700F1" w:rsidP="00F700F1">
            <w:pPr>
              <w:pStyle w:val="ListBullet"/>
            </w:pPr>
            <w:r w:rsidRPr="00F700F1">
              <w:t>potentially avoidable</w:t>
            </w:r>
          </w:p>
          <w:p w:rsidR="00000000" w:rsidRPr="00F700F1" w:rsidP="00F700F1">
            <w:pPr>
              <w:pStyle w:val="ListBullet"/>
            </w:pPr>
            <w:r w:rsidRPr="00F700F1">
              <w:t>potentially unavoidable</w:t>
            </w:r>
          </w:p>
          <w:p w:rsidR="00000000" w:rsidRPr="00F700F1" w:rsidP="00F700F1">
            <w:pPr>
              <w:pStyle w:val="ListBullet"/>
            </w:pPr>
            <w:r w:rsidRPr="00F700F1">
              <w:t>short-term</w:t>
            </w:r>
          </w:p>
          <w:p w:rsidR="00000000" w:rsidP="00F700F1">
            <w:pPr>
              <w:pStyle w:val="ListBullet"/>
              <w:rPr>
                <w:lang w:val="en-NZ"/>
              </w:rPr>
            </w:pPr>
            <w:r w:rsidRPr="00F700F1">
              <w:t>unacceptable.</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Risk</w:t>
            </w:r>
            <w:r w:rsidRPr="00F700F1">
              <w:t xml:space="preserve"> </w:t>
            </w:r>
            <w:r w:rsidRPr="00F700F1">
              <w:rPr>
                <w:rStyle w:val="SpecialBold"/>
              </w:rPr>
              <w:t>relates to</w:t>
            </w:r>
            <w:r w:rsidRPr="00F700F1">
              <w:t>:</w:t>
            </w:r>
          </w:p>
        </w:tc>
        <w:tc>
          <w:tcPr>
            <w:tcW w:w="6017" w:type="dxa"/>
            <w:tcBorders>
              <w:top w:val="nil"/>
              <w:left w:val="nil"/>
              <w:bottom w:val="nil"/>
              <w:right w:val="nil"/>
            </w:tcBorders>
            <w:tcMar>
              <w:top w:w="0" w:type="dxa"/>
              <w:left w:w="62" w:type="dxa"/>
              <w:bottom w:w="0" w:type="dxa"/>
              <w:right w:w="62" w:type="dxa"/>
            </w:tcMar>
          </w:tcPr>
          <w:p w:rsidR="00000000" w:rsidP="00F700F1">
            <w:pPr>
              <w:pStyle w:val="ListBullet"/>
              <w:rPr>
                <w:lang w:val="en-NZ"/>
              </w:rPr>
            </w:pPr>
            <w:r w:rsidRPr="00F700F1">
              <w:t>the c</w:t>
            </w:r>
            <w:r w:rsidRPr="00F700F1">
              <w:t>hance of something happening that will have an impact on objectives.</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Risks may relate to</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break-ins</w:t>
            </w:r>
          </w:p>
          <w:p w:rsidR="00000000" w:rsidRPr="00F700F1" w:rsidP="00F700F1">
            <w:pPr>
              <w:pStyle w:val="ListBullet"/>
            </w:pPr>
            <w:r w:rsidRPr="00F700F1">
              <w:t>business operations</w:t>
            </w:r>
          </w:p>
          <w:p w:rsidR="00000000" w:rsidRPr="00F700F1" w:rsidP="00F700F1">
            <w:pPr>
              <w:pStyle w:val="ListBullet"/>
            </w:pPr>
            <w:r w:rsidRPr="00F700F1">
              <w:t>confidentiality</w:t>
            </w:r>
          </w:p>
          <w:p w:rsidR="00000000" w:rsidRPr="00F700F1" w:rsidP="00F700F1">
            <w:pPr>
              <w:pStyle w:val="ListBullet"/>
            </w:pPr>
            <w:r w:rsidRPr="00F700F1">
              <w:t>deliberate or accidental damage</w:t>
            </w:r>
          </w:p>
          <w:p w:rsidR="00000000" w:rsidRPr="00F700F1" w:rsidP="00F700F1">
            <w:pPr>
              <w:pStyle w:val="ListBullet"/>
            </w:pPr>
            <w:r w:rsidRPr="00F700F1">
              <w:t>finance</w:t>
            </w:r>
          </w:p>
          <w:p w:rsidR="00000000" w:rsidRPr="00F700F1" w:rsidP="00F700F1">
            <w:pPr>
              <w:pStyle w:val="ListBullet"/>
            </w:pPr>
            <w:r w:rsidRPr="00F700F1">
              <w:t xml:space="preserve">OHS </w:t>
            </w:r>
          </w:p>
          <w:p w:rsidR="00000000" w:rsidRPr="00F700F1" w:rsidP="00F700F1">
            <w:pPr>
              <w:pStyle w:val="ListBullet"/>
            </w:pPr>
            <w:r w:rsidRPr="00F700F1">
              <w:t xml:space="preserve">personnel </w:t>
            </w:r>
          </w:p>
          <w:p w:rsidR="00000000" w:rsidRPr="00F700F1" w:rsidP="00F700F1">
            <w:pPr>
              <w:pStyle w:val="ListBullet"/>
            </w:pPr>
            <w:r w:rsidRPr="00F700F1">
              <w:t>theft</w:t>
            </w:r>
          </w:p>
          <w:p w:rsidR="00000000" w:rsidRPr="00F700F1" w:rsidP="00F700F1">
            <w:pPr>
              <w:pStyle w:val="ListBullet"/>
            </w:pPr>
            <w:r w:rsidRPr="00F700F1">
              <w:t>threats of loss, harm or damage to persons or property</w:t>
            </w:r>
          </w:p>
          <w:p w:rsidR="00000000" w:rsidRPr="00F700F1" w:rsidP="00F700F1">
            <w:pPr>
              <w:pStyle w:val="ListBullet"/>
            </w:pPr>
            <w:r w:rsidRPr="00F700F1">
              <w:t>trespass</w:t>
            </w:r>
          </w:p>
          <w:p w:rsidR="00000000" w:rsidRPr="00F700F1" w:rsidP="00F700F1">
            <w:pPr>
              <w:pStyle w:val="ListBullet"/>
            </w:pPr>
            <w:r w:rsidRPr="00F700F1">
              <w:t>unauthorised access</w:t>
            </w:r>
          </w:p>
          <w:p w:rsidR="00000000" w:rsidRPr="00F700F1" w:rsidP="00F700F1">
            <w:pPr>
              <w:pStyle w:val="ListBullet"/>
            </w:pPr>
            <w:r w:rsidRPr="00F700F1">
              <w:t>vandalism</w:t>
            </w:r>
          </w:p>
          <w:p w:rsidR="00000000" w:rsidP="00F700F1">
            <w:pPr>
              <w:pStyle w:val="ListBullet"/>
              <w:rPr>
                <w:lang w:val="en-NZ"/>
              </w:rPr>
            </w:pPr>
            <w:r w:rsidRPr="00F700F1">
              <w:t>workplace environment.</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Assessment of</w:t>
            </w:r>
            <w:r w:rsidRPr="00F700F1">
              <w:t xml:space="preserve"> </w:t>
            </w:r>
            <w:r w:rsidRPr="00F700F1">
              <w:rPr>
                <w:rStyle w:val="BoldandItalics"/>
              </w:rPr>
              <w:t>operating environment</w:t>
            </w:r>
            <w:r w:rsidRPr="00F700F1">
              <w:t xml:space="preserve"> </w:t>
            </w:r>
            <w:r w:rsidRPr="00F700F1">
              <w:rPr>
                <w:rStyle w:val="SpecialBold"/>
              </w:rPr>
              <w:t>may relate to</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competitors</w:t>
            </w:r>
          </w:p>
          <w:p w:rsidR="00000000" w:rsidRPr="00F700F1" w:rsidP="00F700F1">
            <w:pPr>
              <w:pStyle w:val="ListBullet"/>
            </w:pPr>
            <w:r w:rsidRPr="00F700F1">
              <w:t>core business functions</w:t>
            </w:r>
          </w:p>
          <w:p w:rsidR="00000000" w:rsidRPr="00F700F1" w:rsidP="00F700F1">
            <w:pPr>
              <w:pStyle w:val="ListBullet"/>
            </w:pPr>
            <w:r w:rsidRPr="00F700F1">
              <w:t>environmental issues</w:t>
            </w:r>
          </w:p>
          <w:p w:rsidR="00000000" w:rsidRPr="00F700F1" w:rsidP="00F700F1">
            <w:pPr>
              <w:pStyle w:val="ListBullet"/>
            </w:pPr>
            <w:r w:rsidRPr="00F700F1">
              <w:t>financial markets</w:t>
            </w:r>
          </w:p>
          <w:p w:rsidR="00000000" w:rsidRPr="00F700F1" w:rsidP="00F700F1">
            <w:pPr>
              <w:pStyle w:val="ListBullet"/>
            </w:pPr>
            <w:r w:rsidRPr="00F700F1">
              <w:t>industrial relations</w:t>
            </w:r>
          </w:p>
          <w:p w:rsidR="00000000" w:rsidRPr="00F700F1" w:rsidP="00F700F1">
            <w:pPr>
              <w:pStyle w:val="ListBullet"/>
            </w:pPr>
            <w:r w:rsidRPr="00F700F1">
              <w:t>market share</w:t>
            </w:r>
          </w:p>
          <w:p w:rsidR="00000000" w:rsidRPr="00F700F1" w:rsidP="00F700F1">
            <w:pPr>
              <w:pStyle w:val="ListBullet"/>
            </w:pPr>
            <w:r w:rsidRPr="00F700F1">
              <w:t>nature of operations</w:t>
            </w:r>
          </w:p>
          <w:p w:rsidR="00000000" w:rsidRPr="00F700F1" w:rsidP="00F700F1">
            <w:pPr>
              <w:pStyle w:val="ListBullet"/>
            </w:pPr>
            <w:r w:rsidRPr="00F700F1">
              <w:t>neighbours</w:t>
            </w:r>
          </w:p>
          <w:p w:rsidR="00000000" w:rsidRPr="00F700F1" w:rsidP="00F700F1">
            <w:pPr>
              <w:pStyle w:val="ListBullet"/>
            </w:pPr>
            <w:r w:rsidRPr="00F700F1">
              <w:t>scale of operations</w:t>
            </w:r>
          </w:p>
          <w:p w:rsidR="00000000" w:rsidRPr="00F700F1" w:rsidP="00F700F1">
            <w:pPr>
              <w:pStyle w:val="ListBullet"/>
            </w:pPr>
            <w:r w:rsidRPr="00F700F1">
              <w:t>situational issues</w:t>
            </w:r>
          </w:p>
          <w:p w:rsidR="00000000" w:rsidRPr="00F700F1" w:rsidP="00F700F1">
            <w:pPr>
              <w:pStyle w:val="ListBullet"/>
            </w:pPr>
            <w:r w:rsidRPr="00F700F1">
              <w:t xml:space="preserve">size </w:t>
            </w:r>
          </w:p>
          <w:p w:rsidR="00000000" w:rsidRPr="00F700F1" w:rsidP="00F700F1">
            <w:pPr>
              <w:pStyle w:val="ListBullet"/>
            </w:pPr>
            <w:r w:rsidRPr="00F700F1">
              <w:t>stability</w:t>
            </w:r>
          </w:p>
          <w:p w:rsidR="00000000" w:rsidRPr="00F700F1" w:rsidP="00F700F1">
            <w:pPr>
              <w:pStyle w:val="ListBullet"/>
            </w:pPr>
            <w:r w:rsidRPr="00F700F1">
              <w:t>stability of company, organisation, industry and market</w:t>
            </w:r>
          </w:p>
          <w:p w:rsidR="00000000" w:rsidRPr="00F700F1" w:rsidP="00F700F1">
            <w:pPr>
              <w:pStyle w:val="ListBullet"/>
            </w:pPr>
            <w:r w:rsidRPr="00F700F1">
              <w:t>stakeholders</w:t>
            </w:r>
          </w:p>
          <w:p w:rsidR="00000000" w:rsidRPr="00F700F1" w:rsidP="00F700F1">
            <w:pPr>
              <w:pStyle w:val="ListBullet"/>
            </w:pPr>
            <w:r w:rsidRPr="00F700F1">
              <w:t xml:space="preserve">type of industry </w:t>
            </w:r>
          </w:p>
          <w:p w:rsidR="00000000" w:rsidP="00F700F1">
            <w:pPr>
              <w:pStyle w:val="ListBullet"/>
              <w:rPr>
                <w:lang w:val="en-NZ"/>
              </w:rPr>
            </w:pPr>
            <w:r w:rsidRPr="00F700F1">
              <w:t>workforce.</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Security risk</w:t>
            </w:r>
            <w:r w:rsidRPr="00F700F1">
              <w:t xml:space="preserve"> </w:t>
            </w:r>
            <w:r w:rsidRPr="00F700F1">
              <w:rPr>
                <w:rStyle w:val="BoldandItalics"/>
              </w:rPr>
              <w:t>nature and causes</w:t>
            </w:r>
            <w:r w:rsidRPr="00F700F1">
              <w:t xml:space="preserve"> </w:t>
            </w:r>
            <w:r w:rsidRPr="00F700F1">
              <w:rPr>
                <w:rStyle w:val="SpecialBold"/>
              </w:rPr>
              <w:t>may be</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client-based</w:t>
            </w:r>
          </w:p>
          <w:p w:rsidR="00000000" w:rsidRPr="00F700F1" w:rsidP="00F700F1">
            <w:pPr>
              <w:pStyle w:val="ListBullet"/>
            </w:pPr>
            <w:r w:rsidRPr="00F700F1">
              <w:t>external</w:t>
            </w:r>
          </w:p>
          <w:p w:rsidR="00000000" w:rsidRPr="00F700F1" w:rsidP="00F700F1">
            <w:pPr>
              <w:pStyle w:val="ListBullet"/>
            </w:pPr>
            <w:r w:rsidRPr="00F700F1">
              <w:t>financial</w:t>
            </w:r>
          </w:p>
          <w:p w:rsidR="00000000" w:rsidRPr="00F700F1" w:rsidP="00F700F1">
            <w:pPr>
              <w:pStyle w:val="ListBullet"/>
            </w:pPr>
            <w:r w:rsidRPr="00F700F1">
              <w:t>internal</w:t>
            </w:r>
          </w:p>
          <w:p w:rsidR="00000000" w:rsidRPr="00F700F1" w:rsidP="00F700F1">
            <w:pPr>
              <w:pStyle w:val="ListBullet"/>
            </w:pPr>
            <w:r w:rsidRPr="00F700F1">
              <w:t>mechanical</w:t>
            </w:r>
          </w:p>
          <w:p w:rsidR="00000000" w:rsidRPr="00F700F1" w:rsidP="00F700F1">
            <w:pPr>
              <w:pStyle w:val="ListBullet"/>
            </w:pPr>
            <w:r w:rsidRPr="00F700F1">
              <w:t>operational</w:t>
            </w:r>
          </w:p>
          <w:p w:rsidR="00000000" w:rsidP="00F700F1">
            <w:pPr>
              <w:pStyle w:val="ListBullet"/>
              <w:rPr>
                <w:lang w:val="en-NZ"/>
              </w:rPr>
            </w:pPr>
            <w:r w:rsidRPr="00F700F1">
              <w:t>skill based.</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Treatment options</w:t>
            </w:r>
            <w:r w:rsidRPr="00F700F1">
              <w:t xml:space="preserve"> </w:t>
            </w:r>
            <w:r w:rsidRPr="00F700F1">
              <w:rPr>
                <w:rStyle w:val="SpecialBold"/>
              </w:rPr>
              <w:t>may relate to</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attendance</w:t>
            </w:r>
          </w:p>
          <w:p w:rsidR="00000000" w:rsidRPr="00F700F1" w:rsidP="00F700F1">
            <w:pPr>
              <w:pStyle w:val="ListBullet"/>
            </w:pPr>
            <w:r w:rsidRPr="00F700F1">
              <w:t>confidentiality</w:t>
            </w:r>
          </w:p>
          <w:p w:rsidR="00000000" w:rsidRPr="00F700F1" w:rsidP="00F700F1">
            <w:pPr>
              <w:pStyle w:val="ListBullet"/>
            </w:pPr>
            <w:r w:rsidRPr="00F700F1">
              <w:t>interventions</w:t>
            </w:r>
          </w:p>
          <w:p w:rsidR="00000000" w:rsidRPr="00F700F1" w:rsidP="00F700F1">
            <w:pPr>
              <w:pStyle w:val="ListBullet"/>
            </w:pPr>
            <w:r w:rsidRPr="00F700F1">
              <w:t>regularity of presence</w:t>
            </w:r>
          </w:p>
          <w:p w:rsidR="00000000" w:rsidRPr="00F700F1" w:rsidP="00F700F1">
            <w:pPr>
              <w:pStyle w:val="ListBullet"/>
            </w:pPr>
            <w:r w:rsidRPr="00F700F1">
              <w:t>rehearsals</w:t>
            </w:r>
          </w:p>
          <w:p w:rsidR="00000000" w:rsidP="00F700F1">
            <w:pPr>
              <w:pStyle w:val="ListBullet"/>
              <w:rPr>
                <w:lang w:val="en-NZ"/>
              </w:rPr>
            </w:pPr>
            <w:r w:rsidRPr="00F700F1">
              <w:t>surveillance.</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Verifiable evidence</w:t>
            </w:r>
            <w:r w:rsidRPr="00F700F1">
              <w:t xml:space="preserve"> </w:t>
            </w:r>
            <w:r w:rsidRPr="00F700F1">
              <w:rPr>
                <w:rStyle w:val="SpecialBold"/>
              </w:rPr>
              <w:t>may include</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incident reports</w:t>
            </w:r>
          </w:p>
          <w:p w:rsidR="00000000" w:rsidRPr="00F700F1" w:rsidP="00F700F1">
            <w:pPr>
              <w:pStyle w:val="ListBullet"/>
            </w:pPr>
            <w:r w:rsidRPr="00F700F1">
              <w:t>insurance data</w:t>
            </w:r>
          </w:p>
          <w:p w:rsidR="00000000" w:rsidRPr="00F700F1" w:rsidP="00F700F1">
            <w:pPr>
              <w:pStyle w:val="ListBullet"/>
            </w:pPr>
            <w:r w:rsidRPr="00F700F1">
              <w:t>official records</w:t>
            </w:r>
          </w:p>
          <w:p w:rsidR="00000000" w:rsidRPr="00F700F1" w:rsidP="00F700F1">
            <w:pPr>
              <w:pStyle w:val="ListBullet"/>
            </w:pPr>
            <w:r w:rsidRPr="00F700F1">
              <w:t>organisational data</w:t>
            </w:r>
          </w:p>
          <w:p w:rsidR="00000000" w:rsidRPr="00F700F1" w:rsidP="00F700F1">
            <w:pPr>
              <w:pStyle w:val="ListBullet"/>
            </w:pPr>
            <w:r w:rsidRPr="00F700F1">
              <w:t>video evidence</w:t>
            </w:r>
          </w:p>
          <w:p w:rsidR="00000000" w:rsidP="00F700F1">
            <w:pPr>
              <w:pStyle w:val="ListBullet"/>
              <w:rPr>
                <w:lang w:val="en-NZ"/>
              </w:rPr>
            </w:pPr>
            <w:r w:rsidRPr="00F700F1">
              <w:t>witness statements.</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Criteria</w:t>
            </w:r>
            <w:r w:rsidRPr="00F700F1">
              <w:t xml:space="preserve"> </w:t>
            </w:r>
            <w:r w:rsidRPr="00F700F1">
              <w:rPr>
                <w:rStyle w:val="SpecialBold"/>
              </w:rPr>
              <w:t>may include assessment of</w:t>
            </w:r>
            <w:r w:rsidRPr="00F700F1">
              <w:t>:</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budgetary constraints</w:t>
            </w:r>
          </w:p>
          <w:p w:rsidR="00000000" w:rsidRPr="00F700F1" w:rsidP="00F700F1">
            <w:pPr>
              <w:pStyle w:val="ListBullet"/>
            </w:pPr>
            <w:r w:rsidRPr="00F700F1">
              <w:t>environmental issues</w:t>
            </w:r>
          </w:p>
          <w:p w:rsidR="00000000" w:rsidRPr="00F700F1" w:rsidP="00F700F1">
            <w:pPr>
              <w:pStyle w:val="ListBullet"/>
            </w:pPr>
            <w:r w:rsidRPr="00F700F1">
              <w:t>industrial relations</w:t>
            </w:r>
          </w:p>
          <w:p w:rsidR="00000000" w:rsidRPr="00F700F1" w:rsidP="00F700F1">
            <w:pPr>
              <w:pStyle w:val="ListBullet"/>
            </w:pPr>
            <w:r w:rsidRPr="00F700F1">
              <w:t>legal issues</w:t>
            </w:r>
          </w:p>
          <w:p w:rsidR="00000000" w:rsidRPr="00F700F1" w:rsidP="00F700F1">
            <w:pPr>
              <w:pStyle w:val="ListBullet"/>
            </w:pPr>
            <w:r w:rsidRPr="00F700F1">
              <w:t>nature of the task</w:t>
            </w:r>
          </w:p>
          <w:p w:rsidR="00000000" w:rsidRPr="00F700F1" w:rsidP="00F700F1">
            <w:pPr>
              <w:pStyle w:val="ListBullet"/>
            </w:pPr>
            <w:r w:rsidRPr="00F700F1">
              <w:t>operating environment of organisation</w:t>
            </w:r>
          </w:p>
          <w:p w:rsidR="00000000" w:rsidRPr="00F700F1" w:rsidP="00F700F1">
            <w:pPr>
              <w:pStyle w:val="ListBullet"/>
            </w:pPr>
            <w:r w:rsidRPr="00F700F1">
              <w:t xml:space="preserve">organisation structure </w:t>
            </w:r>
          </w:p>
          <w:p w:rsidR="00000000" w:rsidRPr="00F700F1" w:rsidP="00F700F1">
            <w:pPr>
              <w:pStyle w:val="ListBullet"/>
            </w:pPr>
            <w:r w:rsidRPr="00F700F1">
              <w:t>organisational image</w:t>
            </w:r>
          </w:p>
          <w:p w:rsidR="00000000" w:rsidRPr="00F700F1" w:rsidP="00F700F1">
            <w:pPr>
              <w:pStyle w:val="ListBullet"/>
            </w:pPr>
            <w:r w:rsidRPr="00F700F1">
              <w:t>political influences</w:t>
            </w:r>
          </w:p>
          <w:p w:rsidR="00000000" w:rsidRPr="00F700F1" w:rsidP="00F700F1">
            <w:pPr>
              <w:pStyle w:val="ListBullet"/>
            </w:pPr>
            <w:r w:rsidRPr="00F700F1">
              <w:t>terms of reference</w:t>
            </w:r>
          </w:p>
          <w:p w:rsidR="00000000" w:rsidP="00F700F1">
            <w:pPr>
              <w:pStyle w:val="ListBullet"/>
              <w:rPr>
                <w:lang w:val="en-NZ"/>
              </w:rPr>
            </w:pPr>
            <w:r w:rsidRPr="00F700F1">
              <w:t>timeframes.</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Presentation</w:t>
            </w:r>
            <w:r w:rsidRPr="00F700F1">
              <w:t xml:space="preserve"> </w:t>
            </w:r>
            <w:r w:rsidRPr="00F700F1">
              <w:rPr>
                <w:rStyle w:val="SpecialBold"/>
              </w:rPr>
              <w:t>may involve</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charts and statistical reports</w:t>
            </w:r>
          </w:p>
          <w:p w:rsidR="00000000" w:rsidRPr="00F700F1" w:rsidP="00F700F1">
            <w:pPr>
              <w:pStyle w:val="ListBullet"/>
            </w:pPr>
            <w:r w:rsidRPr="00F700F1">
              <w:t>computer equipment including data projectors</w:t>
            </w:r>
          </w:p>
          <w:p w:rsidR="00000000" w:rsidRPr="00F700F1" w:rsidP="00F700F1">
            <w:pPr>
              <w:pStyle w:val="ListBullet"/>
            </w:pPr>
            <w:r w:rsidRPr="00F700F1">
              <w:t>models</w:t>
            </w:r>
          </w:p>
          <w:p w:rsidR="00000000" w:rsidRPr="00F700F1" w:rsidP="00F700F1">
            <w:pPr>
              <w:pStyle w:val="ListBullet"/>
            </w:pPr>
            <w:r w:rsidRPr="00F700F1">
              <w:t>real-time demonstration</w:t>
            </w:r>
          </w:p>
          <w:p w:rsidR="00000000" w:rsidRPr="00F700F1" w:rsidP="00F700F1">
            <w:pPr>
              <w:pStyle w:val="ListBullet"/>
            </w:pPr>
            <w:r w:rsidRPr="00F700F1">
              <w:t>simulation</w:t>
            </w:r>
          </w:p>
          <w:p w:rsidR="00000000" w:rsidP="00F700F1">
            <w:pPr>
              <w:pStyle w:val="ListBullet"/>
              <w:rPr>
                <w:lang w:val="en-NZ"/>
              </w:rPr>
            </w:pPr>
            <w:r w:rsidRPr="00F700F1">
              <w:t>the use of audio and video.</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Terms of reference</w:t>
            </w:r>
            <w:r w:rsidRPr="00F700F1">
              <w:t xml:space="preserve"> </w:t>
            </w:r>
            <w:r w:rsidRPr="00F700F1">
              <w:rPr>
                <w:rStyle w:val="SpecialBold"/>
              </w:rPr>
              <w:t>may relate to</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client expectations</w:t>
            </w:r>
          </w:p>
          <w:p w:rsidR="00000000" w:rsidRPr="00F700F1" w:rsidP="00F700F1">
            <w:pPr>
              <w:pStyle w:val="ListBullet"/>
            </w:pPr>
            <w:r w:rsidRPr="00F700F1">
              <w:t>cost</w:t>
            </w:r>
          </w:p>
          <w:p w:rsidR="00000000" w:rsidRPr="00F700F1" w:rsidP="00F700F1">
            <w:pPr>
              <w:pStyle w:val="ListBullet"/>
            </w:pPr>
            <w:r w:rsidRPr="00F700F1">
              <w:t>limitations and exclusions of access to information</w:t>
            </w:r>
          </w:p>
          <w:p w:rsidR="00000000" w:rsidRPr="00F700F1" w:rsidP="00F700F1">
            <w:pPr>
              <w:pStyle w:val="ListBullet"/>
            </w:pPr>
            <w:r w:rsidRPr="00F700F1">
              <w:t>lines of authority</w:t>
            </w:r>
          </w:p>
          <w:p w:rsidR="00000000" w:rsidRPr="00F700F1" w:rsidP="00F700F1">
            <w:pPr>
              <w:pStyle w:val="ListBullet"/>
            </w:pPr>
            <w:r w:rsidRPr="00F700F1">
              <w:t>operational environment</w:t>
            </w:r>
          </w:p>
          <w:p w:rsidR="00000000" w:rsidRPr="00F700F1" w:rsidP="00F700F1">
            <w:pPr>
              <w:pStyle w:val="ListBullet"/>
            </w:pPr>
            <w:r w:rsidRPr="00F700F1">
              <w:t>roles and responsibilities</w:t>
            </w:r>
          </w:p>
          <w:p w:rsidR="00000000" w:rsidRPr="00F700F1" w:rsidP="00F700F1">
            <w:pPr>
              <w:pStyle w:val="ListBullet"/>
            </w:pPr>
            <w:r w:rsidRPr="00F700F1">
              <w:t>scale of the assessment eg full-scale operation or limited to a particular section or operat</w:t>
            </w:r>
            <w:r w:rsidRPr="00F700F1">
              <w:t>ion of the company</w:t>
            </w:r>
          </w:p>
          <w:p w:rsidR="00000000" w:rsidRPr="00F700F1" w:rsidP="00F700F1">
            <w:pPr>
              <w:pStyle w:val="ListBullet"/>
            </w:pPr>
            <w:r w:rsidRPr="00F700F1">
              <w:t>security and other clearances</w:t>
            </w:r>
          </w:p>
          <w:p w:rsidR="00000000" w:rsidP="00F700F1">
            <w:pPr>
              <w:pStyle w:val="ListBullet"/>
              <w:rPr>
                <w:lang w:val="en-NZ"/>
              </w:rPr>
            </w:pPr>
            <w:r w:rsidRPr="00F700F1">
              <w:t>timeframe.</w:t>
            </w:r>
          </w:p>
        </w:tc>
      </w:tr>
      <w:tr w:rsidTr="00206C22">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BoldandItalics"/>
              </w:rPr>
              <w:t>Interpersonal techniques may involve</w:t>
            </w:r>
            <w:r w:rsidRPr="00F700F1">
              <w:t xml:space="preserve">: </w:t>
            </w:r>
          </w:p>
        </w:tc>
        <w:tc>
          <w:tcPr>
            <w:tcW w:w="6017" w:type="dxa"/>
            <w:tcBorders>
              <w:top w:val="nil"/>
              <w:left w:val="nil"/>
              <w:bottom w:val="nil"/>
              <w:right w:val="nil"/>
            </w:tcBorders>
            <w:tcMar>
              <w:top w:w="0" w:type="dxa"/>
              <w:left w:w="62" w:type="dxa"/>
              <w:bottom w:w="0" w:type="dxa"/>
              <w:right w:w="62" w:type="dxa"/>
            </w:tcMar>
          </w:tcPr>
          <w:p w:rsidR="00000000" w:rsidRPr="00F700F1" w:rsidP="00F700F1">
            <w:pPr>
              <w:pStyle w:val="ListBullet"/>
            </w:pPr>
            <w:r w:rsidRPr="00F700F1">
              <w:t xml:space="preserve">active listening </w:t>
            </w:r>
          </w:p>
          <w:p w:rsidR="00000000" w:rsidRPr="00F700F1" w:rsidP="00F700F1">
            <w:pPr>
              <w:pStyle w:val="ListBullet"/>
            </w:pPr>
            <w:r w:rsidRPr="00F700F1">
              <w:t>being non-judgemental</w:t>
            </w:r>
          </w:p>
          <w:p w:rsidR="00000000" w:rsidRPr="00F700F1" w:rsidP="00F700F1">
            <w:pPr>
              <w:pStyle w:val="ListBullet"/>
            </w:pPr>
            <w:r w:rsidRPr="00F700F1">
              <w:t>being respectful and non-discriminatory</w:t>
            </w:r>
          </w:p>
          <w:p w:rsidR="00000000" w:rsidRPr="00F700F1" w:rsidP="00F700F1">
            <w:pPr>
              <w:pStyle w:val="ListBullet"/>
            </w:pPr>
            <w:r w:rsidRPr="00F700F1">
              <w:t>constructive feedback</w:t>
            </w:r>
          </w:p>
          <w:p w:rsidR="00000000" w:rsidRPr="00F700F1" w:rsidP="00F700F1">
            <w:pPr>
              <w:pStyle w:val="ListBullet"/>
            </w:pPr>
            <w:r w:rsidRPr="00F700F1">
              <w:t>control of tone of voice and body language</w:t>
            </w:r>
          </w:p>
          <w:p w:rsidR="00000000" w:rsidRPr="00F700F1" w:rsidP="00F700F1">
            <w:pPr>
              <w:pStyle w:val="ListBullet"/>
            </w:pPr>
            <w:r w:rsidRPr="00F700F1">
              <w:t xml:space="preserve">culturally aware and sensitive use of language and concepts </w:t>
            </w:r>
          </w:p>
          <w:p w:rsidR="00000000" w:rsidRPr="00F700F1" w:rsidP="00F700F1">
            <w:pPr>
              <w:pStyle w:val="ListBullet"/>
            </w:pPr>
            <w:r w:rsidRPr="00F700F1">
              <w:t>demonstrating flexibility and willingness to negotiate</w:t>
            </w:r>
          </w:p>
          <w:p w:rsidR="00000000" w:rsidRPr="00F700F1" w:rsidP="00F700F1">
            <w:pPr>
              <w:pStyle w:val="ListBullet"/>
            </w:pPr>
            <w:r w:rsidRPr="00F700F1">
              <w:t>effective verbal and non-verbal communication</w:t>
            </w:r>
          </w:p>
          <w:p w:rsidR="00000000" w:rsidRPr="00F700F1" w:rsidP="00F700F1">
            <w:pPr>
              <w:pStyle w:val="ListBullet"/>
            </w:pPr>
            <w:r w:rsidRPr="00F700F1">
              <w:t>maintaining professionalism</w:t>
            </w:r>
          </w:p>
          <w:p w:rsidR="00000000" w:rsidRPr="00F700F1" w:rsidP="00F700F1">
            <w:pPr>
              <w:pStyle w:val="ListBullet"/>
            </w:pPr>
            <w:r w:rsidRPr="00F700F1">
              <w:t xml:space="preserve">providing sufficient time for questions and responses </w:t>
            </w:r>
          </w:p>
          <w:p w:rsidR="00000000" w:rsidRPr="00F700F1" w:rsidP="00F700F1">
            <w:pPr>
              <w:pStyle w:val="ListBullet"/>
            </w:pPr>
            <w:r w:rsidRPr="00F700F1">
              <w:t xml:space="preserve">reflection </w:t>
            </w:r>
            <w:r w:rsidRPr="00F700F1">
              <w:t>and summarising</w:t>
            </w:r>
          </w:p>
          <w:p w:rsidR="00000000" w:rsidRPr="00F700F1" w:rsidP="00F700F1">
            <w:pPr>
              <w:pStyle w:val="ListBullet"/>
            </w:pPr>
            <w:r w:rsidRPr="00F700F1">
              <w:t>two-way interaction</w:t>
            </w:r>
          </w:p>
          <w:p w:rsidR="00000000" w:rsidRPr="00F700F1" w:rsidP="00F700F1">
            <w:pPr>
              <w:pStyle w:val="ListBullet"/>
            </w:pPr>
            <w:r w:rsidRPr="00F700F1">
              <w:t>use of plain English</w:t>
            </w:r>
          </w:p>
          <w:p w:rsidR="00000000" w:rsidRPr="00F700F1" w:rsidP="00F700F1">
            <w:pPr>
              <w:pStyle w:val="ListBullet"/>
            </w:pPr>
            <w:r w:rsidRPr="00F700F1">
              <w:t>use of positive, confident and cooperative language.</w:t>
            </w:r>
          </w:p>
        </w:tc>
      </w:tr>
    </w:tbl>
    <w:p w:rsidR="00206C22" w:rsidP="00F700F1">
      <w:pPr>
        <w:pStyle w:val="BodyText"/>
      </w:pPr>
    </w:p>
    <w:p w:rsidR="00206C22" w:rsidP="00F700F1">
      <w:pPr>
        <w:pStyle w:val="BodyText"/>
      </w:pPr>
    </w:p>
    <w:p w:rsidR="00000000" w:rsidRPr="00F700F1" w:rsidP="00F700F1">
      <w:pPr>
        <w:pStyle w:val="Heading1"/>
      </w:pPr>
      <w:bookmarkStart w:id="12" w:name="O_202154"/>
      <w:bookmarkEnd w:id="12"/>
      <w:r w:rsidRPr="00F700F1">
        <w:t>Unit Sector(s)</w:t>
      </w:r>
    </w:p>
    <w:tbl>
      <w:tblPr>
        <w:tblW w:w="0" w:type="auto"/>
        <w:tblLayout w:type="fixed"/>
        <w:tblCellMar>
          <w:left w:w="62" w:type="dxa"/>
          <w:right w:w="62" w:type="dxa"/>
        </w:tblCellMar>
        <w:tblLook w:val="0000"/>
      </w:tblPr>
      <w:tblGrid>
        <w:gridCol w:w="2391"/>
        <w:gridCol w:w="6131"/>
      </w:tblGrid>
      <w:tr w:rsidTr="00206C2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Security</w:t>
            </w:r>
          </w:p>
        </w:tc>
      </w:tr>
    </w:tbl>
    <w:p w:rsidR="00206C22" w:rsidP="00F700F1">
      <w:pPr>
        <w:pStyle w:val="BodyText"/>
      </w:pPr>
    </w:p>
    <w:p w:rsidR="00206C22" w:rsidP="00F700F1">
      <w:pPr>
        <w:pStyle w:val="BodyText"/>
      </w:pPr>
    </w:p>
    <w:p w:rsidR="00000000" w:rsidRPr="00F700F1" w:rsidP="00F700F1">
      <w:pPr>
        <w:pStyle w:val="Heading1"/>
      </w:pPr>
      <w:bookmarkStart w:id="13" w:name="O_202153"/>
      <w:bookmarkEnd w:id="13"/>
      <w:r w:rsidRPr="00F700F1">
        <w:t>Competency field</w:t>
      </w:r>
    </w:p>
    <w:tbl>
      <w:tblPr>
        <w:tblW w:w="0" w:type="auto"/>
        <w:tblLayout w:type="fixed"/>
        <w:tblCellMar>
          <w:left w:w="62" w:type="dxa"/>
          <w:right w:w="62" w:type="dxa"/>
        </w:tblCellMar>
        <w:tblLook w:val="0000"/>
      </w:tblPr>
      <w:tblGrid>
        <w:gridCol w:w="2450"/>
        <w:gridCol w:w="6072"/>
      </w:tblGrid>
      <w:tr w:rsidTr="00206C2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700F1">
            <w:pPr>
              <w:pStyle w:val="BodyText"/>
              <w:rPr>
                <w:lang w:val="en-NZ"/>
              </w:rPr>
            </w:pPr>
            <w:r w:rsidRPr="00F700F1">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700F1" w:rsidP="00F700F1">
            <w:pPr>
              <w:pStyle w:val="BodyText"/>
            </w:pPr>
            <w:r w:rsidRPr="00F700F1">
              <w:t>Security and risk management</w:t>
            </w:r>
          </w:p>
        </w:tc>
      </w:tr>
    </w:tbl>
    <w:p w:rsidR="00206C22" w:rsidP="00F700F1">
      <w:pPr>
        <w:pStyle w:val="BodyText"/>
      </w:pPr>
    </w:p>
    <w:p w:rsidR="00206C22" w:rsidP="00F700F1">
      <w:pPr>
        <w:pStyle w:val="BodyText"/>
      </w:pPr>
    </w:p>
    <w:p w:rsidR="00000000" w:rsidRPr="00F700F1" w:rsidP="00F700F1"/>
    <w:sectPr w:rsidSect="00F70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C22" w:rsidP="00206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2" w:rsidP="00F70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6C22" w:rsidP="00F700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6C22" w:rsidP="00F700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C22" w:rsidP="00206C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2" w:rsidP="00F700F1">
    <w:pPr>
      <w:pStyle w:val="Header"/>
      <w:framePr w:wrap="around"/>
    </w:pPr>
    <w:r>
      <w:fldChar w:fldCharType="begin"/>
    </w:r>
    <w:r>
      <w:instrText xml:space="preserve"> TITLE   \* MERGEFORMAT </w:instrText>
    </w:r>
    <w:r>
      <w:fldChar w:fldCharType="separate"/>
    </w:r>
    <w:r>
      <w:t>CPPSEC5003A Assess security risk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6C22" w:rsidP="00F700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A0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8B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02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0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0F1"/>
    <w:pPr>
      <w:spacing w:before="360" w:after="60"/>
      <w:outlineLvl w:val="0"/>
    </w:pPr>
    <w:rPr>
      <w:sz w:val="32"/>
    </w:rPr>
  </w:style>
  <w:style w:type="paragraph" w:styleId="Heading2">
    <w:name w:val="heading 2"/>
    <w:basedOn w:val="HeadingBase"/>
    <w:next w:val="BodyText"/>
    <w:link w:val="Heading2Char"/>
    <w:qFormat/>
    <w:rsid w:val="00F700F1"/>
    <w:pPr>
      <w:keepLines/>
      <w:spacing w:before="240" w:after="120"/>
      <w:outlineLvl w:val="1"/>
    </w:pPr>
    <w:rPr>
      <w:sz w:val="28"/>
      <w:szCs w:val="40"/>
    </w:rPr>
  </w:style>
  <w:style w:type="paragraph" w:styleId="Heading3">
    <w:name w:val="heading 3"/>
    <w:basedOn w:val="HeadingBase"/>
    <w:next w:val="BodyText"/>
    <w:link w:val="Heading3Char"/>
    <w:qFormat/>
    <w:rsid w:val="00F700F1"/>
    <w:pPr>
      <w:spacing w:before="180" w:after="120"/>
      <w:outlineLvl w:val="2"/>
    </w:pPr>
    <w:rPr>
      <w:spacing w:val="-10"/>
      <w:kern w:val="32"/>
    </w:rPr>
  </w:style>
  <w:style w:type="paragraph" w:styleId="Heading4">
    <w:name w:val="heading 4"/>
    <w:basedOn w:val="HeadingBase"/>
    <w:next w:val="BodyText"/>
    <w:link w:val="Heading4Char"/>
    <w:qFormat/>
    <w:rsid w:val="00F700F1"/>
    <w:pPr>
      <w:spacing w:before="160" w:after="120"/>
      <w:outlineLvl w:val="3"/>
    </w:pPr>
    <w:rPr>
      <w:sz w:val="22"/>
    </w:rPr>
  </w:style>
  <w:style w:type="paragraph" w:styleId="Heading5">
    <w:name w:val="heading 5"/>
    <w:basedOn w:val="HeadingBase"/>
    <w:next w:val="Normal"/>
    <w:link w:val="Heading5Char"/>
    <w:qFormat/>
    <w:rsid w:val="00F700F1"/>
    <w:pPr>
      <w:spacing w:before="80"/>
      <w:outlineLvl w:val="4"/>
    </w:pPr>
    <w:rPr>
      <w:color w:val="918585"/>
      <w:sz w:val="20"/>
    </w:rPr>
  </w:style>
  <w:style w:type="paragraph" w:styleId="Heading6">
    <w:name w:val="heading 6"/>
    <w:basedOn w:val="HeadingBase"/>
    <w:next w:val="Normal"/>
    <w:link w:val="Heading6Char"/>
    <w:qFormat/>
    <w:rsid w:val="00F700F1"/>
    <w:pPr>
      <w:spacing w:before="60"/>
      <w:outlineLvl w:val="5"/>
    </w:pPr>
    <w:rPr>
      <w:color w:val="918585"/>
      <w:sz w:val="20"/>
    </w:rPr>
  </w:style>
  <w:style w:type="paragraph" w:styleId="Heading7">
    <w:name w:val="heading 7"/>
    <w:basedOn w:val="Normal"/>
    <w:next w:val="Normal"/>
    <w:link w:val="Heading7Char"/>
    <w:qFormat/>
    <w:rsid w:val="00F700F1"/>
    <w:pPr>
      <w:ind w:left="720"/>
      <w:outlineLvl w:val="6"/>
    </w:pPr>
    <w:rPr>
      <w:i/>
    </w:rPr>
  </w:style>
  <w:style w:type="paragraph" w:styleId="Heading8">
    <w:name w:val="heading 8"/>
    <w:basedOn w:val="Normal"/>
    <w:next w:val="Normal"/>
    <w:link w:val="Heading8Char"/>
    <w:qFormat/>
    <w:rsid w:val="00F700F1"/>
    <w:pPr>
      <w:ind w:left="720"/>
      <w:outlineLvl w:val="7"/>
    </w:pPr>
    <w:rPr>
      <w:i/>
    </w:rPr>
  </w:style>
  <w:style w:type="paragraph" w:styleId="Heading9">
    <w:name w:val="heading 9"/>
    <w:basedOn w:val="Normal"/>
    <w:next w:val="Normal"/>
    <w:link w:val="Heading9Char"/>
    <w:qFormat/>
    <w:rsid w:val="00F700F1"/>
    <w:pPr>
      <w:ind w:left="720"/>
      <w:outlineLvl w:val="8"/>
    </w:pPr>
    <w:rPr>
      <w:i/>
    </w:rPr>
  </w:style>
  <w:style w:type="character" w:default="1" w:styleId="DefaultParagraphFont">
    <w:name w:val="Default Paragraph Font"/>
    <w:uiPriority w:val="1"/>
    <w:unhideWhenUsed/>
    <w:rsid w:val="00F70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0F1"/>
  </w:style>
  <w:style w:type="character" w:customStyle="1" w:styleId="Heading1Char">
    <w:name w:val="Heading 1 Char"/>
    <w:basedOn w:val="DefaultParagraphFont"/>
    <w:link w:val="Heading1"/>
    <w:rsid w:val="00F700F1"/>
    <w:rPr>
      <w:rFonts w:ascii="Times New Roman" w:eastAsia="Times New Roman" w:hAnsi="Times New Roman" w:cs="Times New Roman"/>
      <w:b/>
      <w:sz w:val="32"/>
      <w:szCs w:val="20"/>
      <w:lang w:eastAsia="en-US"/>
    </w:rPr>
  </w:style>
  <w:style w:type="paragraph" w:styleId="BodyText">
    <w:name w:val="Body Text"/>
    <w:basedOn w:val="Normal"/>
    <w:link w:val="BodyTextChar"/>
    <w:rsid w:val="00F70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0F1"/>
    <w:rPr>
      <w:rFonts w:ascii="Times New Roman" w:eastAsia="Times New Roman" w:hAnsi="Times New Roman" w:cs="Times New Roman"/>
      <w:sz w:val="24"/>
      <w:lang w:val="en-US" w:eastAsia="en-US"/>
    </w:rPr>
  </w:style>
  <w:style w:type="paragraph" w:styleId="Footer">
    <w:name w:val="footer"/>
    <w:basedOn w:val="Normal"/>
    <w:link w:val="FooterChar"/>
    <w:rsid w:val="00F70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0F1"/>
    <w:rPr>
      <w:rFonts w:ascii="Times New Roman" w:eastAsia="Times New Roman" w:hAnsi="Times New Roman" w:cs="Times New Roman"/>
      <w:sz w:val="16"/>
      <w:lang w:val="en-US" w:eastAsia="en-US"/>
    </w:rPr>
  </w:style>
  <w:style w:type="paragraph" w:styleId="List">
    <w:name w:val="List"/>
    <w:basedOn w:val="BodyText"/>
    <w:next w:val="BodyText"/>
    <w:rsid w:val="00F700F1"/>
    <w:pPr>
      <w:tabs>
        <w:tab w:val="left" w:pos="340"/>
      </w:tabs>
      <w:spacing w:before="60" w:after="60"/>
      <w:ind w:left="340" w:hanging="340"/>
    </w:pPr>
  </w:style>
  <w:style w:type="paragraph" w:styleId="ListBullet">
    <w:name w:val="List Bullet"/>
    <w:basedOn w:val="List"/>
    <w:rsid w:val="00F700F1"/>
    <w:pPr>
      <w:numPr>
        <w:numId w:val="13"/>
      </w:numPr>
      <w:tabs>
        <w:tab w:val="clear" w:pos="340"/>
      </w:tabs>
      <w:spacing w:before="40" w:after="40"/>
    </w:pPr>
  </w:style>
  <w:style w:type="character" w:customStyle="1" w:styleId="SpecialBold">
    <w:name w:val="Special Bold"/>
    <w:basedOn w:val="DefaultParagraphFont"/>
    <w:rsid w:val="00F700F1"/>
    <w:rPr>
      <w:b/>
      <w:spacing w:val="0"/>
    </w:rPr>
  </w:style>
  <w:style w:type="paragraph" w:styleId="ListBullet2">
    <w:name w:val="List Bullet 2"/>
    <w:basedOn w:val="List2"/>
    <w:rsid w:val="00F700F1"/>
    <w:pPr>
      <w:numPr>
        <w:numId w:val="14"/>
      </w:numPr>
      <w:tabs>
        <w:tab w:val="clear" w:pos="680"/>
      </w:tabs>
    </w:pPr>
  </w:style>
  <w:style w:type="paragraph" w:styleId="Header">
    <w:name w:val="header"/>
    <w:basedOn w:val="Normal"/>
    <w:link w:val="HeaderChar"/>
    <w:rsid w:val="00F70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0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00F1"/>
    <w:pPr>
      <w:spacing w:before="240" w:after="120"/>
      <w:outlineLvl w:val="0"/>
    </w:pPr>
    <w:rPr>
      <w:rFonts w:ascii="Times New Roman" w:hAnsi="Times New Roman"/>
      <w:b/>
      <w:sz w:val="28"/>
    </w:rPr>
  </w:style>
  <w:style w:type="paragraph" w:customStyle="1" w:styleId="AllowPageBreak">
    <w:name w:val="AllowPageBreak"/>
    <w:rsid w:val="00F70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00F1"/>
    <w:rPr>
      <w:b/>
      <w:i/>
      <w:u w:val="none"/>
    </w:rPr>
  </w:style>
  <w:style w:type="character" w:customStyle="1" w:styleId="Heading2Char">
    <w:name w:val="Heading 2 Char"/>
    <w:basedOn w:val="DefaultParagraphFont"/>
    <w:link w:val="Heading2"/>
    <w:rsid w:val="00F70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0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0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0F1"/>
    <w:rPr>
      <w:rFonts w:ascii="Courier New" w:eastAsia="Times New Roman" w:hAnsi="Courier New" w:cs="Times New Roman"/>
      <w:i/>
      <w:szCs w:val="20"/>
      <w:lang w:val="en-US" w:eastAsia="en-US"/>
    </w:rPr>
  </w:style>
  <w:style w:type="paragraph" w:customStyle="1" w:styleId="HeadingBase">
    <w:name w:val="Heading Base"/>
    <w:rsid w:val="00F70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0F1"/>
    <w:pPr>
      <w:tabs>
        <w:tab w:val="right" w:leader="dot" w:pos="9072"/>
      </w:tabs>
      <w:ind w:left="567"/>
    </w:pPr>
    <w:rPr>
      <w:szCs w:val="22"/>
    </w:rPr>
  </w:style>
  <w:style w:type="paragraph" w:customStyle="1" w:styleId="TOCBase">
    <w:name w:val="TOC Base"/>
    <w:rsid w:val="00F70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0F1"/>
    <w:pPr>
      <w:tabs>
        <w:tab w:val="right" w:leader="dot" w:pos="9072"/>
      </w:tabs>
      <w:spacing w:before="40" w:after="40"/>
      <w:ind w:left="284"/>
    </w:pPr>
    <w:rPr>
      <w:rFonts w:ascii="Times New Roman" w:hAnsi="Times New Roman"/>
    </w:rPr>
  </w:style>
  <w:style w:type="paragraph" w:styleId="TOC1">
    <w:name w:val="toc 1"/>
    <w:basedOn w:val="TOCBase"/>
    <w:next w:val="Normal"/>
    <w:rsid w:val="00F700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0F1"/>
    <w:pPr>
      <w:spacing w:before="5040"/>
      <w:jc w:val="center"/>
    </w:pPr>
    <w:rPr>
      <w:sz w:val="48"/>
      <w:szCs w:val="72"/>
      <w:lang w:val="en-US"/>
    </w:rPr>
  </w:style>
  <w:style w:type="character" w:customStyle="1" w:styleId="TitleChar">
    <w:name w:val="Title Char"/>
    <w:basedOn w:val="DefaultParagraphFont"/>
    <w:link w:val="Title"/>
    <w:rsid w:val="00F70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0F1"/>
    <w:pPr>
      <w:tabs>
        <w:tab w:val="left" w:pos="3600"/>
        <w:tab w:val="left" w:pos="3958"/>
      </w:tabs>
    </w:pPr>
  </w:style>
  <w:style w:type="paragraph" w:customStyle="1" w:styleId="Note">
    <w:name w:val="Note"/>
    <w:basedOn w:val="BodyText"/>
    <w:rsid w:val="00F70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0F1"/>
    <w:pPr>
      <w:framePr w:wrap="auto" w:hAnchor="text" w:y="6049"/>
    </w:pPr>
    <w:rPr>
      <w:color w:val="000000"/>
      <w:sz w:val="40"/>
    </w:rPr>
  </w:style>
  <w:style w:type="paragraph" w:customStyle="1" w:styleId="TOCTitle">
    <w:name w:val="TOCTitle"/>
    <w:basedOn w:val="Heading1"/>
    <w:rsid w:val="00F700F1"/>
    <w:pPr>
      <w:spacing w:after="240"/>
      <w:jc w:val="center"/>
      <w:outlineLvl w:val="9"/>
    </w:pPr>
    <w:rPr>
      <w:caps/>
    </w:rPr>
  </w:style>
  <w:style w:type="paragraph" w:customStyle="1" w:styleId="Version">
    <w:name w:val="Version"/>
    <w:rsid w:val="00F70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0F1"/>
    <w:pPr>
      <w:keepNext w:val="0"/>
      <w:tabs>
        <w:tab w:val="right" w:pos="4176"/>
      </w:tabs>
      <w:ind w:left="198" w:hanging="198"/>
    </w:pPr>
    <w:rPr>
      <w:rFonts w:ascii="Garamond" w:hAnsi="Garamond"/>
    </w:rPr>
  </w:style>
  <w:style w:type="paragraph" w:styleId="IndexHeading">
    <w:name w:val="index heading"/>
    <w:basedOn w:val="Normal"/>
    <w:next w:val="Index1"/>
    <w:semiHidden/>
    <w:rsid w:val="00F700F1"/>
    <w:pPr>
      <w:spacing w:before="120" w:after="120"/>
    </w:pPr>
    <w:rPr>
      <w:rFonts w:ascii="Arial" w:hAnsi="Arial"/>
      <w:b/>
      <w:color w:val="918585"/>
      <w:sz w:val="24"/>
    </w:rPr>
  </w:style>
  <w:style w:type="paragraph" w:customStyle="1" w:styleId="Chapter">
    <w:name w:val="Chapter"/>
    <w:basedOn w:val="Normal"/>
    <w:rsid w:val="00F700F1"/>
    <w:pPr>
      <w:spacing w:before="240"/>
    </w:pPr>
    <w:rPr>
      <w:rFonts w:ascii="Times New Roman" w:hAnsi="Times New Roman"/>
      <w:smallCaps/>
      <w:spacing w:val="80"/>
      <w:sz w:val="28"/>
    </w:rPr>
  </w:style>
  <w:style w:type="paragraph" w:customStyle="1" w:styleId="InChapter">
    <w:name w:val="InChapter"/>
    <w:basedOn w:val="Heading3"/>
    <w:rsid w:val="00F700F1"/>
    <w:pPr>
      <w:spacing w:after="240"/>
      <w:outlineLvl w:val="9"/>
    </w:pPr>
    <w:rPr>
      <w:noProof/>
    </w:rPr>
  </w:style>
  <w:style w:type="paragraph" w:styleId="Index2">
    <w:name w:val="index 2"/>
    <w:basedOn w:val="Normal"/>
    <w:next w:val="Normal"/>
    <w:semiHidden/>
    <w:rsid w:val="00F700F1"/>
    <w:pPr>
      <w:tabs>
        <w:tab w:val="right" w:pos="4176"/>
      </w:tabs>
      <w:ind w:left="568" w:hanging="284"/>
    </w:pPr>
    <w:rPr>
      <w:rFonts w:ascii="Garamond" w:hAnsi="Garamond"/>
    </w:rPr>
  </w:style>
  <w:style w:type="paragraph" w:customStyle="1" w:styleId="Byline">
    <w:name w:val="Byline"/>
    <w:rsid w:val="00F70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0F1"/>
    <w:pPr>
      <w:tabs>
        <w:tab w:val="clear" w:pos="3600"/>
        <w:tab w:val="clear" w:pos="3958"/>
      </w:tabs>
      <w:jc w:val="right"/>
    </w:pPr>
  </w:style>
  <w:style w:type="character" w:styleId="Emphasis">
    <w:name w:val="Emphasis"/>
    <w:basedOn w:val="DefaultParagraphFont"/>
    <w:qFormat/>
    <w:rsid w:val="00F700F1"/>
    <w:rPr>
      <w:i/>
    </w:rPr>
  </w:style>
  <w:style w:type="paragraph" w:styleId="Caption">
    <w:name w:val="caption"/>
    <w:basedOn w:val="BodyText"/>
    <w:next w:val="Normal"/>
    <w:qFormat/>
    <w:rsid w:val="00F700F1"/>
    <w:pPr>
      <w:framePr w:w="2268" w:hSpace="181" w:vSpace="181" w:wrap="around" w:vAnchor="text" w:hAnchor="page" w:x="1135" w:y="285" w:anchorLock="1"/>
    </w:pPr>
    <w:rPr>
      <w:i/>
    </w:rPr>
  </w:style>
  <w:style w:type="paragraph" w:customStyle="1" w:styleId="MiniTOCTitle">
    <w:name w:val="MiniTOCTitle"/>
    <w:basedOn w:val="Heading4"/>
    <w:rsid w:val="00F700F1"/>
    <w:pPr>
      <w:spacing w:before="240"/>
      <w:outlineLvl w:val="9"/>
    </w:pPr>
    <w:rPr>
      <w:noProof/>
      <w:sz w:val="24"/>
    </w:rPr>
  </w:style>
  <w:style w:type="paragraph" w:customStyle="1" w:styleId="MiniTOCItem">
    <w:name w:val="MiniTOCItem"/>
    <w:basedOn w:val="ListBullet"/>
    <w:rsid w:val="00F700F1"/>
    <w:pPr>
      <w:numPr>
        <w:numId w:val="0"/>
      </w:numPr>
      <w:tabs>
        <w:tab w:val="right" w:leader="dot" w:pos="6521"/>
      </w:tabs>
      <w:spacing w:before="0" w:after="0"/>
    </w:pPr>
  </w:style>
  <w:style w:type="paragraph" w:customStyle="1" w:styleId="TOFTitle">
    <w:name w:val="TOFTitle"/>
    <w:basedOn w:val="TOCTitle"/>
    <w:rsid w:val="00F700F1"/>
  </w:style>
  <w:style w:type="paragraph" w:styleId="TableofFigures">
    <w:name w:val="table of figures"/>
    <w:basedOn w:val="Normal"/>
    <w:next w:val="Normal"/>
    <w:semiHidden/>
    <w:rsid w:val="00F700F1"/>
    <w:pPr>
      <w:tabs>
        <w:tab w:val="right" w:leader="dot" w:pos="9072"/>
      </w:tabs>
      <w:ind w:left="970" w:hanging="403"/>
    </w:pPr>
    <w:rPr>
      <w:rFonts w:ascii="Times New Roman" w:hAnsi="Times New Roman"/>
      <w:b/>
    </w:rPr>
  </w:style>
  <w:style w:type="paragraph" w:styleId="ListNumber">
    <w:name w:val="List Number"/>
    <w:basedOn w:val="List"/>
    <w:rsid w:val="00F700F1"/>
    <w:pPr>
      <w:numPr>
        <w:numId w:val="11"/>
      </w:numPr>
    </w:pPr>
  </w:style>
  <w:style w:type="character" w:customStyle="1" w:styleId="WingdingSymbols">
    <w:name w:val="Wingding Symbols"/>
    <w:rsid w:val="00F700F1"/>
    <w:rPr>
      <w:rFonts w:ascii="Wingdings" w:hAnsi="Wingdings"/>
    </w:rPr>
  </w:style>
  <w:style w:type="paragraph" w:customStyle="1" w:styleId="TableHeading">
    <w:name w:val="Table Heading"/>
    <w:basedOn w:val="HeadingBase"/>
    <w:rsid w:val="00F700F1"/>
    <w:pPr>
      <w:keepLines/>
      <w:pBdr>
        <w:bottom w:val="single" w:sz="6" w:space="1" w:color="918585"/>
      </w:pBdr>
      <w:spacing w:before="240"/>
    </w:pPr>
  </w:style>
  <w:style w:type="character" w:customStyle="1" w:styleId="HotSpot">
    <w:name w:val="HotSpot"/>
    <w:rsid w:val="00F700F1"/>
    <w:rPr>
      <w:color w:val="0033CC"/>
      <w:u w:val="none"/>
    </w:rPr>
  </w:style>
  <w:style w:type="paragraph" w:customStyle="1" w:styleId="BodyTextRight">
    <w:name w:val="Body Text Right"/>
    <w:basedOn w:val="BodyText"/>
    <w:rsid w:val="00F700F1"/>
    <w:pPr>
      <w:spacing w:before="0" w:after="0"/>
      <w:jc w:val="right"/>
    </w:pPr>
  </w:style>
  <w:style w:type="paragraph" w:styleId="Index3">
    <w:name w:val="index 3"/>
    <w:basedOn w:val="ListNumber2"/>
    <w:next w:val="Normal"/>
    <w:semiHidden/>
    <w:rsid w:val="00F700F1"/>
    <w:pPr>
      <w:numPr>
        <w:numId w:val="0"/>
      </w:numPr>
      <w:tabs>
        <w:tab w:val="right" w:leader="dot" w:pos="4176"/>
      </w:tabs>
    </w:pPr>
  </w:style>
  <w:style w:type="paragraph" w:styleId="ListNumber2">
    <w:name w:val="List Number 2"/>
    <w:basedOn w:val="List2"/>
    <w:rsid w:val="00F700F1"/>
    <w:pPr>
      <w:numPr>
        <w:numId w:val="10"/>
      </w:numPr>
      <w:tabs>
        <w:tab w:val="clear" w:pos="1060"/>
      </w:tabs>
    </w:pPr>
  </w:style>
  <w:style w:type="paragraph" w:customStyle="1" w:styleId="MarginNote">
    <w:name w:val="Margin Note"/>
    <w:basedOn w:val="BodyText"/>
    <w:rsid w:val="00F70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0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0F1"/>
    <w:rPr>
      <w:sz w:val="32"/>
    </w:rPr>
  </w:style>
  <w:style w:type="paragraph" w:customStyle="1" w:styleId="HeadingProcedure">
    <w:name w:val="Heading Procedure"/>
    <w:basedOn w:val="HeadingBase"/>
    <w:next w:val="Normal"/>
    <w:rsid w:val="00F700F1"/>
    <w:pPr>
      <w:tabs>
        <w:tab w:val="left" w:pos="0"/>
      </w:tabs>
      <w:spacing w:before="120" w:after="60"/>
    </w:pPr>
    <w:rPr>
      <w:i/>
      <w:color w:val="918585"/>
      <w:sz w:val="22"/>
    </w:rPr>
  </w:style>
  <w:style w:type="paragraph" w:customStyle="1" w:styleId="TableBodyText">
    <w:name w:val="Table Body Text"/>
    <w:basedOn w:val="BodyText"/>
    <w:rsid w:val="00F700F1"/>
    <w:pPr>
      <w:spacing w:before="60" w:after="60"/>
    </w:pPr>
  </w:style>
  <w:style w:type="paragraph" w:styleId="ListContinue">
    <w:name w:val="List Continue"/>
    <w:basedOn w:val="List"/>
    <w:rsid w:val="00F700F1"/>
    <w:pPr>
      <w:ind w:firstLine="0"/>
    </w:pPr>
  </w:style>
  <w:style w:type="paragraph" w:customStyle="1" w:styleId="ListNote">
    <w:name w:val="List Note"/>
    <w:basedOn w:val="List"/>
    <w:rsid w:val="00F700F1"/>
    <w:pPr>
      <w:pBdr>
        <w:top w:val="single" w:sz="6" w:space="2" w:color="918585"/>
        <w:bottom w:val="single" w:sz="6" w:space="2" w:color="918585"/>
      </w:pBdr>
      <w:tabs>
        <w:tab w:val="left" w:pos="1021"/>
      </w:tabs>
      <w:ind w:firstLine="0"/>
    </w:pPr>
  </w:style>
  <w:style w:type="paragraph" w:customStyle="1" w:styleId="Warning">
    <w:name w:val="Warning"/>
    <w:basedOn w:val="BodyText"/>
    <w:rsid w:val="00F700F1"/>
    <w:pPr>
      <w:shd w:val="clear" w:color="auto" w:fill="D9D9D9"/>
      <w:tabs>
        <w:tab w:val="left" w:pos="992"/>
      </w:tabs>
      <w:ind w:left="119" w:right="119"/>
    </w:pPr>
    <w:rPr>
      <w:sz w:val="20"/>
    </w:rPr>
  </w:style>
  <w:style w:type="paragraph" w:customStyle="1" w:styleId="MarginIcons">
    <w:name w:val="Margin Icons"/>
    <w:basedOn w:val="BodyText"/>
    <w:rsid w:val="00F70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0F1"/>
    <w:rPr>
      <w:rFonts w:ascii="Courier New" w:hAnsi="Courier New"/>
    </w:rPr>
  </w:style>
  <w:style w:type="paragraph" w:customStyle="1" w:styleId="NoteBullet">
    <w:name w:val="Note Bullet"/>
    <w:basedOn w:val="Note"/>
    <w:rsid w:val="00F700F1"/>
    <w:pPr>
      <w:tabs>
        <w:tab w:val="clear" w:pos="680"/>
      </w:tabs>
      <w:spacing w:before="60" w:after="60"/>
    </w:pPr>
  </w:style>
  <w:style w:type="paragraph" w:customStyle="1" w:styleId="SubHeading2">
    <w:name w:val="SubHeading2"/>
    <w:basedOn w:val="HeadingBase"/>
    <w:rsid w:val="00F700F1"/>
    <w:pPr>
      <w:spacing w:before="240" w:after="60"/>
    </w:pPr>
    <w:rPr>
      <w:sz w:val="20"/>
    </w:rPr>
  </w:style>
  <w:style w:type="paragraph" w:customStyle="1" w:styleId="SubHeading1">
    <w:name w:val="SubHeading1"/>
    <w:basedOn w:val="HeadingBase"/>
    <w:rsid w:val="00F700F1"/>
    <w:pPr>
      <w:spacing w:before="240" w:after="60"/>
    </w:pPr>
    <w:rPr>
      <w:color w:val="918585"/>
      <w:sz w:val="22"/>
    </w:rPr>
  </w:style>
  <w:style w:type="paragraph" w:customStyle="1" w:styleId="SideHeading">
    <w:name w:val="Side Heading"/>
    <w:basedOn w:val="HeadingBase"/>
    <w:rsid w:val="00F70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0F1"/>
    <w:pPr>
      <w:numPr>
        <w:numId w:val="12"/>
      </w:numPr>
    </w:pPr>
  </w:style>
  <w:style w:type="paragraph" w:styleId="PlainText">
    <w:name w:val="Plain Text"/>
    <w:basedOn w:val="Normal"/>
    <w:link w:val="PlainTextChar"/>
    <w:rsid w:val="00F700F1"/>
    <w:rPr>
      <w:sz w:val="20"/>
    </w:rPr>
  </w:style>
  <w:style w:type="character" w:customStyle="1" w:styleId="PlainTextChar">
    <w:name w:val="Plain Text Char"/>
    <w:basedOn w:val="DefaultParagraphFont"/>
    <w:link w:val="PlainText"/>
    <w:rsid w:val="00F700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0F1"/>
    <w:rPr>
      <w:b/>
      <w:smallCaps/>
    </w:rPr>
  </w:style>
  <w:style w:type="paragraph" w:customStyle="1" w:styleId="TableListNumber">
    <w:name w:val="Table List Number"/>
    <w:basedOn w:val="ListNumber"/>
    <w:rsid w:val="00F700F1"/>
    <w:pPr>
      <w:numPr>
        <w:numId w:val="0"/>
      </w:numPr>
    </w:pPr>
  </w:style>
  <w:style w:type="paragraph" w:styleId="TOC4">
    <w:name w:val="toc 4"/>
    <w:basedOn w:val="TOCBase"/>
    <w:next w:val="Normal"/>
    <w:semiHidden/>
    <w:rsid w:val="00F700F1"/>
    <w:pPr>
      <w:tabs>
        <w:tab w:val="right" w:leader="dot" w:pos="9071"/>
      </w:tabs>
      <w:ind w:left="1701"/>
    </w:pPr>
  </w:style>
  <w:style w:type="paragraph" w:customStyle="1" w:styleId="ListAlpha">
    <w:name w:val="List Alpha"/>
    <w:basedOn w:val="List"/>
    <w:rsid w:val="00F700F1"/>
    <w:pPr>
      <w:numPr>
        <w:numId w:val="9"/>
      </w:numPr>
    </w:pPr>
  </w:style>
  <w:style w:type="paragraph" w:customStyle="1" w:styleId="ListAlpha2">
    <w:name w:val="List Alpha 2"/>
    <w:basedOn w:val="List2"/>
    <w:rsid w:val="00F700F1"/>
    <w:pPr>
      <w:numPr>
        <w:numId w:val="8"/>
      </w:numPr>
    </w:pPr>
  </w:style>
  <w:style w:type="paragraph" w:styleId="List2">
    <w:name w:val="List 2"/>
    <w:basedOn w:val="BodyText"/>
    <w:rsid w:val="00F700F1"/>
    <w:pPr>
      <w:tabs>
        <w:tab w:val="left" w:pos="680"/>
      </w:tabs>
      <w:spacing w:before="60" w:after="60"/>
      <w:ind w:left="680" w:hanging="340"/>
    </w:pPr>
  </w:style>
  <w:style w:type="paragraph" w:styleId="List3">
    <w:name w:val="List 3"/>
    <w:basedOn w:val="BodyText"/>
    <w:rsid w:val="00F700F1"/>
    <w:pPr>
      <w:tabs>
        <w:tab w:val="left" w:pos="1021"/>
      </w:tabs>
      <w:spacing w:before="60" w:after="60"/>
      <w:ind w:left="1020" w:hanging="340"/>
    </w:pPr>
  </w:style>
  <w:style w:type="paragraph" w:styleId="List4">
    <w:name w:val="List 4"/>
    <w:basedOn w:val="BodyText"/>
    <w:rsid w:val="00F700F1"/>
    <w:pPr>
      <w:tabs>
        <w:tab w:val="left" w:pos="1361"/>
      </w:tabs>
      <w:spacing w:before="60" w:after="60"/>
      <w:ind w:left="1361" w:hanging="340"/>
    </w:pPr>
  </w:style>
  <w:style w:type="paragraph" w:styleId="List5">
    <w:name w:val="List 5"/>
    <w:basedOn w:val="BodyText"/>
    <w:rsid w:val="00F700F1"/>
    <w:pPr>
      <w:tabs>
        <w:tab w:val="left" w:pos="1701"/>
      </w:tabs>
      <w:spacing w:before="60" w:after="60"/>
      <w:ind w:left="1701" w:hanging="340"/>
    </w:pPr>
  </w:style>
  <w:style w:type="paragraph" w:styleId="ListBullet3">
    <w:name w:val="List Bullet 3"/>
    <w:basedOn w:val="List3"/>
    <w:rsid w:val="00F700F1"/>
    <w:pPr>
      <w:numPr>
        <w:numId w:val="15"/>
      </w:numPr>
      <w:tabs>
        <w:tab w:val="clear" w:pos="1021"/>
      </w:tabs>
      <w:ind w:left="1037" w:hanging="357"/>
    </w:pPr>
  </w:style>
  <w:style w:type="paragraph" w:styleId="ListBullet4">
    <w:name w:val="List Bullet 4"/>
    <w:basedOn w:val="List4"/>
    <w:rsid w:val="00F700F1"/>
    <w:pPr>
      <w:numPr>
        <w:numId w:val="3"/>
      </w:numPr>
    </w:pPr>
  </w:style>
  <w:style w:type="paragraph" w:styleId="ListBullet5">
    <w:name w:val="List Bullet 5"/>
    <w:basedOn w:val="List5"/>
    <w:rsid w:val="00F700F1"/>
    <w:pPr>
      <w:numPr>
        <w:numId w:val="4"/>
      </w:numPr>
    </w:pPr>
  </w:style>
  <w:style w:type="paragraph" w:styleId="ListContinue2">
    <w:name w:val="List Continue 2"/>
    <w:basedOn w:val="List2"/>
    <w:rsid w:val="00F700F1"/>
    <w:pPr>
      <w:ind w:firstLine="0"/>
    </w:pPr>
  </w:style>
  <w:style w:type="paragraph" w:styleId="ListContinue3">
    <w:name w:val="List Continue 3"/>
    <w:basedOn w:val="List3"/>
    <w:rsid w:val="00F700F1"/>
    <w:pPr>
      <w:ind w:left="1021" w:firstLine="0"/>
    </w:pPr>
  </w:style>
  <w:style w:type="paragraph" w:styleId="ListContinue4">
    <w:name w:val="List Continue 4"/>
    <w:basedOn w:val="List4"/>
    <w:rsid w:val="00F700F1"/>
    <w:pPr>
      <w:ind w:firstLine="0"/>
    </w:pPr>
  </w:style>
  <w:style w:type="paragraph" w:styleId="ListContinue5">
    <w:name w:val="List Continue 5"/>
    <w:basedOn w:val="List5"/>
    <w:rsid w:val="00F700F1"/>
    <w:pPr>
      <w:ind w:firstLine="0"/>
    </w:pPr>
  </w:style>
  <w:style w:type="paragraph" w:styleId="ListNumber3">
    <w:name w:val="List Number 3"/>
    <w:basedOn w:val="List3"/>
    <w:rsid w:val="00F700F1"/>
    <w:pPr>
      <w:numPr>
        <w:numId w:val="5"/>
      </w:numPr>
    </w:pPr>
  </w:style>
  <w:style w:type="paragraph" w:styleId="ListNumber4">
    <w:name w:val="List Number 4"/>
    <w:basedOn w:val="List4"/>
    <w:rsid w:val="00F700F1"/>
    <w:pPr>
      <w:numPr>
        <w:numId w:val="6"/>
      </w:numPr>
    </w:pPr>
  </w:style>
  <w:style w:type="paragraph" w:styleId="ListNumber5">
    <w:name w:val="List Number 5"/>
    <w:basedOn w:val="List5"/>
    <w:rsid w:val="00F700F1"/>
    <w:pPr>
      <w:numPr>
        <w:numId w:val="7"/>
      </w:numPr>
    </w:pPr>
  </w:style>
  <w:style w:type="paragraph" w:styleId="BlockText">
    <w:name w:val="Block Text"/>
    <w:basedOn w:val="Normal"/>
    <w:rsid w:val="00F700F1"/>
    <w:pPr>
      <w:spacing w:after="120"/>
      <w:ind w:left="1440" w:right="1440"/>
    </w:pPr>
  </w:style>
  <w:style w:type="character" w:customStyle="1" w:styleId="Subscript">
    <w:name w:val="Subscript"/>
    <w:basedOn w:val="DefaultParagraphFont"/>
    <w:rsid w:val="00F700F1"/>
    <w:rPr>
      <w:sz w:val="16"/>
      <w:vertAlign w:val="subscript"/>
    </w:rPr>
  </w:style>
  <w:style w:type="character" w:customStyle="1" w:styleId="Superscript">
    <w:name w:val="Superscript"/>
    <w:basedOn w:val="DefaultParagraphFont"/>
    <w:rsid w:val="00F700F1"/>
    <w:rPr>
      <w:sz w:val="16"/>
      <w:vertAlign w:val="superscript"/>
    </w:rPr>
  </w:style>
  <w:style w:type="character" w:customStyle="1" w:styleId="Symbols">
    <w:name w:val="Symbols"/>
    <w:basedOn w:val="DefaultParagraphFont"/>
    <w:rsid w:val="00F700F1"/>
    <w:rPr>
      <w:rFonts w:ascii="Symbol" w:hAnsi="Symbol"/>
    </w:rPr>
  </w:style>
  <w:style w:type="character" w:customStyle="1" w:styleId="MenuOptions">
    <w:name w:val="Menu Options"/>
    <w:basedOn w:val="DefaultParagraphFont"/>
    <w:rsid w:val="00F700F1"/>
    <w:rPr>
      <w:rFonts w:ascii="Arial Narrow" w:hAnsi="Arial Narrow"/>
      <w:smallCaps/>
    </w:rPr>
  </w:style>
  <w:style w:type="character" w:customStyle="1" w:styleId="Buttons">
    <w:name w:val="Buttons"/>
    <w:basedOn w:val="DefaultParagraphFont"/>
    <w:rsid w:val="00F700F1"/>
    <w:rPr>
      <w:b/>
    </w:rPr>
  </w:style>
  <w:style w:type="character" w:customStyle="1" w:styleId="Underlined">
    <w:name w:val="Underlined"/>
    <w:basedOn w:val="DefaultParagraphFont"/>
    <w:rsid w:val="00F700F1"/>
    <w:rPr>
      <w:u w:val="single"/>
    </w:rPr>
  </w:style>
  <w:style w:type="paragraph" w:customStyle="1" w:styleId="TableBodyTextRight">
    <w:name w:val="Table Body Text Right"/>
    <w:basedOn w:val="TableBodyText"/>
    <w:rsid w:val="00F700F1"/>
    <w:pPr>
      <w:widowControl w:val="0"/>
      <w:autoSpaceDE w:val="0"/>
      <w:autoSpaceDN w:val="0"/>
      <w:adjustRightInd w:val="0"/>
      <w:jc w:val="right"/>
    </w:pPr>
    <w:rPr>
      <w:rFonts w:cs="Arial"/>
      <w:szCs w:val="18"/>
    </w:rPr>
  </w:style>
  <w:style w:type="paragraph" w:customStyle="1" w:styleId="CopyrightText">
    <w:name w:val="Copyright Text"/>
    <w:basedOn w:val="BodyText"/>
    <w:rsid w:val="00F700F1"/>
    <w:rPr>
      <w:sz w:val="18"/>
    </w:rPr>
  </w:style>
  <w:style w:type="paragraph" w:customStyle="1" w:styleId="BodySmallRight">
    <w:name w:val="Body Small Right"/>
    <w:basedOn w:val="BodyTextRight"/>
    <w:rsid w:val="00F700F1"/>
    <w:rPr>
      <w:sz w:val="18"/>
      <w:szCs w:val="18"/>
    </w:rPr>
  </w:style>
  <w:style w:type="paragraph" w:customStyle="1" w:styleId="MarginEdition">
    <w:name w:val="Margin Edition"/>
    <w:basedOn w:val="MarginNote"/>
    <w:rsid w:val="00F700F1"/>
    <w:pPr>
      <w:spacing w:before="0" w:after="0"/>
    </w:pPr>
    <w:rPr>
      <w:rFonts w:ascii="Times New Roman" w:hAnsi="Times New Roman"/>
      <w:color w:val="999999"/>
    </w:rPr>
  </w:style>
  <w:style w:type="paragraph" w:customStyle="1" w:styleId="Spacer">
    <w:name w:val="Spacer"/>
    <w:basedOn w:val="Normal"/>
    <w:rsid w:val="00F700F1"/>
    <w:rPr>
      <w:sz w:val="2"/>
      <w:szCs w:val="2"/>
    </w:rPr>
  </w:style>
  <w:style w:type="character" w:customStyle="1" w:styleId="Small">
    <w:name w:val="Small"/>
    <w:basedOn w:val="DefaultParagraphFont"/>
    <w:rsid w:val="00F700F1"/>
    <w:rPr>
      <w:sz w:val="16"/>
    </w:rPr>
  </w:style>
  <w:style w:type="paragraph" w:customStyle="1" w:styleId="WideTable">
    <w:name w:val="Wide Table"/>
    <w:basedOn w:val="Normal"/>
    <w:rsid w:val="00F700F1"/>
    <w:pPr>
      <w:ind w:left="-1418"/>
    </w:pPr>
    <w:rPr>
      <w:sz w:val="2"/>
      <w:szCs w:val="2"/>
    </w:rPr>
  </w:style>
  <w:style w:type="character" w:styleId="PageNumber">
    <w:name w:val="page number"/>
    <w:basedOn w:val="DefaultParagraphFont"/>
    <w:rsid w:val="00F700F1"/>
  </w:style>
  <w:style w:type="paragraph" w:styleId="Quote">
    <w:name w:val="Quote"/>
    <w:basedOn w:val="Heading1"/>
    <w:link w:val="QuoteChar"/>
    <w:qFormat/>
    <w:rsid w:val="00F700F1"/>
    <w:rPr>
      <w:b w:val="0"/>
      <w:sz w:val="72"/>
      <w:szCs w:val="72"/>
      <w:lang w:val="en-NZ"/>
    </w:rPr>
  </w:style>
  <w:style w:type="character" w:customStyle="1" w:styleId="QuoteChar">
    <w:name w:val="Quote Char"/>
    <w:basedOn w:val="DefaultParagraphFont"/>
    <w:link w:val="Quote"/>
    <w:rsid w:val="00F70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0F1"/>
    <w:pPr>
      <w:pageBreakBefore/>
    </w:pPr>
  </w:style>
  <w:style w:type="paragraph" w:customStyle="1" w:styleId="Border">
    <w:name w:val="Border"/>
    <w:basedOn w:val="Normal"/>
    <w:qFormat/>
    <w:rsid w:val="00F70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0F1"/>
    <w:rPr>
      <w:b/>
      <w:bCs/>
      <w:i/>
      <w:iCs/>
      <w:color w:val="auto"/>
    </w:rPr>
  </w:style>
  <w:style w:type="paragraph" w:styleId="IntenseQuote">
    <w:name w:val="Intense Quote"/>
    <w:basedOn w:val="Normal"/>
    <w:next w:val="Normal"/>
    <w:link w:val="IntenseQuoteChar"/>
    <w:uiPriority w:val="30"/>
    <w:qFormat/>
    <w:rsid w:val="00F70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0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0F1"/>
    <w:rPr>
      <w:smallCaps/>
      <w:color w:val="auto"/>
      <w:u w:val="single"/>
    </w:rPr>
  </w:style>
  <w:style w:type="character" w:styleId="IntenseReference">
    <w:name w:val="Intense Reference"/>
    <w:basedOn w:val="DefaultParagraphFont"/>
    <w:uiPriority w:val="32"/>
    <w:qFormat/>
    <w:rsid w:val="00F700F1"/>
    <w:rPr>
      <w:b/>
      <w:bCs/>
      <w:smallCaps/>
      <w:color w:val="auto"/>
      <w:spacing w:val="5"/>
      <w:u w:val="single"/>
    </w:rPr>
  </w:style>
  <w:style w:type="paragraph" w:customStyle="1" w:styleId="2ColumnHeading">
    <w:name w:val="2Column Heading"/>
    <w:basedOn w:val="BodyText"/>
    <w:qFormat/>
    <w:rsid w:val="00F700F1"/>
    <w:pPr>
      <w:spacing w:after="60"/>
      <w:ind w:left="-2268"/>
    </w:pPr>
    <w:rPr>
      <w:b/>
    </w:rPr>
  </w:style>
  <w:style w:type="paragraph" w:customStyle="1" w:styleId="Heading1TOC">
    <w:name w:val="Heading1 TOC"/>
    <w:basedOn w:val="Normal"/>
    <w:qFormat/>
    <w:rsid w:val="00F700F1"/>
    <w:pPr>
      <w:spacing w:before="240" w:after="120"/>
    </w:pPr>
    <w:rPr>
      <w:rFonts w:ascii="Times New Roman" w:hAnsi="Times New Roman"/>
      <w:b/>
      <w:sz w:val="32"/>
    </w:rPr>
  </w:style>
  <w:style w:type="paragraph" w:customStyle="1" w:styleId="Heading2TOC">
    <w:name w:val="Heading2 TOC"/>
    <w:basedOn w:val="Normal"/>
    <w:qFormat/>
    <w:rsid w:val="00F700F1"/>
    <w:pPr>
      <w:spacing w:before="240" w:after="60"/>
    </w:pPr>
    <w:rPr>
      <w:rFonts w:ascii="Times New Roman" w:hAnsi="Times New Roman"/>
      <w:b/>
      <w:sz w:val="28"/>
    </w:rPr>
  </w:style>
  <w:style w:type="character" w:customStyle="1" w:styleId="Underline">
    <w:name w:val="Underline"/>
    <w:basedOn w:val="DefaultParagraphFont"/>
    <w:qFormat/>
    <w:rsid w:val="00F700F1"/>
    <w:rPr>
      <w:u w:val="single"/>
    </w:rPr>
  </w:style>
  <w:style w:type="paragraph" w:styleId="BalloonText">
    <w:name w:val="Balloon Text"/>
    <w:basedOn w:val="Normal"/>
    <w:link w:val="BalloonTextChar"/>
    <w:rsid w:val="00F700F1"/>
    <w:rPr>
      <w:rFonts w:ascii="Tahoma" w:hAnsi="Tahoma" w:cs="Tahoma"/>
      <w:sz w:val="16"/>
      <w:szCs w:val="16"/>
    </w:rPr>
  </w:style>
  <w:style w:type="character" w:customStyle="1" w:styleId="BalloonTextChar">
    <w:name w:val="Balloon Text Char"/>
    <w:basedOn w:val="DefaultParagraphFont"/>
    <w:link w:val="BalloonText"/>
    <w:rsid w:val="00F700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0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1792</Words>
  <Characters>11798</Characters>
  <Application>Microsoft Office Word</Application>
  <DocSecurity>0</DocSecurity>
  <Lines>414</Lines>
  <Paragraphs>271</Paragraphs>
  <ScaleCrop>false</ScaleCrop>
  <Company>Author-it Software Corporation Ltd.</Company>
  <LinksUpToDate>false</LinksUpToDate>
  <CharactersWithSpaces>13542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CPPSEC5003A Assess security risk management options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2012-05-26T06:25:00Z</dcterms:created>
  <dcterms:modified xsi:type="dcterms:W3CDTF">2012-05-26T06:25:00Z</dcterms:modified>
</cp:coreProperties>
</file>