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AC0" w:rsidP="00067AC0">
      <w:pPr>
        <w:pStyle w:val="Title"/>
      </w:pPr>
      <w:r>
        <w:fldChar w:fldCharType="begin"/>
      </w:r>
      <w:r>
        <w:instrText xml:space="preserve"> TITLE   \* MERGEFORMAT </w:instrText>
      </w:r>
      <w:r>
        <w:fldChar w:fldCharType="separate"/>
      </w:r>
      <w:r>
        <w:t>CPPSEC4019A Identify and diagnose security system or network fault</w:t>
      </w:r>
      <w:r>
        <w:fldChar w:fldCharType="end"/>
      </w:r>
    </w:p>
    <w:p w:rsidR="00067AC0" w:rsidP="00067AC0">
      <w:pPr>
        <w:pStyle w:val="Version"/>
        <w:sectPr w:rsidSect="00A613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31C" w:rsidP="00A6131C">
      <w:pPr>
        <w:pStyle w:val="SuperHeading"/>
      </w:pPr>
      <w:r w:rsidRPr="00A6131C">
        <w:t>CPPSEC4019A Identify and diagnose security system or network fault</w:t>
      </w:r>
    </w:p>
    <w:p w:rsidR="00000000" w:rsidRPr="00A6131C" w:rsidP="00A6131C">
      <w:pPr>
        <w:pStyle w:val="Heading1"/>
      </w:pPr>
      <w:bookmarkStart w:id="1" w:name="O_270266"/>
      <w:bookmarkEnd w:id="1"/>
      <w:r w:rsidRPr="00A6131C">
        <w:t>Modification History</w:t>
      </w:r>
    </w:p>
    <w:p w:rsidR="00000000" w:rsidRPr="00A6131C" w:rsidP="00A6131C">
      <w:pPr>
        <w:pStyle w:val="BodyText"/>
      </w:pPr>
      <w:r w:rsidRPr="00A6131C">
        <w:t>Not Applicable</w:t>
      </w:r>
    </w:p>
    <w:p w:rsidR="00000000" w:rsidRPr="00A6131C" w:rsidP="00A6131C">
      <w:pPr>
        <w:pStyle w:val="AllowPageBreak"/>
      </w:pPr>
    </w:p>
    <w:p w:rsidR="00000000" w:rsidRPr="00A6131C" w:rsidP="00A6131C">
      <w:pPr>
        <w:pStyle w:val="Heading1"/>
      </w:pPr>
      <w:bookmarkStart w:id="2" w:name="O_202125"/>
      <w:bookmarkEnd w:id="2"/>
      <w:r w:rsidRPr="00A6131C">
        <w:t>Unit Descriptor</w:t>
      </w:r>
    </w:p>
    <w:tbl>
      <w:tblPr>
        <w:tblW w:w="0" w:type="auto"/>
        <w:tblLayout w:type="fixed"/>
        <w:tblCellMar>
          <w:left w:w="62" w:type="dxa"/>
          <w:right w:w="62" w:type="dxa"/>
        </w:tblCellMar>
        <w:tblLook w:val="0000"/>
      </w:tblPr>
      <w:tblGrid>
        <w:gridCol w:w="2391"/>
        <w:gridCol w:w="6131"/>
      </w:tblGrid>
      <w:tr w:rsidTr="00067AC0">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A6131C" w:rsidP="00A6131C">
            <w:pPr>
              <w:pStyle w:val="BodyText"/>
            </w:pPr>
            <w:r w:rsidRPr="00A6131C">
              <w:t>This unit of competency specifies the outcomes required to locate, identify and diag</w:t>
            </w:r>
            <w:r w:rsidRPr="00A6131C">
              <w:t>nose systems and network faults. It requires the ability to ascertain the normal operational functions and performance of a security systems or network, conduct fault-finding inspections and checks, systematically identify and diagnose faults, and accurate</w:t>
            </w:r>
            <w:r w:rsidRPr="00A6131C">
              <w:t>ly report findings.</w:t>
            </w:r>
          </w:p>
          <w:p w:rsidR="00000000" w:rsidRPr="00A6131C" w:rsidP="00A6131C">
            <w:pPr>
              <w:pStyle w:val="BodyText"/>
            </w:pPr>
            <w:r w:rsidRPr="00A6131C">
              <w:t xml:space="preserve">This unit may form part of the licensing requirements for persons responsible for diagnosing faults and deficiencies of networked security systems in those states and territories where these are regulated activities. </w:t>
            </w:r>
          </w:p>
        </w:tc>
      </w:tr>
    </w:tbl>
    <w:p w:rsidR="00067AC0" w:rsidP="00A6131C">
      <w:pPr>
        <w:pStyle w:val="BodyText"/>
      </w:pPr>
    </w:p>
    <w:p w:rsidR="00067AC0" w:rsidP="00A6131C">
      <w:pPr>
        <w:pStyle w:val="BodyText"/>
      </w:pPr>
    </w:p>
    <w:p w:rsidR="00000000" w:rsidRPr="00A6131C" w:rsidP="00A6131C">
      <w:pPr>
        <w:pStyle w:val="Heading1"/>
      </w:pPr>
      <w:bookmarkStart w:id="3" w:name="O_202127"/>
      <w:bookmarkEnd w:id="3"/>
      <w:r w:rsidRPr="00A6131C">
        <w:t>Application of the Unit</w:t>
      </w:r>
    </w:p>
    <w:tbl>
      <w:tblPr>
        <w:tblW w:w="0" w:type="auto"/>
        <w:tblLayout w:type="fixed"/>
        <w:tblCellMar>
          <w:left w:w="62" w:type="dxa"/>
          <w:right w:w="62" w:type="dxa"/>
        </w:tblCellMar>
        <w:tblLook w:val="0000"/>
      </w:tblPr>
      <w:tblGrid>
        <w:gridCol w:w="2391"/>
        <w:gridCol w:w="6131"/>
      </w:tblGrid>
      <w:tr w:rsidTr="00067AC0">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A6131C" w:rsidP="00A6131C">
            <w:pPr>
              <w:pStyle w:val="BodyText"/>
            </w:pPr>
            <w:r w:rsidRPr="00A6131C">
              <w:t>This unit of competency has application in those work roles involving the determining networked security systems faults and deficiencies. Competency requires legal and operational knowledge applicable</w:t>
            </w:r>
            <w:r w:rsidRPr="00A6131C">
              <w:t xml:space="preserve"> to relevant sectors of the security industry. The knowledge and skills described in this unit are to be applied within relevant legislative and organisational guidelines.</w:t>
            </w:r>
          </w:p>
        </w:tc>
      </w:tr>
    </w:tbl>
    <w:p w:rsidR="00067AC0" w:rsidP="00A6131C">
      <w:pPr>
        <w:pStyle w:val="BodyText"/>
      </w:pPr>
    </w:p>
    <w:p w:rsidR="00067AC0" w:rsidP="00A6131C">
      <w:pPr>
        <w:pStyle w:val="BodyText"/>
      </w:pPr>
    </w:p>
    <w:p w:rsidR="00000000" w:rsidRPr="00A6131C" w:rsidP="00A6131C">
      <w:pPr>
        <w:pStyle w:val="Heading1"/>
      </w:pPr>
      <w:bookmarkStart w:id="4" w:name="O_278526"/>
      <w:bookmarkEnd w:id="4"/>
      <w:r w:rsidRPr="00A6131C">
        <w:t>Licensing/Regulatory Information</w:t>
      </w:r>
    </w:p>
    <w:p w:rsidR="00000000" w:rsidRPr="00A6131C" w:rsidP="00A6131C">
      <w:pPr>
        <w:pStyle w:val="BodyText"/>
      </w:pPr>
      <w:r w:rsidRPr="00A6131C">
        <w:t>Refer to Unit Descriptor</w:t>
      </w:r>
    </w:p>
    <w:p w:rsidR="00000000" w:rsidRPr="00A6131C" w:rsidP="00A6131C">
      <w:pPr>
        <w:pStyle w:val="AllowPageBreak"/>
      </w:pPr>
    </w:p>
    <w:p w:rsidR="00000000" w:rsidRPr="00A6131C" w:rsidP="00A6131C">
      <w:pPr>
        <w:pStyle w:val="Heading1"/>
      </w:pPr>
      <w:bookmarkStart w:id="5" w:name="O_283647"/>
      <w:bookmarkEnd w:id="5"/>
      <w:r w:rsidRPr="00A6131C">
        <w:t>Pre-Requisites</w:t>
      </w:r>
    </w:p>
    <w:p w:rsidR="00000000" w:rsidRPr="00A6131C" w:rsidP="00A6131C">
      <w:pPr>
        <w:pStyle w:val="BodyText"/>
      </w:pPr>
      <w:r w:rsidRPr="00A6131C">
        <w:t>Not Applicable</w:t>
      </w:r>
    </w:p>
    <w:p w:rsidR="00000000" w:rsidRPr="00A6131C" w:rsidP="00A6131C">
      <w:pPr>
        <w:pStyle w:val="AllowPageBreak"/>
      </w:pPr>
    </w:p>
    <w:p w:rsidR="00000000" w:rsidRPr="00A6131C" w:rsidP="00A6131C">
      <w:pPr>
        <w:pStyle w:val="Heading1"/>
      </w:pPr>
      <w:bookmarkStart w:id="6" w:name="O_202126"/>
      <w:bookmarkEnd w:id="6"/>
      <w:r w:rsidRPr="00A6131C">
        <w:t>Employability Skills Information</w:t>
      </w:r>
    </w:p>
    <w:tbl>
      <w:tblPr>
        <w:tblW w:w="0" w:type="auto"/>
        <w:tblLayout w:type="fixed"/>
        <w:tblCellMar>
          <w:left w:w="62" w:type="dxa"/>
          <w:right w:w="62" w:type="dxa"/>
        </w:tblCellMar>
        <w:tblLook w:val="0000"/>
      </w:tblPr>
      <w:tblGrid>
        <w:gridCol w:w="2624"/>
        <w:gridCol w:w="5898"/>
      </w:tblGrid>
      <w:tr w:rsidTr="00067AC0">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A6131C" w:rsidP="00A6131C">
            <w:pPr>
              <w:pStyle w:val="BodyText"/>
            </w:pPr>
            <w:r w:rsidRPr="00A6131C">
              <w:t>This unit contains employability skills.</w:t>
            </w:r>
          </w:p>
        </w:tc>
      </w:tr>
    </w:tbl>
    <w:p w:rsidR="00067AC0" w:rsidP="00A6131C">
      <w:pPr>
        <w:pStyle w:val="BodyText"/>
      </w:pPr>
    </w:p>
    <w:p w:rsidR="00067AC0" w:rsidP="00A6131C">
      <w:pPr>
        <w:pStyle w:val="BodyText"/>
      </w:pPr>
    </w:p>
    <w:p w:rsidR="00000000" w:rsidRPr="00A6131C" w:rsidP="00A6131C">
      <w:pPr>
        <w:pStyle w:val="Heading1"/>
      </w:pPr>
      <w:bookmarkStart w:id="7" w:name="O_288312"/>
      <w:bookmarkEnd w:id="7"/>
      <w:r w:rsidRPr="00A6131C">
        <w:t>Elements and Performance Criteria Pre-Content</w:t>
      </w:r>
    </w:p>
    <w:tbl>
      <w:tblPr>
        <w:tblW w:w="0" w:type="auto"/>
        <w:tblLayout w:type="fixed"/>
        <w:tblCellMar>
          <w:left w:w="62" w:type="dxa"/>
          <w:right w:w="62" w:type="dxa"/>
        </w:tblCellMar>
        <w:tblLook w:val="0000"/>
      </w:tblPr>
      <w:tblGrid>
        <w:gridCol w:w="2412"/>
        <w:gridCol w:w="6110"/>
      </w:tblGrid>
      <w:tr w:rsidTr="00067AC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A6131C" w:rsidP="00A6131C">
            <w:pPr>
              <w:pStyle w:val="BodyText"/>
            </w:pPr>
            <w:r w:rsidRPr="00A6131C">
              <w:t xml:space="preserve">Performance criteria describe the required performance needed to demonstrate achievement of the element. Where </w:t>
            </w:r>
            <w:r w:rsidRPr="00A6131C">
              <w:rPr>
                <w:rStyle w:val="BoldandItalics"/>
              </w:rPr>
              <w:t>bold italicised</w:t>
            </w:r>
            <w:r w:rsidRPr="00A6131C">
              <w:t xml:space="preserve"> text is used, further information is detailed in the required s</w:t>
            </w:r>
            <w:r w:rsidRPr="00A6131C">
              <w:t>kills and knowledge section and/or the range statement. Assessment of performance is to be consistent with the evidence guide.</w:t>
            </w:r>
          </w:p>
        </w:tc>
      </w:tr>
    </w:tbl>
    <w:p w:rsidR="00000000" w:rsidRPr="00A6131C" w:rsidP="00A6131C">
      <w:pPr>
        <w:pStyle w:val="BodyText"/>
      </w:pPr>
    </w:p>
    <w:p w:rsidR="00000000" w:rsidRPr="00A6131C" w:rsidP="00A6131C">
      <w:pPr>
        <w:pStyle w:val="AllowPageBreak"/>
      </w:pPr>
    </w:p>
    <w:p w:rsidR="00000000" w:rsidRPr="00A6131C" w:rsidP="00A6131C">
      <w:pPr>
        <w:pStyle w:val="Heading1"/>
      </w:pPr>
      <w:bookmarkStart w:id="8" w:name="O_234979"/>
      <w:bookmarkEnd w:id="8"/>
      <w:r w:rsidRPr="00A6131C">
        <w:t>Elements and Performance Criteria</w:t>
      </w:r>
    </w:p>
    <w:tbl>
      <w:tblPr>
        <w:tblW w:w="0" w:type="auto"/>
        <w:tblLayout w:type="fixed"/>
        <w:tblCellMar>
          <w:left w:w="62" w:type="dxa"/>
          <w:right w:w="62" w:type="dxa"/>
        </w:tblCellMar>
        <w:tblLook w:val="0000"/>
      </w:tblPr>
      <w:tblGrid>
        <w:gridCol w:w="2412"/>
        <w:gridCol w:w="6110"/>
      </w:tblGrid>
      <w:tr w:rsidTr="00067AC0">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A6131C" w:rsidP="00A6131C">
            <w:pPr>
              <w:pStyle w:val="List"/>
            </w:pPr>
            <w:r w:rsidRPr="00A6131C">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A6131C">
            <w:pPr>
              <w:pStyle w:val="List"/>
              <w:rPr>
                <w:lang w:val="en-NZ"/>
              </w:rPr>
            </w:pPr>
            <w:r w:rsidRPr="00A6131C">
              <w:rPr>
                <w:rStyle w:val="SpecialBold"/>
              </w:rPr>
              <w:t>PERFORMANCE CRITERIA</w:t>
            </w:r>
          </w:p>
        </w:tc>
      </w:tr>
      <w:tr w:rsidTr="00067AC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6131C">
            <w:pPr>
              <w:pStyle w:val="List"/>
              <w:rPr>
                <w:lang w:val="en-NZ"/>
              </w:rPr>
            </w:pPr>
            <w:r w:rsidRPr="00A6131C">
              <w:rPr>
                <w:rStyle w:val="SpecialBold"/>
              </w:rPr>
              <w:t>1</w:t>
            </w:r>
            <w:r w:rsidRPr="00A6131C">
              <w:tab/>
            </w:r>
            <w:r w:rsidRPr="00A6131C">
              <w:rPr>
                <w:rStyle w:val="SpecialBold"/>
              </w:rPr>
              <w:t>Prepare for operation</w:t>
            </w:r>
            <w:r w:rsidRPr="00A6131C">
              <w:t>.</w:t>
            </w:r>
          </w:p>
        </w:tc>
        <w:tc>
          <w:tcPr>
            <w:tcW w:w="6110" w:type="dxa"/>
            <w:tcBorders>
              <w:top w:val="nil"/>
              <w:left w:val="nil"/>
              <w:bottom w:val="nil"/>
              <w:right w:val="nil"/>
            </w:tcBorders>
            <w:tcMar>
              <w:top w:w="0" w:type="dxa"/>
              <w:left w:w="62" w:type="dxa"/>
              <w:bottom w:w="0" w:type="dxa"/>
              <w:right w:w="62" w:type="dxa"/>
            </w:tcMar>
          </w:tcPr>
          <w:p w:rsidR="00000000" w:rsidRPr="00A6131C" w:rsidP="00A6131C">
            <w:pPr>
              <w:pStyle w:val="List"/>
            </w:pPr>
            <w:r w:rsidRPr="00A6131C">
              <w:t>1.1</w:t>
            </w:r>
            <w:r w:rsidRPr="00A6131C">
              <w:tab/>
            </w:r>
            <w:r w:rsidRPr="00A6131C">
              <w:t xml:space="preserve">Applicable provisions of </w:t>
            </w:r>
            <w:r w:rsidRPr="00A6131C">
              <w:rPr>
                <w:rStyle w:val="BoldandItalics"/>
              </w:rPr>
              <w:t>legislative</w:t>
            </w:r>
            <w:r w:rsidRPr="00A6131C">
              <w:t xml:space="preserve"> and </w:t>
            </w:r>
            <w:r w:rsidRPr="00A6131C">
              <w:rPr>
                <w:rStyle w:val="BoldandItalics"/>
              </w:rPr>
              <w:t>organisational requirements</w:t>
            </w:r>
            <w:r w:rsidRPr="00A6131C">
              <w:t xml:space="preserve"> relevant to determining networked security systems faults are identified and complied with.</w:t>
            </w:r>
          </w:p>
          <w:p w:rsidR="00000000" w:rsidRPr="00A6131C" w:rsidP="00A6131C">
            <w:pPr>
              <w:pStyle w:val="List"/>
            </w:pPr>
            <w:r w:rsidRPr="00A6131C">
              <w:t>1.2</w:t>
            </w:r>
            <w:r w:rsidRPr="00A6131C">
              <w:tab/>
            </w:r>
            <w:r w:rsidRPr="00A6131C">
              <w:rPr>
                <w:rStyle w:val="BoldandItalics"/>
              </w:rPr>
              <w:t>Assignment instructions</w:t>
            </w:r>
            <w:r w:rsidRPr="00A6131C">
              <w:t xml:space="preserve"> and other </w:t>
            </w:r>
            <w:r w:rsidRPr="00A6131C">
              <w:rPr>
                <w:rStyle w:val="BoldandItalics"/>
              </w:rPr>
              <w:t>relevant information</w:t>
            </w:r>
            <w:r w:rsidRPr="00A6131C">
              <w:t xml:space="preserve"> is obtained and reviewed.</w:t>
            </w:r>
          </w:p>
          <w:p w:rsidR="00000000" w:rsidRPr="00A6131C" w:rsidP="00A6131C">
            <w:pPr>
              <w:pStyle w:val="List"/>
            </w:pPr>
            <w:r w:rsidRPr="00A6131C">
              <w:t>1.3</w:t>
            </w:r>
            <w:r w:rsidRPr="00A6131C">
              <w:tab/>
              <w:t>Extent</w:t>
            </w:r>
            <w:r w:rsidRPr="00A6131C">
              <w:t xml:space="preserve"> of faults is determined from reports and consultation with </w:t>
            </w:r>
            <w:r w:rsidRPr="00A6131C">
              <w:rPr>
                <w:rStyle w:val="BoldandItalics"/>
              </w:rPr>
              <w:t>relevant persons</w:t>
            </w:r>
            <w:r w:rsidRPr="00A6131C">
              <w:t>.</w:t>
            </w:r>
          </w:p>
          <w:p w:rsidR="00000000" w:rsidRPr="00A6131C" w:rsidP="00A6131C">
            <w:pPr>
              <w:pStyle w:val="List"/>
            </w:pPr>
            <w:r w:rsidRPr="00A6131C">
              <w:t>1.4</w:t>
            </w:r>
            <w:r w:rsidRPr="00A6131C">
              <w:tab/>
              <w:t>Normal operational functions and performance parameters of networked security system are confirmed against specifications.</w:t>
            </w:r>
          </w:p>
          <w:p w:rsidR="00000000" w:rsidRPr="00A6131C" w:rsidP="00A6131C">
            <w:pPr>
              <w:pStyle w:val="List"/>
            </w:pPr>
            <w:r w:rsidRPr="00A6131C">
              <w:t>1.5</w:t>
            </w:r>
            <w:r w:rsidRPr="00A6131C">
              <w:tab/>
            </w:r>
            <w:r w:rsidRPr="00A6131C">
              <w:rPr>
                <w:rStyle w:val="BoldandItalics"/>
              </w:rPr>
              <w:t>Tools</w:t>
            </w:r>
            <w:r w:rsidRPr="00A6131C">
              <w:t xml:space="preserve">, </w:t>
            </w:r>
            <w:r w:rsidRPr="00A6131C">
              <w:rPr>
                <w:rStyle w:val="BoldandItalics"/>
              </w:rPr>
              <w:t>equipment and testing devices</w:t>
            </w:r>
            <w:r w:rsidRPr="00A6131C">
              <w:t xml:space="preserve"> are organi</w:t>
            </w:r>
            <w:r w:rsidRPr="00A6131C">
              <w:t xml:space="preserve">sed and checked for correct operation and safety. </w:t>
            </w:r>
          </w:p>
          <w:p w:rsidR="00000000" w:rsidRPr="00A6131C" w:rsidP="00A6131C">
            <w:pPr>
              <w:pStyle w:val="List"/>
            </w:pPr>
            <w:r w:rsidRPr="00A6131C">
              <w:t>1.6</w:t>
            </w:r>
            <w:r w:rsidRPr="00A6131C">
              <w:tab/>
            </w:r>
            <w:r w:rsidRPr="00A6131C">
              <w:rPr>
                <w:rStyle w:val="BoldandItalics"/>
              </w:rPr>
              <w:t>Site access and specific site requirements</w:t>
            </w:r>
            <w:r w:rsidRPr="00A6131C">
              <w:t xml:space="preserve"> are identified and confirmed with relevant persons in accordance with organisational procedures.</w:t>
            </w:r>
          </w:p>
          <w:p w:rsidR="00000000" w:rsidP="00A6131C">
            <w:pPr>
              <w:pStyle w:val="List"/>
              <w:rPr>
                <w:lang w:val="en-NZ"/>
              </w:rPr>
            </w:pPr>
            <w:r w:rsidRPr="00A6131C">
              <w:t>1.7</w:t>
            </w:r>
            <w:r w:rsidRPr="00A6131C">
              <w:tab/>
              <w:t>Occupational Health and Safety (OHS) issues are identifie</w:t>
            </w:r>
            <w:r w:rsidRPr="00A6131C">
              <w:t xml:space="preserve">d and appropriate </w:t>
            </w:r>
            <w:r w:rsidRPr="00A6131C">
              <w:rPr>
                <w:rStyle w:val="BoldandItalics"/>
              </w:rPr>
              <w:t>risk</w:t>
            </w:r>
            <w:r w:rsidRPr="00A6131C">
              <w:t xml:space="preserve"> control measures are implemented in accordance with organisational procedures.</w:t>
            </w:r>
          </w:p>
        </w:tc>
      </w:tr>
      <w:tr w:rsidTr="00067AC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6131C">
            <w:pPr>
              <w:pStyle w:val="List"/>
              <w:rPr>
                <w:lang w:val="en-NZ"/>
              </w:rPr>
            </w:pPr>
            <w:r w:rsidRPr="00A6131C">
              <w:rPr>
                <w:rStyle w:val="SpecialBold"/>
              </w:rPr>
              <w:t>2</w:t>
            </w:r>
            <w:r w:rsidRPr="00A6131C">
              <w:tab/>
            </w:r>
            <w:r w:rsidRPr="00A6131C">
              <w:rPr>
                <w:rStyle w:val="SpecialBold"/>
              </w:rPr>
              <w:t>Diagnose fault</w:t>
            </w:r>
            <w:r w:rsidRPr="00A6131C">
              <w:t>.</w:t>
            </w:r>
          </w:p>
        </w:tc>
        <w:tc>
          <w:tcPr>
            <w:tcW w:w="6110" w:type="dxa"/>
            <w:tcBorders>
              <w:top w:val="nil"/>
              <w:left w:val="nil"/>
              <w:bottom w:val="nil"/>
              <w:right w:val="nil"/>
            </w:tcBorders>
            <w:tcMar>
              <w:top w:w="0" w:type="dxa"/>
              <w:left w:w="62" w:type="dxa"/>
              <w:bottom w:w="0" w:type="dxa"/>
              <w:right w:w="62" w:type="dxa"/>
            </w:tcMar>
          </w:tcPr>
          <w:p w:rsidR="00000000" w:rsidRPr="00A6131C" w:rsidP="00A6131C">
            <w:pPr>
              <w:pStyle w:val="List"/>
            </w:pPr>
            <w:r w:rsidRPr="00A6131C">
              <w:t>2.1</w:t>
            </w:r>
            <w:r w:rsidRPr="00A6131C">
              <w:tab/>
              <w:t>Equipment and system isolation requirements are complied with in accordance with OHS guidelines.</w:t>
            </w:r>
          </w:p>
          <w:p w:rsidR="00000000" w:rsidRPr="00A6131C" w:rsidP="00A6131C">
            <w:pPr>
              <w:pStyle w:val="List"/>
            </w:pPr>
            <w:r w:rsidRPr="00A6131C">
              <w:t>2.2</w:t>
            </w:r>
            <w:r w:rsidRPr="00A6131C">
              <w:tab/>
              <w:t>Networked security system comp</w:t>
            </w:r>
            <w:r w:rsidRPr="00A6131C">
              <w:t xml:space="preserve">onents are checked for operation in accordance with manufacturer's instructions. </w:t>
            </w:r>
          </w:p>
          <w:p w:rsidR="00000000" w:rsidRPr="00A6131C" w:rsidP="00A6131C">
            <w:pPr>
              <w:pStyle w:val="List"/>
            </w:pPr>
            <w:r w:rsidRPr="00A6131C">
              <w:t>2.3</w:t>
            </w:r>
            <w:r w:rsidRPr="00A6131C">
              <w:tab/>
              <w:t xml:space="preserve">Logical diagnostic and </w:t>
            </w:r>
            <w:r w:rsidRPr="00A6131C">
              <w:rPr>
                <w:rStyle w:val="BoldandItalics"/>
              </w:rPr>
              <w:t>systematic fault</w:t>
            </w:r>
            <w:r w:rsidRPr="00A6131C">
              <w:t>-</w:t>
            </w:r>
            <w:r w:rsidRPr="00A6131C">
              <w:rPr>
                <w:rStyle w:val="BoldandItalics"/>
              </w:rPr>
              <w:t>finding methods</w:t>
            </w:r>
            <w:r w:rsidRPr="00A6131C">
              <w:t xml:space="preserve"> are applied to diagnose faults employing measurements and estimations of system operating parameters. </w:t>
            </w:r>
          </w:p>
          <w:p w:rsidR="00000000" w:rsidRPr="00A6131C" w:rsidP="00A6131C">
            <w:pPr>
              <w:pStyle w:val="List"/>
            </w:pPr>
            <w:r w:rsidRPr="00A6131C">
              <w:t>2.4</w:t>
            </w:r>
            <w:r w:rsidRPr="00A6131C">
              <w:tab/>
              <w:t>Suspect</w:t>
            </w:r>
            <w:r w:rsidRPr="00A6131C">
              <w:t>ed fault scenarios are tested as being the source of system problems.</w:t>
            </w:r>
          </w:p>
          <w:p w:rsidR="00000000" w:rsidRPr="00A6131C" w:rsidP="00A6131C">
            <w:pPr>
              <w:pStyle w:val="List"/>
            </w:pPr>
            <w:r w:rsidRPr="00A6131C">
              <w:t>2.5</w:t>
            </w:r>
            <w:r w:rsidRPr="00A6131C">
              <w:tab/>
              <w:t xml:space="preserve">Faults are </w:t>
            </w:r>
            <w:r w:rsidRPr="00A6131C">
              <w:rPr>
                <w:rStyle w:val="BoldandItalics"/>
              </w:rPr>
              <w:t>diagnosed</w:t>
            </w:r>
            <w:r w:rsidRPr="00A6131C">
              <w:t xml:space="preserve"> on the basis of an accurate assessment of test results, historical information and operational data.</w:t>
            </w:r>
          </w:p>
          <w:p w:rsidR="00000000" w:rsidP="00A6131C">
            <w:pPr>
              <w:pStyle w:val="List"/>
              <w:rPr>
                <w:lang w:val="en-NZ"/>
              </w:rPr>
            </w:pPr>
            <w:r w:rsidRPr="00A6131C">
              <w:t>2.6</w:t>
            </w:r>
            <w:r w:rsidRPr="00A6131C">
              <w:tab/>
              <w:t>Specialist advice is sought as required to assist with f</w:t>
            </w:r>
            <w:r w:rsidRPr="00A6131C">
              <w:t xml:space="preserve">ault diagnosis in accordance with organisational procedures. </w:t>
            </w:r>
          </w:p>
        </w:tc>
      </w:tr>
      <w:tr w:rsidTr="00067AC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6131C">
            <w:pPr>
              <w:pStyle w:val="List"/>
              <w:rPr>
                <w:lang w:val="en-NZ"/>
              </w:rPr>
            </w:pPr>
            <w:r w:rsidRPr="00A6131C">
              <w:rPr>
                <w:rStyle w:val="SpecialBold"/>
              </w:rPr>
              <w:t>3</w:t>
            </w:r>
            <w:r w:rsidRPr="00A6131C">
              <w:tab/>
            </w:r>
            <w:r w:rsidRPr="00A6131C">
              <w:rPr>
                <w:rStyle w:val="SpecialBold"/>
              </w:rPr>
              <w:t>Complete and report fault diagnosis</w:t>
            </w:r>
            <w:r w:rsidRPr="00A6131C">
              <w:t>.</w:t>
            </w:r>
          </w:p>
        </w:tc>
        <w:tc>
          <w:tcPr>
            <w:tcW w:w="6110" w:type="dxa"/>
            <w:tcBorders>
              <w:top w:val="nil"/>
              <w:left w:val="nil"/>
              <w:bottom w:val="nil"/>
              <w:right w:val="nil"/>
            </w:tcBorders>
            <w:tcMar>
              <w:top w:w="0" w:type="dxa"/>
              <w:left w:w="62" w:type="dxa"/>
              <w:bottom w:w="0" w:type="dxa"/>
              <w:right w:w="62" w:type="dxa"/>
            </w:tcMar>
          </w:tcPr>
          <w:p w:rsidR="00000000" w:rsidRPr="00A6131C" w:rsidP="00A6131C">
            <w:pPr>
              <w:pStyle w:val="List"/>
            </w:pPr>
            <w:r w:rsidRPr="00A6131C">
              <w:t>3.1</w:t>
            </w:r>
            <w:r w:rsidRPr="00A6131C">
              <w:tab/>
              <w:t>Findings of fault diagnosis are documented and presented to relevant persons in accordance with organisational procedures.</w:t>
            </w:r>
          </w:p>
          <w:p w:rsidR="00000000" w:rsidRPr="00A6131C" w:rsidP="00A6131C">
            <w:pPr>
              <w:pStyle w:val="List"/>
            </w:pPr>
            <w:r w:rsidRPr="00A6131C">
              <w:t>3.2</w:t>
            </w:r>
            <w:r w:rsidRPr="00A6131C">
              <w:tab/>
            </w:r>
            <w:r w:rsidRPr="00A6131C">
              <w:t xml:space="preserve">Recommendations include options for fault rectification and are supported by verifiable data. </w:t>
            </w:r>
          </w:p>
          <w:p w:rsidR="00000000" w:rsidRPr="00A6131C" w:rsidP="00A6131C">
            <w:pPr>
              <w:pStyle w:val="List"/>
            </w:pPr>
            <w:r w:rsidRPr="00A6131C">
              <w:t>3.3</w:t>
            </w:r>
            <w:r w:rsidRPr="00A6131C">
              <w:tab/>
              <w:t>Presented information uses clear and concise language and meets organisational standards for style, format and accuracy.</w:t>
            </w:r>
          </w:p>
          <w:p w:rsidR="00000000" w:rsidRPr="00A6131C" w:rsidP="00A6131C">
            <w:pPr>
              <w:pStyle w:val="List"/>
            </w:pPr>
            <w:r w:rsidRPr="00A6131C">
              <w:t>3.4</w:t>
            </w:r>
            <w:r w:rsidRPr="00A6131C">
              <w:tab/>
              <w:t xml:space="preserve">Complex faults are referred for </w:t>
            </w:r>
            <w:r w:rsidRPr="00A6131C">
              <w:t>specialist advice in accordance with organisational procedures.</w:t>
            </w:r>
          </w:p>
          <w:p w:rsidR="00000000" w:rsidRPr="00A6131C" w:rsidP="00A6131C">
            <w:pPr>
              <w:pStyle w:val="List"/>
            </w:pPr>
            <w:r w:rsidRPr="00A6131C">
              <w:t>3.5</w:t>
            </w:r>
            <w:r w:rsidRPr="00A6131C">
              <w:tab/>
              <w:t>Work area is cleaned and restored in accordance with organisational procedures.</w:t>
            </w:r>
          </w:p>
          <w:p w:rsidR="00000000" w:rsidRPr="00A6131C" w:rsidP="00A6131C">
            <w:pPr>
              <w:pStyle w:val="List"/>
            </w:pPr>
            <w:r w:rsidRPr="00A6131C">
              <w:t>3.6</w:t>
            </w:r>
            <w:r w:rsidRPr="00A6131C">
              <w:tab/>
              <w:t>Waste is collected, treated and disposed of in accordance with organisational procedures.</w:t>
            </w:r>
          </w:p>
          <w:p w:rsidR="00000000" w:rsidRPr="00A6131C" w:rsidP="00A6131C">
            <w:pPr>
              <w:pStyle w:val="List"/>
            </w:pPr>
            <w:r w:rsidRPr="00A6131C">
              <w:t>3.7</w:t>
            </w:r>
            <w:r w:rsidRPr="00A6131C">
              <w:tab/>
              <w:t xml:space="preserve">Relevant </w:t>
            </w:r>
            <w:r w:rsidRPr="00A6131C">
              <w:rPr>
                <w:rStyle w:val="BoldandItalics"/>
              </w:rPr>
              <w:t>d</w:t>
            </w:r>
            <w:r w:rsidRPr="00A6131C">
              <w:rPr>
                <w:rStyle w:val="BoldandItalics"/>
              </w:rPr>
              <w:t>ocumentation</w:t>
            </w:r>
            <w:r w:rsidRPr="00A6131C">
              <w:t xml:space="preserve"> is completed and securely maintained in accordance with organisational procedures.</w:t>
            </w:r>
          </w:p>
        </w:tc>
      </w:tr>
    </w:tbl>
    <w:p w:rsidR="00067AC0" w:rsidP="00A6131C">
      <w:pPr>
        <w:pStyle w:val="BodyText"/>
      </w:pPr>
    </w:p>
    <w:p w:rsidR="00067AC0" w:rsidP="00A6131C">
      <w:pPr>
        <w:pStyle w:val="BodyText"/>
      </w:pPr>
    </w:p>
    <w:p w:rsidR="00000000" w:rsidRPr="00A6131C" w:rsidP="00A6131C">
      <w:pPr>
        <w:pStyle w:val="Heading1"/>
      </w:pPr>
      <w:bookmarkStart w:id="9" w:name="O_258929"/>
      <w:bookmarkEnd w:id="9"/>
      <w:r w:rsidRPr="00A6131C">
        <w:t>Required Skills and Knowledge</w:t>
      </w:r>
    </w:p>
    <w:tbl>
      <w:tblPr>
        <w:tblW w:w="0" w:type="auto"/>
        <w:tblLayout w:type="fixed"/>
        <w:tblCellMar>
          <w:left w:w="62" w:type="dxa"/>
          <w:right w:w="62" w:type="dxa"/>
        </w:tblCellMar>
        <w:tblLook w:val="0000"/>
      </w:tblPr>
      <w:tblGrid>
        <w:gridCol w:w="8522"/>
      </w:tblGrid>
      <w:tr w:rsidTr="00067AC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SpecialBold"/>
              </w:rPr>
              <w:t>REQUIRED SKILLS AND KNOWLEDGE</w:t>
            </w:r>
          </w:p>
        </w:tc>
      </w:tr>
      <w:tr w:rsidTr="00067A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t>This section describes the skills and knowledge and their level required for this unit.</w:t>
            </w:r>
          </w:p>
        </w:tc>
      </w:tr>
      <w:tr w:rsidTr="00067A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SpecialBold"/>
              </w:rPr>
              <w:t>Required skills</w:t>
            </w:r>
          </w:p>
        </w:tc>
      </w:tr>
      <w:tr w:rsidTr="00067A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6131C" w:rsidP="00A6131C">
            <w:pPr>
              <w:pStyle w:val="ListBullet"/>
            </w:pPr>
            <w:r w:rsidRPr="00A6131C">
              <w:t xml:space="preserve">accurately identify and diagnose faults </w:t>
            </w:r>
          </w:p>
          <w:p w:rsidR="00000000" w:rsidRPr="00A6131C" w:rsidP="00A6131C">
            <w:pPr>
              <w:pStyle w:val="ListBullet"/>
            </w:pPr>
            <w:r w:rsidRPr="00A6131C">
              <w:t>apply safe and efficient work practices</w:t>
            </w:r>
          </w:p>
          <w:p w:rsidR="00000000" w:rsidRPr="00A6131C" w:rsidP="00A6131C">
            <w:pPr>
              <w:pStyle w:val="ListBullet"/>
            </w:pPr>
            <w:r w:rsidRPr="00A6131C">
              <w:t>coaching and mentoring to provide support to colleagues</w:t>
            </w:r>
          </w:p>
          <w:p w:rsidR="00000000" w:rsidRPr="00A6131C" w:rsidP="00A6131C">
            <w:pPr>
              <w:pStyle w:val="ListBullet"/>
            </w:pPr>
            <w:r w:rsidRPr="00A6131C">
              <w:t xml:space="preserve">communicate </w:t>
            </w:r>
            <w:r w:rsidRPr="00A6131C">
              <w:t>in a clear and concise manner</w:t>
            </w:r>
          </w:p>
          <w:p w:rsidR="00000000" w:rsidRPr="00A6131C" w:rsidP="00A6131C">
            <w:pPr>
              <w:pStyle w:val="ListBullet"/>
            </w:pPr>
            <w:r w:rsidRPr="00A6131C">
              <w:t xml:space="preserve">conduct testing of security systems and networks </w:t>
            </w:r>
          </w:p>
          <w:p w:rsidR="00000000" w:rsidRPr="00A6131C" w:rsidP="00A6131C">
            <w:pPr>
              <w:pStyle w:val="ListBullet"/>
            </w:pPr>
            <w:r w:rsidRPr="00A6131C">
              <w:t>demonstrate basic logic and lateral thinking processes</w:t>
            </w:r>
          </w:p>
          <w:p w:rsidR="00000000" w:rsidRPr="00A6131C" w:rsidP="00A6131C">
            <w:pPr>
              <w:pStyle w:val="ListBullet"/>
            </w:pPr>
            <w:r w:rsidRPr="00A6131C">
              <w:t xml:space="preserve">estimate resource requirements </w:t>
            </w:r>
          </w:p>
          <w:p w:rsidR="00000000" w:rsidRPr="00A6131C" w:rsidP="00A6131C">
            <w:pPr>
              <w:pStyle w:val="ListBullet"/>
            </w:pPr>
            <w:r w:rsidRPr="00A6131C">
              <w:t xml:space="preserve">identify and correctly handle cables </w:t>
            </w:r>
          </w:p>
          <w:p w:rsidR="00000000" w:rsidRPr="00A6131C" w:rsidP="00A6131C">
            <w:pPr>
              <w:pStyle w:val="ListBullet"/>
            </w:pPr>
            <w:r w:rsidRPr="00A6131C">
              <w:t>methodically prioritise and organise work tasks</w:t>
            </w:r>
          </w:p>
          <w:p w:rsidR="00000000" w:rsidRPr="00A6131C" w:rsidP="00A6131C">
            <w:pPr>
              <w:pStyle w:val="ListBullet"/>
            </w:pPr>
            <w:r w:rsidRPr="00A6131C">
              <w:t>read and interpret a multimeter</w:t>
            </w:r>
          </w:p>
          <w:p w:rsidR="00000000" w:rsidRPr="00A6131C" w:rsidP="00A6131C">
            <w:pPr>
              <w:pStyle w:val="ListBullet"/>
            </w:pPr>
            <w:r w:rsidRPr="00A6131C">
              <w:t xml:space="preserve">read and interpret specifications, charts and diagrams </w:t>
            </w:r>
          </w:p>
          <w:p w:rsidR="00000000" w:rsidRPr="00A6131C" w:rsidP="00A6131C">
            <w:pPr>
              <w:pStyle w:val="ListBullet"/>
            </w:pPr>
            <w:r w:rsidRPr="00A6131C">
              <w:t xml:space="preserve">solve complex problems related to networking and security systems </w:t>
            </w:r>
          </w:p>
          <w:p w:rsidR="00000000" w:rsidP="00A6131C">
            <w:pPr>
              <w:pStyle w:val="ListBullet"/>
              <w:rPr>
                <w:lang w:val="en-NZ"/>
              </w:rPr>
            </w:pPr>
            <w:r w:rsidRPr="00A6131C">
              <w:t>work in confined spaces.</w:t>
            </w:r>
          </w:p>
        </w:tc>
      </w:tr>
      <w:tr w:rsidTr="00067A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SpecialBold"/>
              </w:rPr>
              <w:t>Required knowledge</w:t>
            </w:r>
          </w:p>
        </w:tc>
      </w:tr>
      <w:tr w:rsidTr="00067A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6131C" w:rsidP="00A6131C">
            <w:pPr>
              <w:pStyle w:val="ListBullet"/>
            </w:pPr>
            <w:r w:rsidRPr="00A6131C">
              <w:t>building construction methods and types</w:t>
            </w:r>
          </w:p>
          <w:p w:rsidR="00000000" w:rsidRPr="00A6131C" w:rsidP="00A6131C">
            <w:pPr>
              <w:pStyle w:val="ListBullet"/>
            </w:pPr>
            <w:r w:rsidRPr="00A6131C">
              <w:t>cable identifi</w:t>
            </w:r>
            <w:r w:rsidRPr="00A6131C">
              <w:t xml:space="preserve">cation and handling requirements </w:t>
            </w:r>
          </w:p>
          <w:p w:rsidR="00000000" w:rsidRPr="00A6131C" w:rsidP="00A6131C">
            <w:pPr>
              <w:pStyle w:val="ListBullet"/>
            </w:pPr>
            <w:r w:rsidRPr="00A6131C">
              <w:t xml:space="preserve">common security systems and network faults </w:t>
            </w:r>
          </w:p>
          <w:p w:rsidR="00000000" w:rsidRPr="00A6131C" w:rsidP="00A6131C">
            <w:pPr>
              <w:pStyle w:val="ListBullet"/>
            </w:pPr>
            <w:r w:rsidRPr="00A6131C">
              <w:t>common testing equipment for security systems</w:t>
            </w:r>
          </w:p>
          <w:p w:rsidR="00000000" w:rsidRPr="00A6131C" w:rsidP="00A6131C">
            <w:pPr>
              <w:pStyle w:val="ListBullet"/>
            </w:pPr>
            <w:r w:rsidRPr="00A6131C">
              <w:t>confined space procedures</w:t>
            </w:r>
          </w:p>
          <w:p w:rsidR="00000000" w:rsidRPr="00A6131C" w:rsidP="00A6131C">
            <w:pPr>
              <w:pStyle w:val="ListBullet"/>
            </w:pPr>
            <w:r w:rsidRPr="00A6131C">
              <w:t xml:space="preserve">earthing systems arrangements and requirements </w:t>
            </w:r>
          </w:p>
          <w:p w:rsidR="00000000" w:rsidRPr="00A6131C" w:rsidP="00A6131C">
            <w:pPr>
              <w:pStyle w:val="ListBullet"/>
            </w:pPr>
            <w:r w:rsidRPr="00A6131C">
              <w:t>electrical concepts (voltage, current, resistance and impedance)</w:t>
            </w:r>
          </w:p>
          <w:p w:rsidR="00000000" w:rsidRPr="00A6131C" w:rsidP="00A6131C">
            <w:pPr>
              <w:pStyle w:val="ListBullet"/>
            </w:pPr>
            <w:r w:rsidRPr="00A6131C">
              <w:t xml:space="preserve">fault finding techniques </w:t>
            </w:r>
          </w:p>
          <w:p w:rsidR="00000000" w:rsidRPr="00A6131C" w:rsidP="00A6131C">
            <w:pPr>
              <w:pStyle w:val="ListBullet"/>
            </w:pPr>
            <w:r w:rsidRPr="00A6131C">
              <w:t xml:space="preserve">operational principles of security systems and networks </w:t>
            </w:r>
          </w:p>
          <w:p w:rsidR="00000000" w:rsidRPr="00A6131C" w:rsidP="00A6131C">
            <w:pPr>
              <w:pStyle w:val="ListBullet"/>
            </w:pPr>
            <w:r w:rsidRPr="00A6131C">
              <w:t xml:space="preserve">technical terms </w:t>
            </w:r>
          </w:p>
          <w:p w:rsidR="00000000" w:rsidRPr="00A6131C" w:rsidP="00A6131C">
            <w:pPr>
              <w:pStyle w:val="ListBullet"/>
            </w:pPr>
            <w:r w:rsidRPr="00A6131C">
              <w:t xml:space="preserve">tests to confirm operational performance </w:t>
            </w:r>
          </w:p>
          <w:p w:rsidR="00000000" w:rsidRPr="00A6131C" w:rsidP="00A6131C">
            <w:pPr>
              <w:pStyle w:val="ListBullet"/>
            </w:pPr>
            <w:r w:rsidRPr="00A6131C">
              <w:t>types, functions and purposes of diagnostic tools</w:t>
            </w:r>
          </w:p>
          <w:p w:rsidR="00000000" w:rsidRPr="00A6131C" w:rsidP="00A6131C">
            <w:pPr>
              <w:pStyle w:val="ListBullet"/>
            </w:pPr>
            <w:r w:rsidRPr="00A6131C">
              <w:t>types, functions and specifications of security systems and networks and equipment.</w:t>
            </w:r>
          </w:p>
        </w:tc>
      </w:tr>
    </w:tbl>
    <w:p w:rsidR="00067AC0" w:rsidP="00A6131C">
      <w:pPr>
        <w:pStyle w:val="BodyText"/>
      </w:pPr>
    </w:p>
    <w:p w:rsidR="00067AC0" w:rsidP="00A6131C">
      <w:pPr>
        <w:pStyle w:val="BodyText"/>
      </w:pPr>
    </w:p>
    <w:p w:rsidR="00000000" w:rsidRPr="00A6131C" w:rsidP="00A6131C">
      <w:pPr>
        <w:pStyle w:val="Heading1"/>
      </w:pPr>
      <w:bookmarkStart w:id="10" w:name="O_242963"/>
      <w:bookmarkEnd w:id="10"/>
      <w:r w:rsidRPr="00A6131C">
        <w:t>Evidence Guide</w:t>
      </w:r>
    </w:p>
    <w:tbl>
      <w:tblPr>
        <w:tblW w:w="9287" w:type="dxa"/>
        <w:tblLayout w:type="fixed"/>
        <w:tblCellMar>
          <w:left w:w="62" w:type="dxa"/>
          <w:right w:w="62" w:type="dxa"/>
        </w:tblCellMar>
        <w:tblLook w:val="0000"/>
      </w:tblPr>
      <w:tblGrid>
        <w:gridCol w:w="2621"/>
        <w:gridCol w:w="6659"/>
        <w:gridCol w:w="7"/>
      </w:tblGrid>
      <w:tr w:rsidTr="00067AC0">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SpecialBold"/>
              </w:rPr>
              <w:t>EVIDENCE GUIDE</w:t>
            </w:r>
          </w:p>
        </w:tc>
      </w:tr>
      <w:tr w:rsidTr="00067AC0">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t>The evidence guide provides adv</w:t>
            </w:r>
            <w:r w:rsidRPr="00A6131C">
              <w:t>ice on assessment and must be read in conjunction with the performance criteria, required skills and knowledge, range statement and the Assessment Guidelines for the Training Package.</w:t>
            </w:r>
          </w:p>
        </w:tc>
      </w:tr>
      <w:tr w:rsidTr="00067AC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SpecialBold"/>
              </w:rPr>
              <w:t>Critical aspects for assessment and evidence required to demonstrate c</w:t>
            </w:r>
            <w:r w:rsidRPr="00A6131C">
              <w:rPr>
                <w:rStyle w:val="SpecialBold"/>
              </w:rPr>
              <w:t>ompetency in this unit</w:t>
            </w:r>
          </w:p>
        </w:tc>
        <w:tc>
          <w:tcPr>
            <w:tcW w:w="6659" w:type="dxa"/>
            <w:tcBorders>
              <w:top w:val="nil"/>
              <w:left w:val="nil"/>
              <w:bottom w:val="nil"/>
              <w:right w:val="nil"/>
            </w:tcBorders>
            <w:tcMar>
              <w:top w:w="0" w:type="dxa"/>
              <w:left w:w="62" w:type="dxa"/>
              <w:bottom w:w="0" w:type="dxa"/>
              <w:right w:w="62" w:type="dxa"/>
            </w:tcMar>
          </w:tcPr>
          <w:p w:rsidR="00000000" w:rsidRPr="00A6131C" w:rsidP="00A6131C">
            <w:pPr>
              <w:pStyle w:val="BodyText"/>
            </w:pPr>
            <w:r w:rsidRPr="00A6131C">
              <w:t>A person who demonstrates competency in this unit must be able to provide evidence of:</w:t>
            </w:r>
          </w:p>
          <w:p w:rsidR="00000000" w:rsidRPr="00A6131C" w:rsidP="00A6131C">
            <w:pPr>
              <w:pStyle w:val="ListBullet"/>
            </w:pPr>
            <w:r w:rsidRPr="00A6131C">
              <w:t xml:space="preserve">confirming reported faults with client and ascertaining normal performance of security systems and network against specification schedules </w:t>
            </w:r>
          </w:p>
          <w:p w:rsidR="00000000" w:rsidRPr="00A6131C" w:rsidP="00A6131C">
            <w:pPr>
              <w:pStyle w:val="ListBullet"/>
            </w:pPr>
            <w:r w:rsidRPr="00A6131C">
              <w:t>accur</w:t>
            </w:r>
            <w:r w:rsidRPr="00A6131C">
              <w:t xml:space="preserve">ately identifying and diagnosing faults based on an assessment of test data, site variables, operational and historical information </w:t>
            </w:r>
          </w:p>
          <w:p w:rsidR="00000000" w:rsidRPr="00A6131C" w:rsidP="00A6131C">
            <w:pPr>
              <w:pStyle w:val="ListBullet"/>
            </w:pPr>
            <w:r w:rsidRPr="00A6131C">
              <w:t>clearly identifying job requirements and organising appropriate tools, equipment and materials to carry out checks and test</w:t>
            </w:r>
            <w:r w:rsidRPr="00A6131C">
              <w:t>ing of security systems and networks</w:t>
            </w:r>
          </w:p>
          <w:p w:rsidR="00000000" w:rsidRPr="00A6131C" w:rsidP="00A6131C">
            <w:pPr>
              <w:pStyle w:val="ListBullet"/>
            </w:pPr>
            <w:r w:rsidRPr="00A6131C">
              <w:t>conducting inspections and diagnostic tests on a range of platforms in accordance with industry preventative maintenance and diagnostic policies</w:t>
            </w:r>
          </w:p>
          <w:p w:rsidR="00000000" w:rsidP="00A6131C">
            <w:pPr>
              <w:pStyle w:val="ListBullet"/>
              <w:rPr>
                <w:lang w:val="en-NZ"/>
              </w:rPr>
            </w:pPr>
            <w:r w:rsidRPr="00A6131C">
              <w:t>preparing and presenting reports and documentation clearly and concisely d</w:t>
            </w:r>
            <w:r w:rsidRPr="00A6131C">
              <w:t>etailing fault diagnosis and repair recommendations based on verifiable data.</w:t>
            </w:r>
          </w:p>
        </w:tc>
      </w:tr>
      <w:tr w:rsidTr="00067AC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A6131C" w:rsidP="00A6131C">
            <w:pPr>
              <w:pStyle w:val="BodyText"/>
            </w:pPr>
            <w:r w:rsidRPr="00A6131C">
              <w:t>Context of assessment includes:</w:t>
            </w:r>
          </w:p>
          <w:p w:rsidR="00000000" w:rsidRPr="00A6131C" w:rsidP="00A6131C">
            <w:pPr>
              <w:pStyle w:val="ListBullet"/>
            </w:pPr>
            <w:r w:rsidRPr="00A6131C">
              <w:t xml:space="preserve">a setting in the workplace or environment that simulates the conditions of performance </w:t>
            </w:r>
            <w:r w:rsidRPr="00A6131C">
              <w:t>described in the elements, performance criteria and range statement.</w:t>
            </w:r>
          </w:p>
          <w:p w:rsidR="00000000" w:rsidRPr="00A6131C" w:rsidP="00A6131C">
            <w:pPr>
              <w:pStyle w:val="BodyText"/>
            </w:pPr>
            <w:r w:rsidRPr="00A6131C">
              <w:t>Resource implications for assessment include:</w:t>
            </w:r>
          </w:p>
          <w:p w:rsidR="00000000" w:rsidRPr="00A6131C" w:rsidP="00A6131C">
            <w:pPr>
              <w:pStyle w:val="ListBullet"/>
            </w:pPr>
            <w:r w:rsidRPr="00A6131C">
              <w:t>access to plain English version of relevant statutes and procedures</w:t>
            </w:r>
          </w:p>
          <w:p w:rsidR="00000000" w:rsidRPr="00A6131C" w:rsidP="00A6131C">
            <w:pPr>
              <w:pStyle w:val="ListBullet"/>
            </w:pPr>
            <w:r w:rsidRPr="00A6131C">
              <w:t>access to a registered provider of assessment services</w:t>
            </w:r>
          </w:p>
          <w:p w:rsidR="00000000" w:rsidRPr="00A6131C" w:rsidP="00A6131C">
            <w:pPr>
              <w:pStyle w:val="ListBullet"/>
            </w:pPr>
            <w:r w:rsidRPr="00A6131C">
              <w:t>access to a suita</w:t>
            </w:r>
            <w:r w:rsidRPr="00A6131C">
              <w:t>ble venue and equipment</w:t>
            </w:r>
          </w:p>
          <w:p w:rsidR="00000000" w:rsidRPr="00A6131C" w:rsidP="00A6131C">
            <w:pPr>
              <w:pStyle w:val="ListBullet"/>
            </w:pPr>
            <w:r w:rsidRPr="00A6131C">
              <w:t>assessment instruments including personal planner and assessment record book</w:t>
            </w:r>
          </w:p>
          <w:p w:rsidR="00000000" w:rsidRPr="00A6131C" w:rsidP="00A6131C">
            <w:pPr>
              <w:pStyle w:val="ListBullet"/>
            </w:pPr>
            <w:r w:rsidRPr="00A6131C">
              <w:t>work schedules, organisational policies and duty statements.</w:t>
            </w:r>
          </w:p>
          <w:p w:rsidR="00000000" w:rsidP="00A6131C">
            <w:pPr>
              <w:pStyle w:val="BodyText"/>
              <w:rPr>
                <w:lang w:val="en-NZ"/>
              </w:rPr>
            </w:pPr>
            <w:r w:rsidRPr="00A6131C">
              <w:t>Reasonable adjustments must be made to assessment processes where required for people with dis</w:t>
            </w:r>
            <w:r w:rsidRPr="00A6131C">
              <w:t>abilities. This could include access to modified equipment and other physical resources, and the provision of appropriate assessment support.</w:t>
            </w:r>
          </w:p>
        </w:tc>
      </w:tr>
      <w:tr w:rsidTr="00067AC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A6131C" w:rsidP="00A6131C">
            <w:pPr>
              <w:pStyle w:val="BodyText"/>
            </w:pPr>
            <w:r w:rsidRPr="00A6131C">
              <w:t>This unit of competency could be assessed using the following methods of assessment:</w:t>
            </w:r>
          </w:p>
          <w:p w:rsidR="00000000" w:rsidRPr="00A6131C" w:rsidP="00A6131C">
            <w:pPr>
              <w:pStyle w:val="ListBullet"/>
            </w:pPr>
            <w:r w:rsidRPr="00A6131C">
              <w:t>observ</w:t>
            </w:r>
            <w:r w:rsidRPr="00A6131C">
              <w:t>ation of processes and procedures</w:t>
            </w:r>
          </w:p>
          <w:p w:rsidR="00000000" w:rsidP="00A6131C">
            <w:pPr>
              <w:pStyle w:val="ListBullet"/>
              <w:rPr>
                <w:lang w:val="en-NZ"/>
              </w:rPr>
            </w:pPr>
            <w:r w:rsidRPr="00A6131C">
              <w:t>questioning of underpinning knowledge and skills.</w:t>
            </w:r>
          </w:p>
        </w:tc>
      </w:tr>
      <w:tr w:rsidTr="00067AC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A6131C" w:rsidP="00A6131C">
            <w:pPr>
              <w:pStyle w:val="BodyText"/>
            </w:pPr>
            <w:r w:rsidRPr="00A6131C">
              <w:t>Assessm</w:t>
            </w:r>
            <w:r w:rsidRPr="00A6131C">
              <w:t>ent processes and techniques must be culturally appropriate and suitable to the language, literacy and numeracy capacity of the candidate and the competency being assessed. In all cases where practical assessment is used, it should be combined with targete</w:t>
            </w:r>
            <w:r w:rsidRPr="00A6131C">
              <w:t>d questioning to assess the underpinning knowledge.</w:t>
            </w:r>
          </w:p>
          <w:p w:rsidR="00000000" w:rsidRPr="00A6131C" w:rsidP="00A6131C">
            <w:pPr>
              <w:pStyle w:val="BodyText"/>
            </w:pPr>
            <w:r w:rsidRPr="00A6131C">
              <w:t>Oral questioning or written assessment may be used to assess underpinning knowledge. In assessment situations where the candidate is offered a choice between oral questioning and written assessment, quest</w:t>
            </w:r>
            <w:r w:rsidRPr="00A6131C">
              <w:t>ions are to be identical.</w:t>
            </w:r>
          </w:p>
          <w:p w:rsidR="00000000" w:rsidRPr="00A6131C" w:rsidP="00A6131C">
            <w:pPr>
              <w:pStyle w:val="BodyText"/>
            </w:pPr>
            <w:r w:rsidRPr="00A6131C">
              <w:t>Supplementary evidence may be obtained from relevant authenticated correspondence from existing supervisors, team leaders or specialist training staff.</w:t>
            </w:r>
          </w:p>
        </w:tc>
      </w:tr>
    </w:tbl>
    <w:p w:rsidR="00067AC0" w:rsidP="00A6131C">
      <w:pPr>
        <w:pStyle w:val="BodyText"/>
      </w:pPr>
    </w:p>
    <w:p w:rsidR="00067AC0" w:rsidP="00A6131C">
      <w:pPr>
        <w:pStyle w:val="BodyText"/>
      </w:pPr>
    </w:p>
    <w:p w:rsidR="00000000" w:rsidRPr="00A6131C" w:rsidP="00A6131C">
      <w:pPr>
        <w:pStyle w:val="Heading1"/>
      </w:pPr>
      <w:bookmarkStart w:id="11" w:name="O_250946"/>
      <w:bookmarkEnd w:id="11"/>
      <w:r w:rsidRPr="00A6131C">
        <w:t>Range Statement</w:t>
      </w:r>
    </w:p>
    <w:tbl>
      <w:tblPr>
        <w:tblW w:w="0" w:type="auto"/>
        <w:tblLayout w:type="fixed"/>
        <w:tblCellMar>
          <w:left w:w="62" w:type="dxa"/>
          <w:right w:w="62" w:type="dxa"/>
        </w:tblCellMar>
        <w:tblLook w:val="0000"/>
      </w:tblPr>
      <w:tblGrid>
        <w:gridCol w:w="2577"/>
        <w:gridCol w:w="5945"/>
      </w:tblGrid>
      <w:tr w:rsidTr="00067AC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SpecialBold"/>
              </w:rPr>
              <w:t>RANGE STATEMENT</w:t>
            </w:r>
          </w:p>
        </w:tc>
      </w:tr>
      <w:tr w:rsidTr="00067AC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t>The range statement relates to the unit of competency as a whole. It allows for different work environments and situations that may affect performance. Bold italicised wording, if used in the performance criteria, is detailed below. Essential operating con</w:t>
            </w:r>
            <w:r w:rsidRPr="00A6131C">
              <w:t>ditions that may be present with training and assessment (depending on the work situation, needs of the candidate, accessibility of the item, and local industry and regional contexts) may also be included.</w:t>
            </w:r>
          </w:p>
        </w:tc>
      </w:tr>
      <w:tr w:rsidTr="00067AC0">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BoldandItalics"/>
              </w:rPr>
              <w:t>Legislative requirements may relate to</w:t>
            </w:r>
            <w:r w:rsidRPr="00A6131C">
              <w:t xml:space="preserve">: </w:t>
            </w:r>
          </w:p>
        </w:tc>
        <w:tc>
          <w:tcPr>
            <w:tcW w:w="5945" w:type="dxa"/>
            <w:tcBorders>
              <w:top w:val="nil"/>
              <w:left w:val="nil"/>
              <w:bottom w:val="nil"/>
              <w:right w:val="nil"/>
            </w:tcBorders>
            <w:tcMar>
              <w:top w:w="0" w:type="dxa"/>
              <w:left w:w="62" w:type="dxa"/>
              <w:bottom w:w="0" w:type="dxa"/>
              <w:right w:w="62" w:type="dxa"/>
            </w:tcMar>
          </w:tcPr>
          <w:p w:rsidR="00000000" w:rsidRPr="00A6131C" w:rsidP="00A6131C">
            <w:pPr>
              <w:pStyle w:val="ListBullet"/>
            </w:pPr>
            <w:r w:rsidRPr="00A6131C">
              <w:t>appreh</w:t>
            </w:r>
            <w:r w:rsidRPr="00A6131C">
              <w:t xml:space="preserve">ension and powers of arrest </w:t>
            </w:r>
          </w:p>
          <w:p w:rsidR="00000000" w:rsidRPr="00A6131C" w:rsidP="00A6131C">
            <w:pPr>
              <w:pStyle w:val="ListBullet"/>
            </w:pPr>
            <w:r w:rsidRPr="00A6131C">
              <w:t>Australian standards and quality assurance requirements</w:t>
            </w:r>
          </w:p>
          <w:p w:rsidR="00000000" w:rsidRPr="00A6131C" w:rsidP="00A6131C">
            <w:pPr>
              <w:pStyle w:val="ListBullet"/>
            </w:pPr>
            <w:r w:rsidRPr="00A6131C">
              <w:t>cabling</w:t>
            </w:r>
          </w:p>
          <w:p w:rsidR="00000000" w:rsidRPr="00A6131C" w:rsidP="00A6131C">
            <w:pPr>
              <w:pStyle w:val="ListBullet"/>
            </w:pPr>
            <w:r w:rsidRPr="00A6131C">
              <w:t>general 'duty of care' responsibilities</w:t>
            </w:r>
          </w:p>
          <w:p w:rsidR="00000000" w:rsidRPr="00A6131C" w:rsidP="00A6131C">
            <w:pPr>
              <w:pStyle w:val="ListBullet"/>
            </w:pPr>
            <w:r w:rsidRPr="00A6131C">
              <w:t>licensing or certification requirements</w:t>
            </w:r>
          </w:p>
          <w:p w:rsidR="00000000" w:rsidRPr="00A6131C" w:rsidP="00A6131C">
            <w:pPr>
              <w:pStyle w:val="ListBullet"/>
            </w:pPr>
            <w:r w:rsidRPr="00A6131C">
              <w:t>privacy and confidentiality</w:t>
            </w:r>
          </w:p>
          <w:p w:rsidR="00000000" w:rsidRPr="00A6131C" w:rsidP="00A6131C">
            <w:pPr>
              <w:pStyle w:val="ListBullet"/>
            </w:pPr>
            <w:r w:rsidRPr="00A6131C">
              <w:t>relevant commonwealth, state and territory legislation,</w:t>
            </w:r>
            <w:r w:rsidRPr="00A6131C">
              <w:t xml:space="preserve"> codes and national standards for:</w:t>
            </w:r>
          </w:p>
          <w:p w:rsidR="00000000" w:rsidRPr="00A6131C" w:rsidP="00A6131C">
            <w:pPr>
              <w:pStyle w:val="ListBullet2"/>
            </w:pPr>
            <w:r w:rsidRPr="00A6131C">
              <w:t>anti-discrimination</w:t>
            </w:r>
          </w:p>
          <w:p w:rsidR="00000000" w:rsidRPr="00A6131C" w:rsidP="00A6131C">
            <w:pPr>
              <w:pStyle w:val="ListBullet2"/>
            </w:pPr>
            <w:r w:rsidRPr="00A6131C">
              <w:t>cultural and ethnic diversity</w:t>
            </w:r>
          </w:p>
          <w:p w:rsidR="00000000" w:rsidRPr="00A6131C" w:rsidP="00A6131C">
            <w:pPr>
              <w:pStyle w:val="ListBullet2"/>
            </w:pPr>
            <w:r w:rsidRPr="00A6131C">
              <w:t>environmental issues</w:t>
            </w:r>
          </w:p>
          <w:p w:rsidR="00000000" w:rsidRPr="00A6131C" w:rsidP="00A6131C">
            <w:pPr>
              <w:pStyle w:val="ListBullet2"/>
            </w:pPr>
            <w:r w:rsidRPr="00A6131C">
              <w:t>equal employment opportunity</w:t>
            </w:r>
          </w:p>
          <w:p w:rsidR="00000000" w:rsidRPr="00A6131C" w:rsidP="00A6131C">
            <w:pPr>
              <w:pStyle w:val="ListBullet2"/>
            </w:pPr>
            <w:r w:rsidRPr="00A6131C">
              <w:t>industrial relations</w:t>
            </w:r>
          </w:p>
          <w:p w:rsidR="00000000" w:rsidRPr="00A6131C" w:rsidP="00A6131C">
            <w:pPr>
              <w:pStyle w:val="ListBullet2"/>
            </w:pPr>
            <w:r w:rsidRPr="00A6131C">
              <w:t>OHS</w:t>
            </w:r>
          </w:p>
          <w:p w:rsidR="00000000" w:rsidRPr="00A6131C" w:rsidP="00A6131C">
            <w:pPr>
              <w:pStyle w:val="ListBullet"/>
            </w:pPr>
            <w:r w:rsidRPr="00A6131C">
              <w:t xml:space="preserve">relevant industry codes of practice </w:t>
            </w:r>
          </w:p>
          <w:p w:rsidR="00000000" w:rsidRPr="00A6131C" w:rsidP="00A6131C">
            <w:pPr>
              <w:pStyle w:val="ListBullet"/>
            </w:pPr>
            <w:r w:rsidRPr="00A6131C">
              <w:t>telecommunications</w:t>
            </w:r>
          </w:p>
          <w:p w:rsidR="00000000" w:rsidP="00A6131C">
            <w:pPr>
              <w:pStyle w:val="ListBullet"/>
              <w:rPr>
                <w:lang w:val="en-NZ"/>
              </w:rPr>
            </w:pPr>
            <w:r w:rsidRPr="00A6131C">
              <w:t>trespass and the removal of persons.</w:t>
            </w:r>
          </w:p>
        </w:tc>
      </w:tr>
      <w:tr w:rsidTr="00067AC0">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BoldandItalics"/>
              </w:rPr>
              <w:t>Organisational requirements may relate to</w:t>
            </w:r>
            <w:r w:rsidRPr="00A6131C">
              <w:t>:</w:t>
            </w:r>
          </w:p>
        </w:tc>
        <w:tc>
          <w:tcPr>
            <w:tcW w:w="5945" w:type="dxa"/>
            <w:tcBorders>
              <w:top w:val="nil"/>
              <w:left w:val="nil"/>
              <w:bottom w:val="nil"/>
              <w:right w:val="nil"/>
            </w:tcBorders>
            <w:tcMar>
              <w:top w:w="0" w:type="dxa"/>
              <w:left w:w="62" w:type="dxa"/>
              <w:bottom w:w="0" w:type="dxa"/>
              <w:right w:w="62" w:type="dxa"/>
            </w:tcMar>
          </w:tcPr>
          <w:p w:rsidR="00000000" w:rsidRPr="00A6131C" w:rsidP="00A6131C">
            <w:pPr>
              <w:pStyle w:val="ListBullet"/>
            </w:pPr>
            <w:r w:rsidRPr="00A6131C">
              <w:t>access and equity policies, principles and practices</w:t>
            </w:r>
          </w:p>
          <w:p w:rsidR="00000000" w:rsidRPr="00A6131C" w:rsidP="00A6131C">
            <w:pPr>
              <w:pStyle w:val="ListBullet"/>
            </w:pPr>
            <w:r w:rsidRPr="00A6131C">
              <w:t>business and performance plans</w:t>
            </w:r>
          </w:p>
          <w:p w:rsidR="00000000" w:rsidRPr="00A6131C" w:rsidP="00A6131C">
            <w:pPr>
              <w:pStyle w:val="ListBullet"/>
            </w:pPr>
            <w:r w:rsidRPr="00A6131C">
              <w:t>client service standards</w:t>
            </w:r>
          </w:p>
          <w:p w:rsidR="00000000" w:rsidRPr="00A6131C" w:rsidP="00A6131C">
            <w:pPr>
              <w:pStyle w:val="ListBullet"/>
            </w:pPr>
            <w:r w:rsidRPr="00A6131C">
              <w:t>code of conduct, code of ethics</w:t>
            </w:r>
          </w:p>
          <w:p w:rsidR="00000000" w:rsidRPr="00A6131C" w:rsidP="00A6131C">
            <w:pPr>
              <w:pStyle w:val="ListBullet"/>
            </w:pPr>
            <w:r w:rsidRPr="00A6131C">
              <w:t>communication and reporting procedures</w:t>
            </w:r>
          </w:p>
          <w:p w:rsidR="00000000" w:rsidRPr="00A6131C" w:rsidP="00A6131C">
            <w:pPr>
              <w:pStyle w:val="ListBullet"/>
            </w:pPr>
            <w:r w:rsidRPr="00A6131C">
              <w:t>complaint and dispute resolution</w:t>
            </w:r>
            <w:r w:rsidRPr="00A6131C">
              <w:t xml:space="preserve"> procedures</w:t>
            </w:r>
          </w:p>
          <w:p w:rsidR="00000000" w:rsidRPr="00A6131C" w:rsidP="00A6131C">
            <w:pPr>
              <w:pStyle w:val="ListBullet"/>
            </w:pPr>
            <w:r w:rsidRPr="00A6131C">
              <w:t>emergency and evacuation procedures</w:t>
            </w:r>
          </w:p>
          <w:p w:rsidR="00000000" w:rsidRPr="00A6131C" w:rsidP="00A6131C">
            <w:pPr>
              <w:pStyle w:val="ListBullet"/>
            </w:pPr>
            <w:r w:rsidRPr="00A6131C">
              <w:t xml:space="preserve">employer and employee rights and responsibilities </w:t>
            </w:r>
          </w:p>
          <w:p w:rsidR="00000000" w:rsidRPr="00A6131C" w:rsidP="00A6131C">
            <w:pPr>
              <w:pStyle w:val="ListBullet"/>
            </w:pPr>
            <w:r w:rsidRPr="00A6131C">
              <w:t>OHS policies, procedures and programs</w:t>
            </w:r>
          </w:p>
          <w:p w:rsidR="00000000" w:rsidRPr="00A6131C" w:rsidP="00A6131C">
            <w:pPr>
              <w:pStyle w:val="ListBullet"/>
            </w:pPr>
            <w:r w:rsidRPr="00A6131C">
              <w:t xml:space="preserve">own role, responsibility and authority </w:t>
            </w:r>
          </w:p>
          <w:p w:rsidR="00000000" w:rsidRPr="00A6131C" w:rsidP="00A6131C">
            <w:pPr>
              <w:pStyle w:val="ListBullet"/>
            </w:pPr>
            <w:r w:rsidRPr="00A6131C">
              <w:t>personal and professional development</w:t>
            </w:r>
          </w:p>
          <w:p w:rsidR="00000000" w:rsidRPr="00A6131C" w:rsidP="00A6131C">
            <w:pPr>
              <w:pStyle w:val="ListBullet"/>
            </w:pPr>
            <w:r w:rsidRPr="00A6131C">
              <w:t>privacy and confidentiality of informatio</w:t>
            </w:r>
            <w:r w:rsidRPr="00A6131C">
              <w:t>n</w:t>
            </w:r>
          </w:p>
          <w:p w:rsidR="00000000" w:rsidRPr="00A6131C" w:rsidP="00A6131C">
            <w:pPr>
              <w:pStyle w:val="ListBullet"/>
            </w:pPr>
            <w:r w:rsidRPr="00A6131C">
              <w:t>quality assurance and continuous improvement processes and standards</w:t>
            </w:r>
          </w:p>
          <w:p w:rsidR="00000000" w:rsidRPr="00A6131C" w:rsidP="00A6131C">
            <w:pPr>
              <w:pStyle w:val="ListBullet"/>
            </w:pPr>
            <w:r w:rsidRPr="00A6131C">
              <w:t>resource parameters and procedures</w:t>
            </w:r>
          </w:p>
          <w:p w:rsidR="00000000" w:rsidRPr="00A6131C" w:rsidP="00A6131C">
            <w:pPr>
              <w:pStyle w:val="ListBullet"/>
            </w:pPr>
            <w:r w:rsidRPr="00A6131C">
              <w:t>roles, functions and responsibilities of security personnel</w:t>
            </w:r>
          </w:p>
          <w:p w:rsidR="00000000" w:rsidP="00A6131C">
            <w:pPr>
              <w:pStyle w:val="ListBullet"/>
              <w:rPr>
                <w:lang w:val="en-NZ"/>
              </w:rPr>
            </w:pPr>
            <w:r w:rsidRPr="00A6131C">
              <w:t>storage and disposal of information.</w:t>
            </w:r>
          </w:p>
        </w:tc>
      </w:tr>
      <w:tr w:rsidTr="00067AC0">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BoldandItalics"/>
              </w:rPr>
              <w:t>Assignment instructions</w:t>
            </w:r>
            <w:r w:rsidRPr="00A6131C">
              <w:t xml:space="preserve"> </w:t>
            </w:r>
            <w:r w:rsidRPr="00A6131C">
              <w:rPr>
                <w:rStyle w:val="SpecialBold"/>
              </w:rPr>
              <w:t>may include</w:t>
            </w:r>
            <w:r w:rsidRPr="00A6131C">
              <w:t xml:space="preserve">: </w:t>
            </w:r>
          </w:p>
        </w:tc>
        <w:tc>
          <w:tcPr>
            <w:tcW w:w="5945" w:type="dxa"/>
            <w:tcBorders>
              <w:top w:val="nil"/>
              <w:left w:val="nil"/>
              <w:bottom w:val="nil"/>
              <w:right w:val="nil"/>
            </w:tcBorders>
            <w:tcMar>
              <w:top w:w="0" w:type="dxa"/>
              <w:left w:w="62" w:type="dxa"/>
              <w:bottom w:w="0" w:type="dxa"/>
              <w:right w:w="62" w:type="dxa"/>
            </w:tcMar>
          </w:tcPr>
          <w:p w:rsidR="00000000" w:rsidRPr="00A6131C" w:rsidP="00A6131C">
            <w:pPr>
              <w:pStyle w:val="ListBullet"/>
            </w:pPr>
            <w:r w:rsidRPr="00A6131C">
              <w:t>access to site and specific site requirements</w:t>
            </w:r>
          </w:p>
          <w:p w:rsidR="00000000" w:rsidRPr="00A6131C" w:rsidP="00A6131C">
            <w:pPr>
              <w:pStyle w:val="ListBullet"/>
            </w:pPr>
            <w:r w:rsidRPr="00A6131C">
              <w:t xml:space="preserve">budget allocations </w:t>
            </w:r>
          </w:p>
          <w:p w:rsidR="00000000" w:rsidRPr="00A6131C" w:rsidP="00A6131C">
            <w:pPr>
              <w:pStyle w:val="ListBullet"/>
            </w:pPr>
            <w:r w:rsidRPr="00A6131C">
              <w:t>completion dates</w:t>
            </w:r>
          </w:p>
          <w:p w:rsidR="00000000" w:rsidRPr="00A6131C" w:rsidP="00A6131C">
            <w:pPr>
              <w:pStyle w:val="ListBullet"/>
            </w:pPr>
            <w:r w:rsidRPr="00A6131C">
              <w:t>job requirements and tasks</w:t>
            </w:r>
          </w:p>
          <w:p w:rsidR="00000000" w:rsidRPr="00A6131C" w:rsidP="00A6131C">
            <w:pPr>
              <w:pStyle w:val="ListBullet"/>
            </w:pPr>
            <w:r w:rsidRPr="00A6131C">
              <w:t>resource requirements</w:t>
            </w:r>
          </w:p>
          <w:p w:rsidR="00000000" w:rsidRPr="00A6131C" w:rsidP="00A6131C">
            <w:pPr>
              <w:pStyle w:val="ListBullet"/>
            </w:pPr>
            <w:r w:rsidRPr="00A6131C">
              <w:t>specific client requirements</w:t>
            </w:r>
          </w:p>
          <w:p w:rsidR="00000000" w:rsidRPr="00A6131C" w:rsidP="00A6131C">
            <w:pPr>
              <w:pStyle w:val="ListBullet"/>
            </w:pPr>
            <w:r w:rsidRPr="00A6131C">
              <w:t>warranties and service information</w:t>
            </w:r>
          </w:p>
          <w:p w:rsidR="00000000" w:rsidP="00A6131C">
            <w:pPr>
              <w:pStyle w:val="ListBullet"/>
              <w:rPr>
                <w:lang w:val="en-NZ"/>
              </w:rPr>
            </w:pPr>
            <w:r w:rsidRPr="00A6131C">
              <w:t>work schedules.</w:t>
            </w:r>
          </w:p>
        </w:tc>
      </w:tr>
      <w:tr w:rsidTr="00067AC0">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BoldandItalics"/>
              </w:rPr>
              <w:t>Relevant information</w:t>
            </w:r>
            <w:r w:rsidRPr="00A6131C">
              <w:t xml:space="preserve"> </w:t>
            </w:r>
            <w:r w:rsidRPr="00A6131C">
              <w:rPr>
                <w:rStyle w:val="SpecialBold"/>
              </w:rPr>
              <w:t>may include</w:t>
            </w:r>
            <w:r w:rsidRPr="00A6131C">
              <w:t xml:space="preserve">: </w:t>
            </w:r>
          </w:p>
        </w:tc>
        <w:tc>
          <w:tcPr>
            <w:tcW w:w="5945" w:type="dxa"/>
            <w:tcBorders>
              <w:top w:val="nil"/>
              <w:left w:val="nil"/>
              <w:bottom w:val="nil"/>
              <w:right w:val="nil"/>
            </w:tcBorders>
            <w:tcMar>
              <w:top w:w="0" w:type="dxa"/>
              <w:left w:w="62" w:type="dxa"/>
              <w:bottom w:w="0" w:type="dxa"/>
              <w:right w:w="62" w:type="dxa"/>
            </w:tcMar>
          </w:tcPr>
          <w:p w:rsidR="00000000" w:rsidRPr="00A6131C" w:rsidP="00A6131C">
            <w:pPr>
              <w:pStyle w:val="ListBullet"/>
            </w:pPr>
            <w:r w:rsidRPr="00A6131C">
              <w:t xml:space="preserve">client </w:t>
            </w:r>
            <w:r w:rsidRPr="00A6131C">
              <w:t>questioning details</w:t>
            </w:r>
          </w:p>
          <w:p w:rsidR="00000000" w:rsidRPr="00A6131C" w:rsidP="00A6131C">
            <w:pPr>
              <w:pStyle w:val="ListBullet"/>
            </w:pPr>
            <w:r w:rsidRPr="00A6131C">
              <w:t>client records</w:t>
            </w:r>
          </w:p>
          <w:p w:rsidR="00000000" w:rsidRPr="00A6131C" w:rsidP="00A6131C">
            <w:pPr>
              <w:pStyle w:val="ListBullet"/>
            </w:pPr>
            <w:r w:rsidRPr="00A6131C">
              <w:t>contract documents</w:t>
            </w:r>
          </w:p>
          <w:p w:rsidR="00000000" w:rsidRPr="00A6131C" w:rsidP="00A6131C">
            <w:pPr>
              <w:pStyle w:val="ListBullet"/>
            </w:pPr>
            <w:r w:rsidRPr="00A6131C">
              <w:t>details of system checks</w:t>
            </w:r>
          </w:p>
          <w:p w:rsidR="00000000" w:rsidRPr="00A6131C" w:rsidP="00A6131C">
            <w:pPr>
              <w:pStyle w:val="ListBullet"/>
            </w:pPr>
            <w:r w:rsidRPr="00A6131C">
              <w:t>equipment or product manuals or guides</w:t>
            </w:r>
          </w:p>
          <w:p w:rsidR="00000000" w:rsidRPr="00A6131C" w:rsidP="00A6131C">
            <w:pPr>
              <w:pStyle w:val="ListBullet"/>
            </w:pPr>
            <w:r w:rsidRPr="00A6131C">
              <w:t>log books</w:t>
            </w:r>
          </w:p>
          <w:p w:rsidR="00000000" w:rsidRPr="00A6131C" w:rsidP="00A6131C">
            <w:pPr>
              <w:pStyle w:val="ListBullet"/>
            </w:pPr>
            <w:r w:rsidRPr="00A6131C">
              <w:t>networked security system fault history, trending data and current fault report</w:t>
            </w:r>
          </w:p>
          <w:p w:rsidR="00000000" w:rsidRPr="00A6131C" w:rsidP="00A6131C">
            <w:pPr>
              <w:pStyle w:val="ListBullet"/>
            </w:pPr>
            <w:r w:rsidRPr="00A6131C">
              <w:t>software programme</w:t>
            </w:r>
          </w:p>
          <w:p w:rsidR="00000000" w:rsidRPr="00A6131C" w:rsidP="00A6131C">
            <w:pPr>
              <w:pStyle w:val="ListBullet"/>
            </w:pPr>
            <w:r w:rsidRPr="00A6131C">
              <w:t>specification schedules</w:t>
            </w:r>
          </w:p>
          <w:p w:rsidR="00000000" w:rsidRPr="00A6131C" w:rsidP="00A6131C">
            <w:pPr>
              <w:pStyle w:val="ListBullet"/>
            </w:pPr>
            <w:r w:rsidRPr="00A6131C">
              <w:t>system configuration diagrams and site installation records</w:t>
            </w:r>
          </w:p>
          <w:p w:rsidR="00000000" w:rsidP="00A6131C">
            <w:pPr>
              <w:pStyle w:val="ListBullet"/>
              <w:rPr>
                <w:lang w:val="en-NZ"/>
              </w:rPr>
            </w:pPr>
            <w:r w:rsidRPr="00A6131C">
              <w:t>test data.</w:t>
            </w:r>
          </w:p>
        </w:tc>
      </w:tr>
      <w:tr w:rsidTr="00067AC0">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BoldandItalics"/>
              </w:rPr>
              <w:t>Relevant persons</w:t>
            </w:r>
            <w:r w:rsidRPr="00A6131C">
              <w:t xml:space="preserve"> </w:t>
            </w:r>
            <w:r w:rsidRPr="00A6131C">
              <w:rPr>
                <w:rStyle w:val="SpecialBold"/>
              </w:rPr>
              <w:t>may include</w:t>
            </w:r>
            <w:r w:rsidRPr="00A6131C">
              <w:t xml:space="preserve">: </w:t>
            </w:r>
          </w:p>
        </w:tc>
        <w:tc>
          <w:tcPr>
            <w:tcW w:w="5945" w:type="dxa"/>
            <w:tcBorders>
              <w:top w:val="nil"/>
              <w:left w:val="nil"/>
              <w:bottom w:val="nil"/>
              <w:right w:val="nil"/>
            </w:tcBorders>
            <w:tcMar>
              <w:top w:w="0" w:type="dxa"/>
              <w:left w:w="62" w:type="dxa"/>
              <w:bottom w:w="0" w:type="dxa"/>
              <w:right w:w="62" w:type="dxa"/>
            </w:tcMar>
          </w:tcPr>
          <w:p w:rsidR="00000000" w:rsidRPr="00A6131C" w:rsidP="00A6131C">
            <w:pPr>
              <w:pStyle w:val="ListBullet"/>
            </w:pPr>
            <w:r w:rsidRPr="00A6131C">
              <w:t>client</w:t>
            </w:r>
          </w:p>
          <w:p w:rsidR="00000000" w:rsidRPr="00A6131C" w:rsidP="00A6131C">
            <w:pPr>
              <w:pStyle w:val="ListBullet"/>
            </w:pPr>
            <w:r w:rsidRPr="00A6131C">
              <w:t>equipment and system manufacturers</w:t>
            </w:r>
          </w:p>
          <w:p w:rsidR="00000000" w:rsidRPr="00A6131C" w:rsidP="00A6131C">
            <w:pPr>
              <w:pStyle w:val="ListBullet"/>
            </w:pPr>
            <w:r w:rsidRPr="00A6131C">
              <w:t>other professional or technical staff</w:t>
            </w:r>
          </w:p>
          <w:p w:rsidR="00000000" w:rsidRPr="00A6131C" w:rsidP="00A6131C">
            <w:pPr>
              <w:pStyle w:val="ListBullet"/>
            </w:pPr>
            <w:r w:rsidRPr="00A6131C">
              <w:t>security consultants</w:t>
            </w:r>
          </w:p>
          <w:p w:rsidR="00000000" w:rsidRPr="00A6131C" w:rsidP="00A6131C">
            <w:pPr>
              <w:pStyle w:val="ListBullet"/>
            </w:pPr>
            <w:r w:rsidRPr="00A6131C">
              <w:t>security personnel</w:t>
            </w:r>
          </w:p>
          <w:p w:rsidR="00000000" w:rsidP="00A6131C">
            <w:pPr>
              <w:pStyle w:val="ListBullet"/>
              <w:rPr>
                <w:lang w:val="en-NZ"/>
              </w:rPr>
            </w:pPr>
            <w:r w:rsidRPr="00A6131C">
              <w:t>supervisor.</w:t>
            </w:r>
          </w:p>
        </w:tc>
      </w:tr>
      <w:tr w:rsidTr="00067AC0">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BoldandItalics"/>
              </w:rPr>
              <w:t>Tools</w:t>
            </w:r>
            <w:r w:rsidRPr="00A6131C">
              <w:t xml:space="preserve">, </w:t>
            </w:r>
            <w:r w:rsidRPr="00A6131C">
              <w:rPr>
                <w:rStyle w:val="BoldandItalics"/>
              </w:rPr>
              <w:t>equipment and testing devices</w:t>
            </w:r>
            <w:r w:rsidRPr="00A6131C">
              <w:t xml:space="preserve"> </w:t>
            </w:r>
            <w:r w:rsidRPr="00A6131C">
              <w:rPr>
                <w:rStyle w:val="SpecialBold"/>
              </w:rPr>
              <w:t>may include</w:t>
            </w:r>
            <w:r w:rsidRPr="00A6131C">
              <w:t>:</w:t>
            </w:r>
          </w:p>
        </w:tc>
        <w:tc>
          <w:tcPr>
            <w:tcW w:w="5945" w:type="dxa"/>
            <w:tcBorders>
              <w:top w:val="nil"/>
              <w:left w:val="nil"/>
              <w:bottom w:val="nil"/>
              <w:right w:val="nil"/>
            </w:tcBorders>
            <w:tcMar>
              <w:top w:w="0" w:type="dxa"/>
              <w:left w:w="62" w:type="dxa"/>
              <w:bottom w:w="0" w:type="dxa"/>
              <w:right w:w="62" w:type="dxa"/>
            </w:tcMar>
          </w:tcPr>
          <w:p w:rsidR="00000000" w:rsidRPr="00A6131C" w:rsidP="00A6131C">
            <w:pPr>
              <w:pStyle w:val="ListBullet"/>
            </w:pPr>
            <w:r w:rsidRPr="00A6131C">
              <w:t>back-up disks</w:t>
            </w:r>
          </w:p>
          <w:p w:rsidR="00000000" w:rsidRPr="00A6131C" w:rsidP="00A6131C">
            <w:pPr>
              <w:pStyle w:val="ListBullet"/>
            </w:pPr>
            <w:r w:rsidRPr="00A6131C">
              <w:t>communications equipment</w:t>
            </w:r>
          </w:p>
          <w:p w:rsidR="00000000" w:rsidRPr="00A6131C" w:rsidP="00A6131C">
            <w:pPr>
              <w:pStyle w:val="ListBullet"/>
            </w:pPr>
            <w:r w:rsidRPr="00A6131C">
              <w:t>computer</w:t>
            </w:r>
          </w:p>
          <w:p w:rsidR="00000000" w:rsidRPr="00A6131C" w:rsidP="00A6131C">
            <w:pPr>
              <w:pStyle w:val="ListBullet"/>
            </w:pPr>
            <w:r w:rsidRPr="00A6131C">
              <w:t>hand tools</w:t>
            </w:r>
          </w:p>
          <w:p w:rsidR="00000000" w:rsidRPr="00A6131C" w:rsidP="00A6131C">
            <w:pPr>
              <w:pStyle w:val="ListBullet"/>
            </w:pPr>
            <w:r w:rsidRPr="00A6131C">
              <w:t>personal protective equipment</w:t>
            </w:r>
          </w:p>
          <w:p w:rsidR="00000000" w:rsidRPr="00A6131C" w:rsidP="00A6131C">
            <w:pPr>
              <w:pStyle w:val="ListBullet"/>
            </w:pPr>
            <w:r w:rsidRPr="00A6131C">
              <w:t>software</w:t>
            </w:r>
          </w:p>
          <w:p w:rsidR="00000000" w:rsidP="00A6131C">
            <w:pPr>
              <w:pStyle w:val="ListBullet"/>
              <w:rPr>
                <w:lang w:val="en-NZ"/>
              </w:rPr>
            </w:pPr>
            <w:r w:rsidRPr="00A6131C">
              <w:t>test equipment (multimeter).</w:t>
            </w:r>
          </w:p>
        </w:tc>
      </w:tr>
      <w:tr w:rsidTr="00067AC0">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BoldandItalics"/>
              </w:rPr>
              <w:t>Site access and specific site requirements</w:t>
            </w:r>
            <w:r w:rsidRPr="00A6131C">
              <w:t xml:space="preserve"> </w:t>
            </w:r>
            <w:r w:rsidRPr="00A6131C">
              <w:rPr>
                <w:rStyle w:val="SpecialBold"/>
              </w:rPr>
              <w:t>may include</w:t>
            </w:r>
            <w:r w:rsidRPr="00A6131C">
              <w:t>:</w:t>
            </w:r>
          </w:p>
        </w:tc>
        <w:tc>
          <w:tcPr>
            <w:tcW w:w="5945" w:type="dxa"/>
            <w:tcBorders>
              <w:top w:val="nil"/>
              <w:left w:val="nil"/>
              <w:bottom w:val="nil"/>
              <w:right w:val="nil"/>
            </w:tcBorders>
            <w:tcMar>
              <w:top w:w="0" w:type="dxa"/>
              <w:left w:w="62" w:type="dxa"/>
              <w:bottom w:w="0" w:type="dxa"/>
              <w:right w:w="62" w:type="dxa"/>
            </w:tcMar>
          </w:tcPr>
          <w:p w:rsidR="00000000" w:rsidRPr="00A6131C" w:rsidP="00A6131C">
            <w:pPr>
              <w:pStyle w:val="ListBullet"/>
            </w:pPr>
            <w:r w:rsidRPr="00A6131C">
              <w:t>access and egress points, t</w:t>
            </w:r>
            <w:r w:rsidRPr="00A6131C">
              <w:t>ime of access</w:t>
            </w:r>
          </w:p>
          <w:p w:rsidR="00000000" w:rsidRPr="00A6131C" w:rsidP="00A6131C">
            <w:pPr>
              <w:pStyle w:val="ListBullet"/>
            </w:pPr>
            <w:r w:rsidRPr="00A6131C">
              <w:t>access codes, keys, passes, security clearances</w:t>
            </w:r>
          </w:p>
          <w:p w:rsidR="00000000" w:rsidRPr="00A6131C" w:rsidP="00A6131C">
            <w:pPr>
              <w:pStyle w:val="ListBullet"/>
            </w:pPr>
            <w:r w:rsidRPr="00A6131C">
              <w:t>building codes and regulations</w:t>
            </w:r>
          </w:p>
          <w:p w:rsidR="00000000" w:rsidRPr="00A6131C" w:rsidP="00A6131C">
            <w:pPr>
              <w:pStyle w:val="ListBullet"/>
            </w:pPr>
            <w:r w:rsidRPr="00A6131C">
              <w:t>heritage listings</w:t>
            </w:r>
          </w:p>
          <w:p w:rsidR="00000000" w:rsidRPr="00A6131C" w:rsidP="00A6131C">
            <w:pPr>
              <w:pStyle w:val="ListBullet"/>
            </w:pPr>
            <w:r w:rsidRPr="00A6131C">
              <w:t>noise control</w:t>
            </w:r>
          </w:p>
          <w:p w:rsidR="00000000" w:rsidRPr="00A6131C" w:rsidP="00A6131C">
            <w:pPr>
              <w:pStyle w:val="ListBullet"/>
            </w:pPr>
            <w:r w:rsidRPr="00A6131C">
              <w:t>OHS requirements</w:t>
            </w:r>
          </w:p>
          <w:p w:rsidR="00000000" w:rsidP="00A6131C">
            <w:pPr>
              <w:pStyle w:val="ListBullet"/>
              <w:rPr>
                <w:lang w:val="en-NZ"/>
              </w:rPr>
            </w:pPr>
            <w:r w:rsidRPr="00A6131C">
              <w:t>union requirements.</w:t>
            </w:r>
          </w:p>
        </w:tc>
      </w:tr>
      <w:tr w:rsidTr="00067AC0">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BoldandItalics"/>
              </w:rPr>
              <w:t>Risk</w:t>
            </w:r>
            <w:r w:rsidRPr="00A6131C">
              <w:t xml:space="preserve"> </w:t>
            </w:r>
            <w:r w:rsidRPr="00A6131C">
              <w:rPr>
                <w:rStyle w:val="SpecialBold"/>
              </w:rPr>
              <w:t>relates to</w:t>
            </w:r>
            <w:r w:rsidRPr="00A6131C">
              <w:t>:</w:t>
            </w:r>
          </w:p>
        </w:tc>
        <w:tc>
          <w:tcPr>
            <w:tcW w:w="5945" w:type="dxa"/>
            <w:tcBorders>
              <w:top w:val="nil"/>
              <w:left w:val="nil"/>
              <w:bottom w:val="nil"/>
              <w:right w:val="nil"/>
            </w:tcBorders>
            <w:tcMar>
              <w:top w:w="0" w:type="dxa"/>
              <w:left w:w="62" w:type="dxa"/>
              <w:bottom w:w="0" w:type="dxa"/>
              <w:right w:w="62" w:type="dxa"/>
            </w:tcMar>
          </w:tcPr>
          <w:p w:rsidR="00000000" w:rsidP="00A6131C">
            <w:pPr>
              <w:pStyle w:val="ListBullet"/>
              <w:rPr>
                <w:lang w:val="en-NZ"/>
              </w:rPr>
            </w:pPr>
            <w:r w:rsidRPr="00A6131C">
              <w:t>the chance of something happening that will have an impact on objectives.</w:t>
            </w:r>
          </w:p>
        </w:tc>
      </w:tr>
      <w:tr w:rsidTr="00067AC0">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BoldandItalics"/>
              </w:rPr>
              <w:t>Systematic fault</w:t>
            </w:r>
            <w:r w:rsidRPr="00A6131C">
              <w:t>-</w:t>
            </w:r>
            <w:r w:rsidRPr="00A6131C">
              <w:rPr>
                <w:rStyle w:val="BoldandItalics"/>
              </w:rPr>
              <w:t>finding</w:t>
            </w:r>
            <w:r w:rsidRPr="00A6131C">
              <w:t xml:space="preserve"> </w:t>
            </w:r>
            <w:r w:rsidRPr="00A6131C">
              <w:rPr>
                <w:rStyle w:val="SpecialBold"/>
              </w:rPr>
              <w:t>may involve</w:t>
            </w:r>
            <w:r w:rsidRPr="00A6131C">
              <w:t xml:space="preserve">: </w:t>
            </w:r>
          </w:p>
        </w:tc>
        <w:tc>
          <w:tcPr>
            <w:tcW w:w="5945" w:type="dxa"/>
            <w:tcBorders>
              <w:top w:val="nil"/>
              <w:left w:val="nil"/>
              <w:bottom w:val="nil"/>
              <w:right w:val="nil"/>
            </w:tcBorders>
            <w:tcMar>
              <w:top w:w="0" w:type="dxa"/>
              <w:left w:w="62" w:type="dxa"/>
              <w:bottom w:w="0" w:type="dxa"/>
              <w:right w:w="62" w:type="dxa"/>
            </w:tcMar>
          </w:tcPr>
          <w:p w:rsidR="00000000" w:rsidRPr="00A6131C" w:rsidP="00A6131C">
            <w:pPr>
              <w:pStyle w:val="ListBullet"/>
            </w:pPr>
            <w:r w:rsidRPr="00A6131C">
              <w:t>identifies fault in shortest time possible</w:t>
            </w:r>
          </w:p>
          <w:p w:rsidR="00000000" w:rsidRPr="00A6131C" w:rsidP="00A6131C">
            <w:pPr>
              <w:pStyle w:val="ListBullet"/>
            </w:pPr>
            <w:r w:rsidRPr="00A6131C">
              <w:t>progressively isolating fault</w:t>
            </w:r>
          </w:p>
          <w:p w:rsidR="00000000" w:rsidRPr="00A6131C" w:rsidP="00A6131C">
            <w:pPr>
              <w:pStyle w:val="ListBullet"/>
            </w:pPr>
            <w:r w:rsidRPr="00A6131C">
              <w:t>reviews all available information</w:t>
            </w:r>
          </w:p>
          <w:p w:rsidR="00000000" w:rsidRPr="00A6131C" w:rsidP="00A6131C">
            <w:pPr>
              <w:pStyle w:val="ListBullet"/>
            </w:pPr>
            <w:r w:rsidRPr="00A6131C">
              <w:t>using a methodical approach</w:t>
            </w:r>
          </w:p>
          <w:p w:rsidR="00000000" w:rsidP="00A6131C">
            <w:pPr>
              <w:pStyle w:val="ListBullet"/>
              <w:rPr>
                <w:lang w:val="en-NZ"/>
              </w:rPr>
            </w:pPr>
            <w:r w:rsidRPr="00A6131C">
              <w:t>verifies continued existence of problem.</w:t>
            </w:r>
          </w:p>
        </w:tc>
      </w:tr>
      <w:tr w:rsidTr="00067AC0">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SpecialBold"/>
              </w:rPr>
              <w:t>Fault-finding</w:t>
            </w:r>
            <w:r w:rsidRPr="00A6131C">
              <w:t xml:space="preserve"> </w:t>
            </w:r>
            <w:r w:rsidRPr="00A6131C">
              <w:rPr>
                <w:rStyle w:val="BoldandItalics"/>
              </w:rPr>
              <w:t>methods</w:t>
            </w:r>
            <w:r w:rsidRPr="00A6131C">
              <w:t xml:space="preserve"> </w:t>
            </w:r>
            <w:r w:rsidRPr="00A6131C">
              <w:rPr>
                <w:rStyle w:val="SpecialBold"/>
              </w:rPr>
              <w:t>may include</w:t>
            </w:r>
            <w:r w:rsidRPr="00A6131C">
              <w:t xml:space="preserve">: </w:t>
            </w:r>
          </w:p>
        </w:tc>
        <w:tc>
          <w:tcPr>
            <w:tcW w:w="5945" w:type="dxa"/>
            <w:tcBorders>
              <w:top w:val="nil"/>
              <w:left w:val="nil"/>
              <w:bottom w:val="nil"/>
              <w:right w:val="nil"/>
            </w:tcBorders>
            <w:tcMar>
              <w:top w:w="0" w:type="dxa"/>
              <w:left w:w="62" w:type="dxa"/>
              <w:bottom w:w="0" w:type="dxa"/>
              <w:right w:w="62" w:type="dxa"/>
            </w:tcMar>
          </w:tcPr>
          <w:p w:rsidR="00000000" w:rsidRPr="00A6131C" w:rsidP="00A6131C">
            <w:pPr>
              <w:pStyle w:val="ListBullet"/>
            </w:pPr>
            <w:r w:rsidRPr="00A6131C">
              <w:t>equipment program</w:t>
            </w:r>
          </w:p>
          <w:p w:rsidR="00000000" w:rsidRPr="00A6131C" w:rsidP="00A6131C">
            <w:pPr>
              <w:pStyle w:val="ListBullet"/>
            </w:pPr>
            <w:r w:rsidRPr="00A6131C">
              <w:t>functionality tests</w:t>
            </w:r>
          </w:p>
          <w:p w:rsidR="00000000" w:rsidP="00A6131C">
            <w:pPr>
              <w:pStyle w:val="ListBullet"/>
              <w:rPr>
                <w:lang w:val="en-NZ"/>
              </w:rPr>
            </w:pPr>
            <w:r w:rsidRPr="00A6131C">
              <w:t>visual inspections.</w:t>
            </w:r>
          </w:p>
        </w:tc>
      </w:tr>
      <w:tr w:rsidTr="00067AC0">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BoldandItalics"/>
              </w:rPr>
              <w:t>Diagnoses</w:t>
            </w:r>
            <w:r w:rsidRPr="00A6131C">
              <w:t xml:space="preserve"> </w:t>
            </w:r>
            <w:r w:rsidRPr="00A6131C">
              <w:rPr>
                <w:rStyle w:val="SpecialBold"/>
              </w:rPr>
              <w:t>may identify faults or deficiencies in</w:t>
            </w:r>
            <w:r w:rsidRPr="00A6131C">
              <w:t xml:space="preserve">: </w:t>
            </w:r>
          </w:p>
        </w:tc>
        <w:tc>
          <w:tcPr>
            <w:tcW w:w="5945" w:type="dxa"/>
            <w:tcBorders>
              <w:top w:val="nil"/>
              <w:left w:val="nil"/>
              <w:bottom w:val="nil"/>
              <w:right w:val="nil"/>
            </w:tcBorders>
            <w:tcMar>
              <w:top w:w="0" w:type="dxa"/>
              <w:left w:w="62" w:type="dxa"/>
              <w:bottom w:w="0" w:type="dxa"/>
              <w:right w:w="62" w:type="dxa"/>
            </w:tcMar>
          </w:tcPr>
          <w:p w:rsidR="00000000" w:rsidRPr="00A6131C" w:rsidP="00A6131C">
            <w:pPr>
              <w:pStyle w:val="ListBullet"/>
            </w:pPr>
            <w:r w:rsidRPr="00A6131C">
              <w:t>hardware and software</w:t>
            </w:r>
          </w:p>
          <w:p w:rsidR="00000000" w:rsidRPr="00A6131C" w:rsidP="00A6131C">
            <w:pPr>
              <w:pStyle w:val="ListBullet"/>
            </w:pPr>
            <w:r w:rsidRPr="00A6131C">
              <w:t>input</w:t>
            </w:r>
          </w:p>
          <w:p w:rsidR="00000000" w:rsidRPr="00A6131C" w:rsidP="00A6131C">
            <w:pPr>
              <w:pStyle w:val="ListBullet"/>
            </w:pPr>
            <w:r w:rsidRPr="00A6131C">
              <w:t xml:space="preserve">output </w:t>
            </w:r>
          </w:p>
          <w:p w:rsidR="00000000" w:rsidP="00A6131C">
            <w:pPr>
              <w:pStyle w:val="ListBullet"/>
              <w:rPr>
                <w:lang w:val="en-NZ"/>
              </w:rPr>
            </w:pPr>
            <w:r w:rsidRPr="00A6131C">
              <w:t>running.</w:t>
            </w:r>
          </w:p>
        </w:tc>
      </w:tr>
      <w:tr w:rsidTr="00067AC0">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BoldandItalics"/>
              </w:rPr>
              <w:t>Documentation</w:t>
            </w:r>
            <w:r w:rsidRPr="00A6131C">
              <w:t xml:space="preserve"> </w:t>
            </w:r>
            <w:r w:rsidRPr="00A6131C">
              <w:rPr>
                <w:rStyle w:val="SpecialBold"/>
              </w:rPr>
              <w:t>may detail</w:t>
            </w:r>
            <w:r w:rsidRPr="00A6131C">
              <w:t xml:space="preserve">: </w:t>
            </w:r>
          </w:p>
        </w:tc>
        <w:tc>
          <w:tcPr>
            <w:tcW w:w="5945" w:type="dxa"/>
            <w:tcBorders>
              <w:top w:val="nil"/>
              <w:left w:val="nil"/>
              <w:bottom w:val="nil"/>
              <w:right w:val="nil"/>
            </w:tcBorders>
            <w:tcMar>
              <w:top w:w="0" w:type="dxa"/>
              <w:left w:w="62" w:type="dxa"/>
              <w:bottom w:w="0" w:type="dxa"/>
              <w:right w:w="62" w:type="dxa"/>
            </w:tcMar>
          </w:tcPr>
          <w:p w:rsidR="00000000" w:rsidRPr="00A6131C" w:rsidP="00A6131C">
            <w:pPr>
              <w:pStyle w:val="ListBullet"/>
            </w:pPr>
            <w:r w:rsidRPr="00A6131C">
              <w:t>adjustments and modifications undertaken</w:t>
            </w:r>
          </w:p>
          <w:p w:rsidR="00000000" w:rsidRPr="00A6131C" w:rsidP="00A6131C">
            <w:pPr>
              <w:pStyle w:val="ListBullet"/>
            </w:pPr>
            <w:r w:rsidRPr="00A6131C">
              <w:t>completion of work log</w:t>
            </w:r>
          </w:p>
          <w:p w:rsidR="00000000" w:rsidRPr="00A6131C" w:rsidP="00A6131C">
            <w:pPr>
              <w:pStyle w:val="ListBullet"/>
            </w:pPr>
            <w:r w:rsidRPr="00A6131C">
              <w:t>costings</w:t>
            </w:r>
          </w:p>
          <w:p w:rsidR="00000000" w:rsidRPr="00A6131C" w:rsidP="00A6131C">
            <w:pPr>
              <w:pStyle w:val="ListBullet"/>
            </w:pPr>
            <w:r w:rsidRPr="00A6131C">
              <w:t>equipment, software and hardware faults and diagnoses</w:t>
            </w:r>
          </w:p>
          <w:p w:rsidR="00000000" w:rsidRPr="00A6131C" w:rsidP="00A6131C">
            <w:pPr>
              <w:pStyle w:val="ListBullet"/>
            </w:pPr>
            <w:r w:rsidRPr="00A6131C">
              <w:t>materials used</w:t>
            </w:r>
          </w:p>
          <w:p w:rsidR="00000000" w:rsidRPr="00A6131C" w:rsidP="00A6131C">
            <w:pPr>
              <w:pStyle w:val="ListBullet"/>
            </w:pPr>
            <w:r w:rsidRPr="00A6131C">
              <w:t>recommended repairs or disposal of equipment</w:t>
            </w:r>
          </w:p>
          <w:p w:rsidR="00000000" w:rsidRPr="00A6131C" w:rsidP="00A6131C">
            <w:pPr>
              <w:pStyle w:val="ListBullet"/>
            </w:pPr>
            <w:r w:rsidRPr="00A6131C">
              <w:t>testing and inspection results</w:t>
            </w:r>
          </w:p>
          <w:p w:rsidR="00000000" w:rsidRPr="00A6131C" w:rsidP="00A6131C">
            <w:pPr>
              <w:pStyle w:val="ListBullet"/>
            </w:pPr>
            <w:r w:rsidRPr="00A6131C">
              <w:t>warranty conditions and allowances.</w:t>
            </w:r>
          </w:p>
        </w:tc>
      </w:tr>
    </w:tbl>
    <w:p w:rsidR="00067AC0" w:rsidP="00A6131C">
      <w:pPr>
        <w:pStyle w:val="BodyText"/>
      </w:pPr>
    </w:p>
    <w:p w:rsidR="00067AC0" w:rsidP="00A6131C">
      <w:pPr>
        <w:pStyle w:val="BodyText"/>
      </w:pPr>
    </w:p>
    <w:p w:rsidR="00000000" w:rsidRPr="00A6131C" w:rsidP="00A6131C">
      <w:pPr>
        <w:pStyle w:val="Heading1"/>
      </w:pPr>
      <w:bookmarkStart w:id="12" w:name="O_202129"/>
      <w:bookmarkEnd w:id="12"/>
      <w:r w:rsidRPr="00A6131C">
        <w:t>Unit Sector(s)</w:t>
      </w:r>
    </w:p>
    <w:tbl>
      <w:tblPr>
        <w:tblW w:w="0" w:type="auto"/>
        <w:tblLayout w:type="fixed"/>
        <w:tblCellMar>
          <w:left w:w="62" w:type="dxa"/>
          <w:right w:w="62" w:type="dxa"/>
        </w:tblCellMar>
        <w:tblLook w:val="0000"/>
      </w:tblPr>
      <w:tblGrid>
        <w:gridCol w:w="2391"/>
        <w:gridCol w:w="6131"/>
      </w:tblGrid>
      <w:tr w:rsidTr="00067AC0">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A6131C" w:rsidP="00A6131C">
            <w:pPr>
              <w:pStyle w:val="BodyText"/>
            </w:pPr>
            <w:r w:rsidRPr="00A6131C">
              <w:t>Security</w:t>
            </w:r>
          </w:p>
        </w:tc>
      </w:tr>
    </w:tbl>
    <w:p w:rsidR="00067AC0" w:rsidP="00A6131C">
      <w:pPr>
        <w:pStyle w:val="BodyText"/>
      </w:pPr>
    </w:p>
    <w:p w:rsidR="00067AC0" w:rsidP="00A6131C">
      <w:pPr>
        <w:pStyle w:val="BodyText"/>
      </w:pPr>
    </w:p>
    <w:p w:rsidR="00000000" w:rsidRPr="00A6131C" w:rsidP="00A6131C">
      <w:pPr>
        <w:pStyle w:val="Heading1"/>
      </w:pPr>
      <w:bookmarkStart w:id="13" w:name="O_202128"/>
      <w:bookmarkEnd w:id="13"/>
      <w:r w:rsidRPr="00A6131C">
        <w:t>Competency field</w:t>
      </w:r>
    </w:p>
    <w:tbl>
      <w:tblPr>
        <w:tblW w:w="0" w:type="auto"/>
        <w:tblLayout w:type="fixed"/>
        <w:tblCellMar>
          <w:left w:w="62" w:type="dxa"/>
          <w:right w:w="62" w:type="dxa"/>
        </w:tblCellMar>
        <w:tblLook w:val="0000"/>
      </w:tblPr>
      <w:tblGrid>
        <w:gridCol w:w="2450"/>
        <w:gridCol w:w="6072"/>
      </w:tblGrid>
      <w:tr w:rsidTr="00067AC0">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A6131C">
            <w:pPr>
              <w:pStyle w:val="BodyText"/>
              <w:rPr>
                <w:lang w:val="en-NZ"/>
              </w:rPr>
            </w:pPr>
            <w:r w:rsidRPr="00A6131C">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A6131C" w:rsidP="00A6131C">
            <w:pPr>
              <w:pStyle w:val="BodyText"/>
            </w:pPr>
            <w:r w:rsidRPr="00A6131C">
              <w:t>Security and risk management</w:t>
            </w:r>
          </w:p>
        </w:tc>
      </w:tr>
    </w:tbl>
    <w:p w:rsidR="00067AC0" w:rsidP="00A6131C">
      <w:pPr>
        <w:pStyle w:val="BodyText"/>
      </w:pPr>
    </w:p>
    <w:p w:rsidR="00067AC0" w:rsidP="00A6131C">
      <w:pPr>
        <w:pStyle w:val="BodyText"/>
      </w:pPr>
    </w:p>
    <w:p w:rsidR="00000000" w:rsidRPr="00A6131C" w:rsidP="00A6131C"/>
    <w:sectPr w:rsidSect="00A613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3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7AC0" w:rsidP="00067A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3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AC0" w:rsidP="00A613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67AC0" w:rsidP="00A613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67AC0" w:rsidP="00A613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3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7AC0" w:rsidP="00067A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3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AC0" w:rsidP="00A6131C">
    <w:pPr>
      <w:pStyle w:val="Header"/>
      <w:framePr w:wrap="around"/>
    </w:pPr>
    <w:r>
      <w:fldChar w:fldCharType="begin"/>
    </w:r>
    <w:r>
      <w:instrText xml:space="preserve"> TITLE   \* MERGEFORMAT </w:instrText>
    </w:r>
    <w:r>
      <w:fldChar w:fldCharType="separate"/>
    </w:r>
    <w:r>
      <w:t>CPPSEC4019A Identify and diagnose security system or network fault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67AC0" w:rsidP="00A613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7AC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6CFF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BC3E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3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131C"/>
    <w:pPr>
      <w:spacing w:before="360" w:after="60"/>
      <w:outlineLvl w:val="0"/>
    </w:pPr>
    <w:rPr>
      <w:sz w:val="32"/>
    </w:rPr>
  </w:style>
  <w:style w:type="paragraph" w:styleId="Heading2">
    <w:name w:val="heading 2"/>
    <w:basedOn w:val="HeadingBase"/>
    <w:next w:val="BodyText"/>
    <w:link w:val="Heading2Char"/>
    <w:qFormat/>
    <w:rsid w:val="00A6131C"/>
    <w:pPr>
      <w:keepLines/>
      <w:spacing w:before="240" w:after="120"/>
      <w:outlineLvl w:val="1"/>
    </w:pPr>
    <w:rPr>
      <w:sz w:val="28"/>
      <w:szCs w:val="40"/>
    </w:rPr>
  </w:style>
  <w:style w:type="paragraph" w:styleId="Heading3">
    <w:name w:val="heading 3"/>
    <w:basedOn w:val="HeadingBase"/>
    <w:next w:val="BodyText"/>
    <w:link w:val="Heading3Char"/>
    <w:qFormat/>
    <w:rsid w:val="00A6131C"/>
    <w:pPr>
      <w:spacing w:before="180" w:after="120"/>
      <w:outlineLvl w:val="2"/>
    </w:pPr>
    <w:rPr>
      <w:spacing w:val="-10"/>
      <w:kern w:val="32"/>
    </w:rPr>
  </w:style>
  <w:style w:type="paragraph" w:styleId="Heading4">
    <w:name w:val="heading 4"/>
    <w:basedOn w:val="HeadingBase"/>
    <w:next w:val="BodyText"/>
    <w:link w:val="Heading4Char"/>
    <w:qFormat/>
    <w:rsid w:val="00A6131C"/>
    <w:pPr>
      <w:spacing w:before="160" w:after="120"/>
      <w:outlineLvl w:val="3"/>
    </w:pPr>
    <w:rPr>
      <w:sz w:val="22"/>
    </w:rPr>
  </w:style>
  <w:style w:type="paragraph" w:styleId="Heading5">
    <w:name w:val="heading 5"/>
    <w:basedOn w:val="HeadingBase"/>
    <w:next w:val="Normal"/>
    <w:link w:val="Heading5Char"/>
    <w:qFormat/>
    <w:rsid w:val="00A6131C"/>
    <w:pPr>
      <w:spacing w:before="80"/>
      <w:outlineLvl w:val="4"/>
    </w:pPr>
    <w:rPr>
      <w:color w:val="918585"/>
      <w:sz w:val="20"/>
    </w:rPr>
  </w:style>
  <w:style w:type="paragraph" w:styleId="Heading6">
    <w:name w:val="heading 6"/>
    <w:basedOn w:val="HeadingBase"/>
    <w:next w:val="Normal"/>
    <w:link w:val="Heading6Char"/>
    <w:qFormat/>
    <w:rsid w:val="00A6131C"/>
    <w:pPr>
      <w:spacing w:before="60"/>
      <w:outlineLvl w:val="5"/>
    </w:pPr>
    <w:rPr>
      <w:color w:val="918585"/>
      <w:sz w:val="20"/>
    </w:rPr>
  </w:style>
  <w:style w:type="paragraph" w:styleId="Heading7">
    <w:name w:val="heading 7"/>
    <w:basedOn w:val="Normal"/>
    <w:next w:val="Normal"/>
    <w:link w:val="Heading7Char"/>
    <w:qFormat/>
    <w:rsid w:val="00A6131C"/>
    <w:pPr>
      <w:ind w:left="720"/>
      <w:outlineLvl w:val="6"/>
    </w:pPr>
    <w:rPr>
      <w:i/>
    </w:rPr>
  </w:style>
  <w:style w:type="paragraph" w:styleId="Heading8">
    <w:name w:val="heading 8"/>
    <w:basedOn w:val="Normal"/>
    <w:next w:val="Normal"/>
    <w:link w:val="Heading8Char"/>
    <w:qFormat/>
    <w:rsid w:val="00A6131C"/>
    <w:pPr>
      <w:ind w:left="720"/>
      <w:outlineLvl w:val="7"/>
    </w:pPr>
    <w:rPr>
      <w:i/>
    </w:rPr>
  </w:style>
  <w:style w:type="paragraph" w:styleId="Heading9">
    <w:name w:val="heading 9"/>
    <w:basedOn w:val="Normal"/>
    <w:next w:val="Normal"/>
    <w:link w:val="Heading9Char"/>
    <w:qFormat/>
    <w:rsid w:val="00A6131C"/>
    <w:pPr>
      <w:ind w:left="720"/>
      <w:outlineLvl w:val="8"/>
    </w:pPr>
    <w:rPr>
      <w:i/>
    </w:rPr>
  </w:style>
  <w:style w:type="character" w:default="1" w:styleId="DefaultParagraphFont">
    <w:name w:val="Default Paragraph Font"/>
    <w:uiPriority w:val="1"/>
    <w:unhideWhenUsed/>
    <w:rsid w:val="00A613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31C"/>
  </w:style>
  <w:style w:type="character" w:customStyle="1" w:styleId="Heading1Char">
    <w:name w:val="Heading 1 Char"/>
    <w:basedOn w:val="DefaultParagraphFont"/>
    <w:link w:val="Heading1"/>
    <w:rsid w:val="00A6131C"/>
    <w:rPr>
      <w:rFonts w:ascii="Times New Roman" w:eastAsia="Times New Roman" w:hAnsi="Times New Roman" w:cs="Times New Roman"/>
      <w:b/>
      <w:sz w:val="32"/>
      <w:szCs w:val="20"/>
      <w:lang w:eastAsia="en-US"/>
    </w:rPr>
  </w:style>
  <w:style w:type="paragraph" w:styleId="BodyText">
    <w:name w:val="Body Text"/>
    <w:basedOn w:val="Normal"/>
    <w:link w:val="BodyTextChar"/>
    <w:rsid w:val="00A613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131C"/>
    <w:rPr>
      <w:rFonts w:ascii="Times New Roman" w:eastAsia="Times New Roman" w:hAnsi="Times New Roman" w:cs="Times New Roman"/>
      <w:sz w:val="24"/>
      <w:lang w:val="en-US" w:eastAsia="en-US"/>
    </w:rPr>
  </w:style>
  <w:style w:type="paragraph" w:styleId="Footer">
    <w:name w:val="footer"/>
    <w:basedOn w:val="Normal"/>
    <w:link w:val="FooterChar"/>
    <w:rsid w:val="00A613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31C"/>
    <w:rPr>
      <w:rFonts w:ascii="Times New Roman" w:eastAsia="Times New Roman" w:hAnsi="Times New Roman" w:cs="Times New Roman"/>
      <w:sz w:val="16"/>
      <w:lang w:val="en-US" w:eastAsia="en-US"/>
    </w:rPr>
  </w:style>
  <w:style w:type="paragraph" w:styleId="List">
    <w:name w:val="List"/>
    <w:basedOn w:val="BodyText"/>
    <w:next w:val="BodyText"/>
    <w:rsid w:val="00A6131C"/>
    <w:pPr>
      <w:tabs>
        <w:tab w:val="left" w:pos="340"/>
      </w:tabs>
      <w:spacing w:before="60" w:after="60"/>
      <w:ind w:left="340" w:hanging="340"/>
    </w:pPr>
  </w:style>
  <w:style w:type="paragraph" w:styleId="ListBullet">
    <w:name w:val="List Bullet"/>
    <w:basedOn w:val="List"/>
    <w:rsid w:val="00A6131C"/>
    <w:pPr>
      <w:numPr>
        <w:numId w:val="13"/>
      </w:numPr>
      <w:tabs>
        <w:tab w:val="clear" w:pos="340"/>
      </w:tabs>
      <w:spacing w:before="40" w:after="40"/>
    </w:pPr>
  </w:style>
  <w:style w:type="character" w:customStyle="1" w:styleId="SpecialBold">
    <w:name w:val="Special Bold"/>
    <w:basedOn w:val="DefaultParagraphFont"/>
    <w:rsid w:val="00A6131C"/>
    <w:rPr>
      <w:b/>
      <w:spacing w:val="0"/>
    </w:rPr>
  </w:style>
  <w:style w:type="paragraph" w:styleId="ListBullet2">
    <w:name w:val="List Bullet 2"/>
    <w:basedOn w:val="List2"/>
    <w:rsid w:val="00A6131C"/>
    <w:pPr>
      <w:numPr>
        <w:numId w:val="14"/>
      </w:numPr>
      <w:tabs>
        <w:tab w:val="clear" w:pos="680"/>
      </w:tabs>
    </w:pPr>
  </w:style>
  <w:style w:type="paragraph" w:styleId="Header">
    <w:name w:val="header"/>
    <w:basedOn w:val="Normal"/>
    <w:link w:val="HeaderChar"/>
    <w:rsid w:val="00A613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3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131C"/>
    <w:pPr>
      <w:spacing w:before="240" w:after="120"/>
      <w:outlineLvl w:val="0"/>
    </w:pPr>
    <w:rPr>
      <w:rFonts w:ascii="Times New Roman" w:hAnsi="Times New Roman"/>
      <w:b/>
      <w:sz w:val="28"/>
    </w:rPr>
  </w:style>
  <w:style w:type="paragraph" w:customStyle="1" w:styleId="AllowPageBreak">
    <w:name w:val="AllowPageBreak"/>
    <w:rsid w:val="00A613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131C"/>
    <w:rPr>
      <w:b/>
      <w:i/>
      <w:u w:val="none"/>
    </w:rPr>
  </w:style>
  <w:style w:type="character" w:customStyle="1" w:styleId="Heading2Char">
    <w:name w:val="Heading 2 Char"/>
    <w:basedOn w:val="DefaultParagraphFont"/>
    <w:link w:val="Heading2"/>
    <w:rsid w:val="00A613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3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3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3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3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3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13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131C"/>
    <w:rPr>
      <w:rFonts w:ascii="Courier New" w:eastAsia="Times New Roman" w:hAnsi="Courier New" w:cs="Times New Roman"/>
      <w:i/>
      <w:szCs w:val="20"/>
      <w:lang w:val="en-US" w:eastAsia="en-US"/>
    </w:rPr>
  </w:style>
  <w:style w:type="paragraph" w:customStyle="1" w:styleId="HeadingBase">
    <w:name w:val="Heading Base"/>
    <w:rsid w:val="00A613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31C"/>
    <w:pPr>
      <w:tabs>
        <w:tab w:val="right" w:leader="dot" w:pos="9072"/>
      </w:tabs>
      <w:ind w:left="567"/>
    </w:pPr>
    <w:rPr>
      <w:szCs w:val="22"/>
    </w:rPr>
  </w:style>
  <w:style w:type="paragraph" w:customStyle="1" w:styleId="TOCBase">
    <w:name w:val="TOC Base"/>
    <w:rsid w:val="00A613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31C"/>
    <w:pPr>
      <w:tabs>
        <w:tab w:val="right" w:leader="dot" w:pos="9072"/>
      </w:tabs>
      <w:spacing w:before="40" w:after="40"/>
      <w:ind w:left="284"/>
    </w:pPr>
    <w:rPr>
      <w:rFonts w:ascii="Times New Roman" w:hAnsi="Times New Roman"/>
    </w:rPr>
  </w:style>
  <w:style w:type="paragraph" w:styleId="TOC1">
    <w:name w:val="toc 1"/>
    <w:basedOn w:val="TOCBase"/>
    <w:next w:val="Normal"/>
    <w:rsid w:val="00A613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131C"/>
    <w:pPr>
      <w:spacing w:before="5040"/>
      <w:jc w:val="center"/>
    </w:pPr>
    <w:rPr>
      <w:sz w:val="48"/>
      <w:szCs w:val="72"/>
      <w:lang w:val="en-US"/>
    </w:rPr>
  </w:style>
  <w:style w:type="character" w:customStyle="1" w:styleId="TitleChar">
    <w:name w:val="Title Char"/>
    <w:basedOn w:val="DefaultParagraphFont"/>
    <w:link w:val="Title"/>
    <w:rsid w:val="00A613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31C"/>
    <w:pPr>
      <w:tabs>
        <w:tab w:val="left" w:pos="3600"/>
        <w:tab w:val="left" w:pos="3958"/>
      </w:tabs>
    </w:pPr>
  </w:style>
  <w:style w:type="paragraph" w:customStyle="1" w:styleId="Note">
    <w:name w:val="Note"/>
    <w:basedOn w:val="BodyText"/>
    <w:rsid w:val="00A613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31C"/>
    <w:pPr>
      <w:framePr w:wrap="auto" w:hAnchor="text" w:y="6049"/>
    </w:pPr>
    <w:rPr>
      <w:color w:val="000000"/>
      <w:sz w:val="40"/>
    </w:rPr>
  </w:style>
  <w:style w:type="paragraph" w:customStyle="1" w:styleId="TOCTitle">
    <w:name w:val="TOCTitle"/>
    <w:basedOn w:val="Heading1"/>
    <w:rsid w:val="00A6131C"/>
    <w:pPr>
      <w:spacing w:after="240"/>
      <w:jc w:val="center"/>
      <w:outlineLvl w:val="9"/>
    </w:pPr>
    <w:rPr>
      <w:caps/>
    </w:rPr>
  </w:style>
  <w:style w:type="paragraph" w:customStyle="1" w:styleId="Version">
    <w:name w:val="Version"/>
    <w:rsid w:val="00A613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31C"/>
    <w:pPr>
      <w:keepNext w:val="0"/>
      <w:tabs>
        <w:tab w:val="right" w:pos="4176"/>
      </w:tabs>
      <w:ind w:left="198" w:hanging="198"/>
    </w:pPr>
    <w:rPr>
      <w:rFonts w:ascii="Garamond" w:hAnsi="Garamond"/>
    </w:rPr>
  </w:style>
  <w:style w:type="paragraph" w:styleId="IndexHeading">
    <w:name w:val="index heading"/>
    <w:basedOn w:val="Normal"/>
    <w:next w:val="Index1"/>
    <w:semiHidden/>
    <w:rsid w:val="00A6131C"/>
    <w:pPr>
      <w:spacing w:before="120" w:after="120"/>
    </w:pPr>
    <w:rPr>
      <w:rFonts w:ascii="Arial" w:hAnsi="Arial"/>
      <w:b/>
      <w:color w:val="918585"/>
      <w:sz w:val="24"/>
    </w:rPr>
  </w:style>
  <w:style w:type="paragraph" w:customStyle="1" w:styleId="Chapter">
    <w:name w:val="Chapter"/>
    <w:basedOn w:val="Normal"/>
    <w:rsid w:val="00A6131C"/>
    <w:pPr>
      <w:spacing w:before="240"/>
    </w:pPr>
    <w:rPr>
      <w:rFonts w:ascii="Times New Roman" w:hAnsi="Times New Roman"/>
      <w:smallCaps/>
      <w:spacing w:val="80"/>
      <w:sz w:val="28"/>
    </w:rPr>
  </w:style>
  <w:style w:type="paragraph" w:customStyle="1" w:styleId="InChapter">
    <w:name w:val="InChapter"/>
    <w:basedOn w:val="Heading3"/>
    <w:rsid w:val="00A6131C"/>
    <w:pPr>
      <w:spacing w:after="240"/>
      <w:outlineLvl w:val="9"/>
    </w:pPr>
    <w:rPr>
      <w:noProof/>
    </w:rPr>
  </w:style>
  <w:style w:type="paragraph" w:styleId="Index2">
    <w:name w:val="index 2"/>
    <w:basedOn w:val="Normal"/>
    <w:next w:val="Normal"/>
    <w:semiHidden/>
    <w:rsid w:val="00A6131C"/>
    <w:pPr>
      <w:tabs>
        <w:tab w:val="right" w:pos="4176"/>
      </w:tabs>
      <w:ind w:left="568" w:hanging="284"/>
    </w:pPr>
    <w:rPr>
      <w:rFonts w:ascii="Garamond" w:hAnsi="Garamond"/>
    </w:rPr>
  </w:style>
  <w:style w:type="paragraph" w:customStyle="1" w:styleId="Byline">
    <w:name w:val="Byline"/>
    <w:rsid w:val="00A613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31C"/>
    <w:pPr>
      <w:tabs>
        <w:tab w:val="clear" w:pos="3600"/>
        <w:tab w:val="clear" w:pos="3958"/>
      </w:tabs>
      <w:jc w:val="right"/>
    </w:pPr>
  </w:style>
  <w:style w:type="character" w:styleId="Emphasis">
    <w:name w:val="Emphasis"/>
    <w:basedOn w:val="DefaultParagraphFont"/>
    <w:qFormat/>
    <w:rsid w:val="00A6131C"/>
    <w:rPr>
      <w:i/>
    </w:rPr>
  </w:style>
  <w:style w:type="paragraph" w:styleId="Caption">
    <w:name w:val="caption"/>
    <w:basedOn w:val="BodyText"/>
    <w:next w:val="Normal"/>
    <w:qFormat/>
    <w:rsid w:val="00A6131C"/>
    <w:pPr>
      <w:framePr w:w="2268" w:hSpace="181" w:vSpace="181" w:wrap="around" w:vAnchor="text" w:hAnchor="page" w:x="1135" w:y="285" w:anchorLock="1"/>
    </w:pPr>
    <w:rPr>
      <w:i/>
    </w:rPr>
  </w:style>
  <w:style w:type="paragraph" w:customStyle="1" w:styleId="MiniTOCTitle">
    <w:name w:val="MiniTOCTitle"/>
    <w:basedOn w:val="Heading4"/>
    <w:rsid w:val="00A6131C"/>
    <w:pPr>
      <w:spacing w:before="240"/>
      <w:outlineLvl w:val="9"/>
    </w:pPr>
    <w:rPr>
      <w:noProof/>
      <w:sz w:val="24"/>
    </w:rPr>
  </w:style>
  <w:style w:type="paragraph" w:customStyle="1" w:styleId="MiniTOCItem">
    <w:name w:val="MiniTOCItem"/>
    <w:basedOn w:val="ListBullet"/>
    <w:rsid w:val="00A6131C"/>
    <w:pPr>
      <w:numPr>
        <w:numId w:val="0"/>
      </w:numPr>
      <w:tabs>
        <w:tab w:val="right" w:leader="dot" w:pos="6521"/>
      </w:tabs>
      <w:spacing w:before="0" w:after="0"/>
    </w:pPr>
  </w:style>
  <w:style w:type="paragraph" w:customStyle="1" w:styleId="TOFTitle">
    <w:name w:val="TOFTitle"/>
    <w:basedOn w:val="TOCTitle"/>
    <w:rsid w:val="00A6131C"/>
  </w:style>
  <w:style w:type="paragraph" w:styleId="TableofFigures">
    <w:name w:val="table of figures"/>
    <w:basedOn w:val="Normal"/>
    <w:next w:val="Normal"/>
    <w:semiHidden/>
    <w:rsid w:val="00A6131C"/>
    <w:pPr>
      <w:tabs>
        <w:tab w:val="right" w:leader="dot" w:pos="9072"/>
      </w:tabs>
      <w:ind w:left="970" w:hanging="403"/>
    </w:pPr>
    <w:rPr>
      <w:rFonts w:ascii="Times New Roman" w:hAnsi="Times New Roman"/>
      <w:b/>
    </w:rPr>
  </w:style>
  <w:style w:type="paragraph" w:styleId="ListNumber">
    <w:name w:val="List Number"/>
    <w:basedOn w:val="List"/>
    <w:rsid w:val="00A6131C"/>
    <w:pPr>
      <w:numPr>
        <w:numId w:val="11"/>
      </w:numPr>
    </w:pPr>
  </w:style>
  <w:style w:type="character" w:customStyle="1" w:styleId="WingdingSymbols">
    <w:name w:val="Wingding Symbols"/>
    <w:rsid w:val="00A6131C"/>
    <w:rPr>
      <w:rFonts w:ascii="Wingdings" w:hAnsi="Wingdings"/>
    </w:rPr>
  </w:style>
  <w:style w:type="paragraph" w:customStyle="1" w:styleId="TableHeading">
    <w:name w:val="Table Heading"/>
    <w:basedOn w:val="HeadingBase"/>
    <w:rsid w:val="00A6131C"/>
    <w:pPr>
      <w:keepLines/>
      <w:pBdr>
        <w:bottom w:val="single" w:sz="6" w:space="1" w:color="918585"/>
      </w:pBdr>
      <w:spacing w:before="240"/>
    </w:pPr>
  </w:style>
  <w:style w:type="character" w:customStyle="1" w:styleId="HotSpot">
    <w:name w:val="HotSpot"/>
    <w:rsid w:val="00A6131C"/>
    <w:rPr>
      <w:color w:val="0033CC"/>
      <w:u w:val="none"/>
    </w:rPr>
  </w:style>
  <w:style w:type="paragraph" w:customStyle="1" w:styleId="BodyTextRight">
    <w:name w:val="Body Text Right"/>
    <w:basedOn w:val="BodyText"/>
    <w:rsid w:val="00A6131C"/>
    <w:pPr>
      <w:spacing w:before="0" w:after="0"/>
      <w:jc w:val="right"/>
    </w:pPr>
  </w:style>
  <w:style w:type="paragraph" w:styleId="Index3">
    <w:name w:val="index 3"/>
    <w:basedOn w:val="ListNumber2"/>
    <w:next w:val="Normal"/>
    <w:semiHidden/>
    <w:rsid w:val="00A6131C"/>
    <w:pPr>
      <w:numPr>
        <w:numId w:val="0"/>
      </w:numPr>
      <w:tabs>
        <w:tab w:val="right" w:leader="dot" w:pos="4176"/>
      </w:tabs>
    </w:pPr>
  </w:style>
  <w:style w:type="paragraph" w:styleId="ListNumber2">
    <w:name w:val="List Number 2"/>
    <w:basedOn w:val="List2"/>
    <w:rsid w:val="00A6131C"/>
    <w:pPr>
      <w:numPr>
        <w:numId w:val="10"/>
      </w:numPr>
      <w:tabs>
        <w:tab w:val="clear" w:pos="1060"/>
      </w:tabs>
    </w:pPr>
  </w:style>
  <w:style w:type="paragraph" w:customStyle="1" w:styleId="MarginNote">
    <w:name w:val="Margin Note"/>
    <w:basedOn w:val="BodyText"/>
    <w:rsid w:val="00A613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3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3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131C"/>
    <w:rPr>
      <w:sz w:val="32"/>
    </w:rPr>
  </w:style>
  <w:style w:type="paragraph" w:customStyle="1" w:styleId="HeadingProcedure">
    <w:name w:val="Heading Procedure"/>
    <w:basedOn w:val="HeadingBase"/>
    <w:next w:val="Normal"/>
    <w:rsid w:val="00A6131C"/>
    <w:pPr>
      <w:tabs>
        <w:tab w:val="left" w:pos="0"/>
      </w:tabs>
      <w:spacing w:before="120" w:after="60"/>
    </w:pPr>
    <w:rPr>
      <w:i/>
      <w:color w:val="918585"/>
      <w:sz w:val="22"/>
    </w:rPr>
  </w:style>
  <w:style w:type="paragraph" w:customStyle="1" w:styleId="TableBodyText">
    <w:name w:val="Table Body Text"/>
    <w:basedOn w:val="BodyText"/>
    <w:rsid w:val="00A6131C"/>
    <w:pPr>
      <w:spacing w:before="60" w:after="60"/>
    </w:pPr>
  </w:style>
  <w:style w:type="paragraph" w:styleId="ListContinue">
    <w:name w:val="List Continue"/>
    <w:basedOn w:val="List"/>
    <w:rsid w:val="00A6131C"/>
    <w:pPr>
      <w:ind w:firstLine="0"/>
    </w:pPr>
  </w:style>
  <w:style w:type="paragraph" w:customStyle="1" w:styleId="ListNote">
    <w:name w:val="List Note"/>
    <w:basedOn w:val="List"/>
    <w:rsid w:val="00A6131C"/>
    <w:pPr>
      <w:pBdr>
        <w:top w:val="single" w:sz="6" w:space="2" w:color="918585"/>
        <w:bottom w:val="single" w:sz="6" w:space="2" w:color="918585"/>
      </w:pBdr>
      <w:tabs>
        <w:tab w:val="left" w:pos="1021"/>
      </w:tabs>
      <w:ind w:firstLine="0"/>
    </w:pPr>
  </w:style>
  <w:style w:type="paragraph" w:customStyle="1" w:styleId="Warning">
    <w:name w:val="Warning"/>
    <w:basedOn w:val="BodyText"/>
    <w:rsid w:val="00A6131C"/>
    <w:pPr>
      <w:shd w:val="clear" w:color="auto" w:fill="D9D9D9"/>
      <w:tabs>
        <w:tab w:val="left" w:pos="992"/>
      </w:tabs>
      <w:ind w:left="119" w:right="119"/>
    </w:pPr>
    <w:rPr>
      <w:sz w:val="20"/>
    </w:rPr>
  </w:style>
  <w:style w:type="paragraph" w:customStyle="1" w:styleId="MarginIcons">
    <w:name w:val="Margin Icons"/>
    <w:basedOn w:val="BodyText"/>
    <w:rsid w:val="00A613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31C"/>
    <w:rPr>
      <w:rFonts w:ascii="Courier New" w:hAnsi="Courier New"/>
    </w:rPr>
  </w:style>
  <w:style w:type="paragraph" w:customStyle="1" w:styleId="NoteBullet">
    <w:name w:val="Note Bullet"/>
    <w:basedOn w:val="Note"/>
    <w:rsid w:val="00A6131C"/>
    <w:pPr>
      <w:tabs>
        <w:tab w:val="clear" w:pos="680"/>
      </w:tabs>
      <w:spacing w:before="60" w:after="60"/>
    </w:pPr>
  </w:style>
  <w:style w:type="paragraph" w:customStyle="1" w:styleId="SubHeading2">
    <w:name w:val="SubHeading2"/>
    <w:basedOn w:val="HeadingBase"/>
    <w:rsid w:val="00A6131C"/>
    <w:pPr>
      <w:spacing w:before="240" w:after="60"/>
    </w:pPr>
    <w:rPr>
      <w:sz w:val="20"/>
    </w:rPr>
  </w:style>
  <w:style w:type="paragraph" w:customStyle="1" w:styleId="SubHeading1">
    <w:name w:val="SubHeading1"/>
    <w:basedOn w:val="HeadingBase"/>
    <w:rsid w:val="00A6131C"/>
    <w:pPr>
      <w:spacing w:before="240" w:after="60"/>
    </w:pPr>
    <w:rPr>
      <w:color w:val="918585"/>
      <w:sz w:val="22"/>
    </w:rPr>
  </w:style>
  <w:style w:type="paragraph" w:customStyle="1" w:styleId="SideHeading">
    <w:name w:val="Side Heading"/>
    <w:basedOn w:val="HeadingBase"/>
    <w:rsid w:val="00A613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31C"/>
    <w:pPr>
      <w:numPr>
        <w:numId w:val="12"/>
      </w:numPr>
    </w:pPr>
  </w:style>
  <w:style w:type="paragraph" w:styleId="PlainText">
    <w:name w:val="Plain Text"/>
    <w:basedOn w:val="Normal"/>
    <w:link w:val="PlainTextChar"/>
    <w:rsid w:val="00A6131C"/>
    <w:rPr>
      <w:sz w:val="20"/>
    </w:rPr>
  </w:style>
  <w:style w:type="character" w:customStyle="1" w:styleId="PlainTextChar">
    <w:name w:val="Plain Text Char"/>
    <w:basedOn w:val="DefaultParagraphFont"/>
    <w:link w:val="PlainText"/>
    <w:rsid w:val="00A613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131C"/>
    <w:rPr>
      <w:b/>
      <w:smallCaps/>
    </w:rPr>
  </w:style>
  <w:style w:type="paragraph" w:customStyle="1" w:styleId="TableListNumber">
    <w:name w:val="Table List Number"/>
    <w:basedOn w:val="ListNumber"/>
    <w:rsid w:val="00A6131C"/>
    <w:pPr>
      <w:numPr>
        <w:numId w:val="0"/>
      </w:numPr>
    </w:pPr>
  </w:style>
  <w:style w:type="paragraph" w:styleId="TOC4">
    <w:name w:val="toc 4"/>
    <w:basedOn w:val="TOCBase"/>
    <w:next w:val="Normal"/>
    <w:semiHidden/>
    <w:rsid w:val="00A6131C"/>
    <w:pPr>
      <w:tabs>
        <w:tab w:val="right" w:leader="dot" w:pos="9071"/>
      </w:tabs>
      <w:ind w:left="1701"/>
    </w:pPr>
  </w:style>
  <w:style w:type="paragraph" w:customStyle="1" w:styleId="ListAlpha">
    <w:name w:val="List Alpha"/>
    <w:basedOn w:val="List"/>
    <w:rsid w:val="00A6131C"/>
    <w:pPr>
      <w:numPr>
        <w:numId w:val="9"/>
      </w:numPr>
    </w:pPr>
  </w:style>
  <w:style w:type="paragraph" w:customStyle="1" w:styleId="ListAlpha2">
    <w:name w:val="List Alpha 2"/>
    <w:basedOn w:val="List2"/>
    <w:rsid w:val="00A6131C"/>
    <w:pPr>
      <w:numPr>
        <w:numId w:val="8"/>
      </w:numPr>
    </w:pPr>
  </w:style>
  <w:style w:type="paragraph" w:styleId="List2">
    <w:name w:val="List 2"/>
    <w:basedOn w:val="BodyText"/>
    <w:rsid w:val="00A6131C"/>
    <w:pPr>
      <w:tabs>
        <w:tab w:val="left" w:pos="680"/>
      </w:tabs>
      <w:spacing w:before="60" w:after="60"/>
      <w:ind w:left="680" w:hanging="340"/>
    </w:pPr>
  </w:style>
  <w:style w:type="paragraph" w:styleId="List3">
    <w:name w:val="List 3"/>
    <w:basedOn w:val="BodyText"/>
    <w:rsid w:val="00A6131C"/>
    <w:pPr>
      <w:tabs>
        <w:tab w:val="left" w:pos="1021"/>
      </w:tabs>
      <w:spacing w:before="60" w:after="60"/>
      <w:ind w:left="1020" w:hanging="340"/>
    </w:pPr>
  </w:style>
  <w:style w:type="paragraph" w:styleId="List4">
    <w:name w:val="List 4"/>
    <w:basedOn w:val="BodyText"/>
    <w:rsid w:val="00A6131C"/>
    <w:pPr>
      <w:tabs>
        <w:tab w:val="left" w:pos="1361"/>
      </w:tabs>
      <w:spacing w:before="60" w:after="60"/>
      <w:ind w:left="1361" w:hanging="340"/>
    </w:pPr>
  </w:style>
  <w:style w:type="paragraph" w:styleId="List5">
    <w:name w:val="List 5"/>
    <w:basedOn w:val="BodyText"/>
    <w:rsid w:val="00A6131C"/>
    <w:pPr>
      <w:tabs>
        <w:tab w:val="left" w:pos="1701"/>
      </w:tabs>
      <w:spacing w:before="60" w:after="60"/>
      <w:ind w:left="1701" w:hanging="340"/>
    </w:pPr>
  </w:style>
  <w:style w:type="paragraph" w:styleId="ListBullet3">
    <w:name w:val="List Bullet 3"/>
    <w:basedOn w:val="List3"/>
    <w:rsid w:val="00A6131C"/>
    <w:pPr>
      <w:numPr>
        <w:numId w:val="15"/>
      </w:numPr>
      <w:tabs>
        <w:tab w:val="clear" w:pos="1021"/>
      </w:tabs>
      <w:ind w:left="1037" w:hanging="357"/>
    </w:pPr>
  </w:style>
  <w:style w:type="paragraph" w:styleId="ListBullet4">
    <w:name w:val="List Bullet 4"/>
    <w:basedOn w:val="List4"/>
    <w:rsid w:val="00A6131C"/>
    <w:pPr>
      <w:numPr>
        <w:numId w:val="3"/>
      </w:numPr>
    </w:pPr>
  </w:style>
  <w:style w:type="paragraph" w:styleId="ListBullet5">
    <w:name w:val="List Bullet 5"/>
    <w:basedOn w:val="List5"/>
    <w:rsid w:val="00A6131C"/>
    <w:pPr>
      <w:numPr>
        <w:numId w:val="4"/>
      </w:numPr>
    </w:pPr>
  </w:style>
  <w:style w:type="paragraph" w:styleId="ListContinue2">
    <w:name w:val="List Continue 2"/>
    <w:basedOn w:val="List2"/>
    <w:rsid w:val="00A6131C"/>
    <w:pPr>
      <w:ind w:firstLine="0"/>
    </w:pPr>
  </w:style>
  <w:style w:type="paragraph" w:styleId="ListContinue3">
    <w:name w:val="List Continue 3"/>
    <w:basedOn w:val="List3"/>
    <w:rsid w:val="00A6131C"/>
    <w:pPr>
      <w:ind w:left="1021" w:firstLine="0"/>
    </w:pPr>
  </w:style>
  <w:style w:type="paragraph" w:styleId="ListContinue4">
    <w:name w:val="List Continue 4"/>
    <w:basedOn w:val="List4"/>
    <w:rsid w:val="00A6131C"/>
    <w:pPr>
      <w:ind w:firstLine="0"/>
    </w:pPr>
  </w:style>
  <w:style w:type="paragraph" w:styleId="ListContinue5">
    <w:name w:val="List Continue 5"/>
    <w:basedOn w:val="List5"/>
    <w:rsid w:val="00A6131C"/>
    <w:pPr>
      <w:ind w:firstLine="0"/>
    </w:pPr>
  </w:style>
  <w:style w:type="paragraph" w:styleId="ListNumber3">
    <w:name w:val="List Number 3"/>
    <w:basedOn w:val="List3"/>
    <w:rsid w:val="00A6131C"/>
    <w:pPr>
      <w:numPr>
        <w:numId w:val="5"/>
      </w:numPr>
    </w:pPr>
  </w:style>
  <w:style w:type="paragraph" w:styleId="ListNumber4">
    <w:name w:val="List Number 4"/>
    <w:basedOn w:val="List4"/>
    <w:rsid w:val="00A6131C"/>
    <w:pPr>
      <w:numPr>
        <w:numId w:val="6"/>
      </w:numPr>
    </w:pPr>
  </w:style>
  <w:style w:type="paragraph" w:styleId="ListNumber5">
    <w:name w:val="List Number 5"/>
    <w:basedOn w:val="List5"/>
    <w:rsid w:val="00A6131C"/>
    <w:pPr>
      <w:numPr>
        <w:numId w:val="7"/>
      </w:numPr>
    </w:pPr>
  </w:style>
  <w:style w:type="paragraph" w:styleId="BlockText">
    <w:name w:val="Block Text"/>
    <w:basedOn w:val="Normal"/>
    <w:rsid w:val="00A6131C"/>
    <w:pPr>
      <w:spacing w:after="120"/>
      <w:ind w:left="1440" w:right="1440"/>
    </w:pPr>
  </w:style>
  <w:style w:type="character" w:customStyle="1" w:styleId="Subscript">
    <w:name w:val="Subscript"/>
    <w:basedOn w:val="DefaultParagraphFont"/>
    <w:rsid w:val="00A6131C"/>
    <w:rPr>
      <w:sz w:val="16"/>
      <w:vertAlign w:val="subscript"/>
    </w:rPr>
  </w:style>
  <w:style w:type="character" w:customStyle="1" w:styleId="Superscript">
    <w:name w:val="Superscript"/>
    <w:basedOn w:val="DefaultParagraphFont"/>
    <w:rsid w:val="00A6131C"/>
    <w:rPr>
      <w:sz w:val="16"/>
      <w:vertAlign w:val="superscript"/>
    </w:rPr>
  </w:style>
  <w:style w:type="character" w:customStyle="1" w:styleId="Symbols">
    <w:name w:val="Symbols"/>
    <w:basedOn w:val="DefaultParagraphFont"/>
    <w:rsid w:val="00A6131C"/>
    <w:rPr>
      <w:rFonts w:ascii="Symbol" w:hAnsi="Symbol"/>
    </w:rPr>
  </w:style>
  <w:style w:type="character" w:customStyle="1" w:styleId="MenuOptions">
    <w:name w:val="Menu Options"/>
    <w:basedOn w:val="DefaultParagraphFont"/>
    <w:rsid w:val="00A6131C"/>
    <w:rPr>
      <w:rFonts w:ascii="Arial Narrow" w:hAnsi="Arial Narrow"/>
      <w:smallCaps/>
    </w:rPr>
  </w:style>
  <w:style w:type="character" w:customStyle="1" w:styleId="Buttons">
    <w:name w:val="Buttons"/>
    <w:basedOn w:val="DefaultParagraphFont"/>
    <w:rsid w:val="00A6131C"/>
    <w:rPr>
      <w:b/>
    </w:rPr>
  </w:style>
  <w:style w:type="character" w:customStyle="1" w:styleId="Underlined">
    <w:name w:val="Underlined"/>
    <w:basedOn w:val="DefaultParagraphFont"/>
    <w:rsid w:val="00A6131C"/>
    <w:rPr>
      <w:u w:val="single"/>
    </w:rPr>
  </w:style>
  <w:style w:type="paragraph" w:customStyle="1" w:styleId="TableBodyTextRight">
    <w:name w:val="Table Body Text Right"/>
    <w:basedOn w:val="TableBodyText"/>
    <w:rsid w:val="00A6131C"/>
    <w:pPr>
      <w:widowControl w:val="0"/>
      <w:autoSpaceDE w:val="0"/>
      <w:autoSpaceDN w:val="0"/>
      <w:adjustRightInd w:val="0"/>
      <w:jc w:val="right"/>
    </w:pPr>
    <w:rPr>
      <w:rFonts w:cs="Arial"/>
      <w:szCs w:val="18"/>
    </w:rPr>
  </w:style>
  <w:style w:type="paragraph" w:customStyle="1" w:styleId="CopyrightText">
    <w:name w:val="Copyright Text"/>
    <w:basedOn w:val="BodyText"/>
    <w:rsid w:val="00A6131C"/>
    <w:rPr>
      <w:sz w:val="18"/>
    </w:rPr>
  </w:style>
  <w:style w:type="paragraph" w:customStyle="1" w:styleId="BodySmallRight">
    <w:name w:val="Body Small Right"/>
    <w:basedOn w:val="BodyTextRight"/>
    <w:rsid w:val="00A6131C"/>
    <w:rPr>
      <w:sz w:val="18"/>
      <w:szCs w:val="18"/>
    </w:rPr>
  </w:style>
  <w:style w:type="paragraph" w:customStyle="1" w:styleId="MarginEdition">
    <w:name w:val="Margin Edition"/>
    <w:basedOn w:val="MarginNote"/>
    <w:rsid w:val="00A6131C"/>
    <w:pPr>
      <w:spacing w:before="0" w:after="0"/>
    </w:pPr>
    <w:rPr>
      <w:rFonts w:ascii="Times New Roman" w:hAnsi="Times New Roman"/>
      <w:color w:val="999999"/>
    </w:rPr>
  </w:style>
  <w:style w:type="paragraph" w:customStyle="1" w:styleId="Spacer">
    <w:name w:val="Spacer"/>
    <w:basedOn w:val="Normal"/>
    <w:rsid w:val="00A6131C"/>
    <w:rPr>
      <w:sz w:val="2"/>
      <w:szCs w:val="2"/>
    </w:rPr>
  </w:style>
  <w:style w:type="character" w:customStyle="1" w:styleId="Small">
    <w:name w:val="Small"/>
    <w:basedOn w:val="DefaultParagraphFont"/>
    <w:rsid w:val="00A6131C"/>
    <w:rPr>
      <w:sz w:val="16"/>
    </w:rPr>
  </w:style>
  <w:style w:type="paragraph" w:customStyle="1" w:styleId="WideTable">
    <w:name w:val="Wide Table"/>
    <w:basedOn w:val="Normal"/>
    <w:rsid w:val="00A6131C"/>
    <w:pPr>
      <w:ind w:left="-1418"/>
    </w:pPr>
    <w:rPr>
      <w:sz w:val="2"/>
      <w:szCs w:val="2"/>
    </w:rPr>
  </w:style>
  <w:style w:type="character" w:styleId="PageNumber">
    <w:name w:val="page number"/>
    <w:basedOn w:val="DefaultParagraphFont"/>
    <w:rsid w:val="00A6131C"/>
  </w:style>
  <w:style w:type="paragraph" w:styleId="Quote">
    <w:name w:val="Quote"/>
    <w:basedOn w:val="Heading1"/>
    <w:link w:val="QuoteChar"/>
    <w:qFormat/>
    <w:rsid w:val="00A6131C"/>
    <w:rPr>
      <w:b w:val="0"/>
      <w:sz w:val="72"/>
      <w:szCs w:val="72"/>
      <w:lang w:val="en-NZ"/>
    </w:rPr>
  </w:style>
  <w:style w:type="character" w:customStyle="1" w:styleId="QuoteChar">
    <w:name w:val="Quote Char"/>
    <w:basedOn w:val="DefaultParagraphFont"/>
    <w:link w:val="Quote"/>
    <w:rsid w:val="00A613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31C"/>
    <w:pPr>
      <w:pageBreakBefore/>
    </w:pPr>
  </w:style>
  <w:style w:type="paragraph" w:customStyle="1" w:styleId="Border">
    <w:name w:val="Border"/>
    <w:basedOn w:val="Normal"/>
    <w:qFormat/>
    <w:rsid w:val="00A613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31C"/>
    <w:rPr>
      <w:b/>
      <w:bCs/>
      <w:i/>
      <w:iCs/>
      <w:color w:val="auto"/>
    </w:rPr>
  </w:style>
  <w:style w:type="paragraph" w:styleId="IntenseQuote">
    <w:name w:val="Intense Quote"/>
    <w:basedOn w:val="Normal"/>
    <w:next w:val="Normal"/>
    <w:link w:val="IntenseQuoteChar"/>
    <w:uiPriority w:val="30"/>
    <w:qFormat/>
    <w:rsid w:val="00A613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3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131C"/>
    <w:rPr>
      <w:smallCaps/>
      <w:color w:val="auto"/>
      <w:u w:val="single"/>
    </w:rPr>
  </w:style>
  <w:style w:type="character" w:styleId="IntenseReference">
    <w:name w:val="Intense Reference"/>
    <w:basedOn w:val="DefaultParagraphFont"/>
    <w:uiPriority w:val="32"/>
    <w:qFormat/>
    <w:rsid w:val="00A6131C"/>
    <w:rPr>
      <w:b/>
      <w:bCs/>
      <w:smallCaps/>
      <w:color w:val="auto"/>
      <w:spacing w:val="5"/>
      <w:u w:val="single"/>
    </w:rPr>
  </w:style>
  <w:style w:type="paragraph" w:customStyle="1" w:styleId="2ColumnHeading">
    <w:name w:val="2Column Heading"/>
    <w:basedOn w:val="BodyText"/>
    <w:qFormat/>
    <w:rsid w:val="00A6131C"/>
    <w:pPr>
      <w:spacing w:after="60"/>
      <w:ind w:left="-2268"/>
    </w:pPr>
    <w:rPr>
      <w:b/>
    </w:rPr>
  </w:style>
  <w:style w:type="paragraph" w:customStyle="1" w:styleId="Heading1TOC">
    <w:name w:val="Heading1 TOC"/>
    <w:basedOn w:val="Normal"/>
    <w:qFormat/>
    <w:rsid w:val="00A6131C"/>
    <w:pPr>
      <w:spacing w:before="240" w:after="120"/>
    </w:pPr>
    <w:rPr>
      <w:rFonts w:ascii="Times New Roman" w:hAnsi="Times New Roman"/>
      <w:b/>
      <w:sz w:val="32"/>
    </w:rPr>
  </w:style>
  <w:style w:type="paragraph" w:customStyle="1" w:styleId="Heading2TOC">
    <w:name w:val="Heading2 TOC"/>
    <w:basedOn w:val="Normal"/>
    <w:qFormat/>
    <w:rsid w:val="00A6131C"/>
    <w:pPr>
      <w:spacing w:before="240" w:after="60"/>
    </w:pPr>
    <w:rPr>
      <w:rFonts w:ascii="Times New Roman" w:hAnsi="Times New Roman"/>
      <w:b/>
      <w:sz w:val="28"/>
    </w:rPr>
  </w:style>
  <w:style w:type="character" w:customStyle="1" w:styleId="Underline">
    <w:name w:val="Underline"/>
    <w:basedOn w:val="DefaultParagraphFont"/>
    <w:qFormat/>
    <w:rsid w:val="00A6131C"/>
    <w:rPr>
      <w:u w:val="single"/>
    </w:rPr>
  </w:style>
  <w:style w:type="paragraph" w:styleId="BalloonText">
    <w:name w:val="Balloon Text"/>
    <w:basedOn w:val="Normal"/>
    <w:link w:val="BalloonTextChar"/>
    <w:rsid w:val="00A6131C"/>
    <w:rPr>
      <w:rFonts w:ascii="Tahoma" w:hAnsi="Tahoma" w:cs="Tahoma"/>
      <w:sz w:val="16"/>
      <w:szCs w:val="16"/>
    </w:rPr>
  </w:style>
  <w:style w:type="character" w:customStyle="1" w:styleId="BalloonTextChar">
    <w:name w:val="Balloon Text Char"/>
    <w:basedOn w:val="DefaultParagraphFont"/>
    <w:link w:val="BalloonText"/>
    <w:rsid w:val="00A613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13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13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1636</Words>
  <Characters>10857</Characters>
  <Application>Microsoft Office Word</Application>
  <DocSecurity>0</DocSecurity>
  <Lines>362</Lines>
  <Paragraphs>220</Paragraphs>
  <ScaleCrop>false</ScaleCrop>
  <Company>Author-it Software Corporation Ltd.</Company>
  <LinksUpToDate>false</LinksUpToDate>
  <CharactersWithSpaces>12438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CPPSEC4019A Identify and diagnose security system or network fault</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2012-05-26T06:25:00Z</dcterms:created>
  <dcterms:modified xsi:type="dcterms:W3CDTF">2012-05-26T06:25:00Z</dcterms:modified>
</cp:coreProperties>
</file>