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AE3" w:rsidP="002B7AE3">
      <w:pPr>
        <w:pStyle w:val="Title"/>
      </w:pPr>
      <w:r>
        <w:fldChar w:fldCharType="begin"/>
      </w:r>
      <w:r>
        <w:instrText xml:space="preserve"> TITLE   \* MERGEFORMAT </w:instrText>
      </w:r>
      <w:r>
        <w:fldChar w:fldCharType="separate"/>
      </w:r>
      <w:r>
        <w:t>CPPSEC4010A Manage monitoring centres</w:t>
      </w:r>
      <w:r>
        <w:fldChar w:fldCharType="end"/>
      </w:r>
    </w:p>
    <w:p w:rsidR="002B7AE3" w:rsidP="002B7AE3">
      <w:pPr>
        <w:pStyle w:val="Version"/>
        <w:sectPr w:rsidSect="007E25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570" w:rsidP="007E2570">
      <w:pPr>
        <w:pStyle w:val="SuperHeading"/>
      </w:pPr>
      <w:r w:rsidRPr="007E2570">
        <w:t>CPPSEC4010A Manage monitoring centres</w:t>
      </w:r>
    </w:p>
    <w:p w:rsidR="00000000" w:rsidRPr="007E2570" w:rsidP="007E2570">
      <w:pPr>
        <w:pStyle w:val="Heading1"/>
      </w:pPr>
      <w:bookmarkStart w:id="1" w:name="O_270257"/>
      <w:bookmarkEnd w:id="1"/>
      <w:r w:rsidRPr="007E2570">
        <w:t>Modification History</w:t>
      </w:r>
    </w:p>
    <w:p w:rsidR="00000000" w:rsidRPr="007E2570" w:rsidP="007E2570">
      <w:pPr>
        <w:pStyle w:val="BodyText"/>
      </w:pPr>
      <w:r w:rsidRPr="007E2570">
        <w:t>Not Applicable</w:t>
      </w:r>
    </w:p>
    <w:p w:rsidR="00000000" w:rsidRPr="007E2570" w:rsidP="007E2570">
      <w:pPr>
        <w:pStyle w:val="AllowPageBreak"/>
      </w:pPr>
    </w:p>
    <w:p w:rsidR="00000000" w:rsidRPr="007E2570" w:rsidP="007E2570">
      <w:pPr>
        <w:pStyle w:val="Heading1"/>
      </w:pPr>
      <w:bookmarkStart w:id="2" w:name="O_202080"/>
      <w:bookmarkEnd w:id="2"/>
      <w:r w:rsidRPr="007E2570">
        <w:t>Unit Descriptor</w:t>
      </w:r>
    </w:p>
    <w:tbl>
      <w:tblPr>
        <w:tblW w:w="0" w:type="auto"/>
        <w:tblLayout w:type="fixed"/>
        <w:tblCellMar>
          <w:left w:w="62" w:type="dxa"/>
          <w:right w:w="62" w:type="dxa"/>
        </w:tblCellMar>
        <w:tblLook w:val="0000"/>
      </w:tblPr>
      <w:tblGrid>
        <w:gridCol w:w="2391"/>
        <w:gridCol w:w="6131"/>
      </w:tblGrid>
      <w:tr w:rsidTr="002B7AE3">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7E2570" w:rsidP="007E2570">
            <w:pPr>
              <w:pStyle w:val="BodyText"/>
            </w:pPr>
            <w:r w:rsidRPr="007E2570">
              <w:t>This unit of competency specifies the outcomes required to organise and control a security monitoring</w:t>
            </w:r>
            <w:r w:rsidRPr="007E2570">
              <w:t xml:space="preserve"> centre.  It requires the ability to manage staffing and resources, implement and review operations, and promote continuous improvement strategies.</w:t>
            </w:r>
          </w:p>
          <w:p w:rsidR="00000000" w:rsidRPr="007E2570" w:rsidP="007E2570">
            <w:pPr>
              <w:pStyle w:val="BodyText"/>
            </w:pPr>
            <w:r w:rsidRPr="007E2570">
              <w:t>This unit may form part of the licensing requirements for persons responsible for managing the operations of</w:t>
            </w:r>
            <w:r w:rsidRPr="007E2570">
              <w:t xml:space="preserve"> security monitoring centres in those states and territories where these are regulated activities.</w:t>
            </w:r>
          </w:p>
        </w:tc>
      </w:tr>
    </w:tbl>
    <w:p w:rsidR="002B7AE3" w:rsidP="007E2570">
      <w:pPr>
        <w:pStyle w:val="BodyText"/>
      </w:pPr>
    </w:p>
    <w:p w:rsidR="002B7AE3" w:rsidP="007E2570">
      <w:pPr>
        <w:pStyle w:val="BodyText"/>
      </w:pPr>
    </w:p>
    <w:p w:rsidR="00000000" w:rsidRPr="007E2570" w:rsidP="007E2570">
      <w:pPr>
        <w:pStyle w:val="Heading1"/>
      </w:pPr>
      <w:bookmarkStart w:id="3" w:name="O_202082"/>
      <w:bookmarkEnd w:id="3"/>
      <w:r w:rsidRPr="007E2570">
        <w:t>Application of the Unit</w:t>
      </w:r>
    </w:p>
    <w:tbl>
      <w:tblPr>
        <w:tblW w:w="0" w:type="auto"/>
        <w:tblLayout w:type="fixed"/>
        <w:tblCellMar>
          <w:left w:w="62" w:type="dxa"/>
          <w:right w:w="62" w:type="dxa"/>
        </w:tblCellMar>
        <w:tblLook w:val="0000"/>
      </w:tblPr>
      <w:tblGrid>
        <w:gridCol w:w="2391"/>
        <w:gridCol w:w="6131"/>
      </w:tblGrid>
      <w:tr w:rsidTr="002B7AE3">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7E2570" w:rsidP="007E2570">
            <w:pPr>
              <w:pStyle w:val="BodyText"/>
            </w:pPr>
            <w:r w:rsidRPr="007E2570">
              <w:t>This unit of competency has application in those work roles involving the management of security operations from a monitoring centre environment. Competency requires legal and operational knowledge applicable to relevant sectors of the security industry. T</w:t>
            </w:r>
            <w:r w:rsidRPr="007E2570">
              <w:t>he knowledge and skills described in this unit are to be applied within relevant legislative and organisational guidelines.</w:t>
            </w:r>
          </w:p>
        </w:tc>
      </w:tr>
    </w:tbl>
    <w:p w:rsidR="002B7AE3" w:rsidP="007E2570">
      <w:pPr>
        <w:pStyle w:val="BodyText"/>
      </w:pPr>
    </w:p>
    <w:p w:rsidR="002B7AE3" w:rsidP="007E2570">
      <w:pPr>
        <w:pStyle w:val="BodyText"/>
      </w:pPr>
    </w:p>
    <w:p w:rsidR="00000000" w:rsidRPr="007E2570" w:rsidP="007E2570">
      <w:pPr>
        <w:pStyle w:val="Heading1"/>
      </w:pPr>
      <w:bookmarkStart w:id="4" w:name="O_278517"/>
      <w:bookmarkEnd w:id="4"/>
      <w:r w:rsidRPr="007E2570">
        <w:t>Licensing/Regulatory Information</w:t>
      </w:r>
    </w:p>
    <w:p w:rsidR="00000000" w:rsidRPr="007E2570" w:rsidP="007E2570">
      <w:pPr>
        <w:pStyle w:val="BodyText"/>
      </w:pPr>
      <w:r w:rsidRPr="007E2570">
        <w:t>Refer to Unit Descriptor</w:t>
      </w:r>
    </w:p>
    <w:p w:rsidR="00000000" w:rsidRPr="007E2570" w:rsidP="007E2570">
      <w:pPr>
        <w:pStyle w:val="AllowPageBreak"/>
      </w:pPr>
    </w:p>
    <w:p w:rsidR="00000000" w:rsidRPr="007E2570" w:rsidP="007E2570">
      <w:pPr>
        <w:pStyle w:val="Heading1"/>
      </w:pPr>
      <w:bookmarkStart w:id="5" w:name="O_283638"/>
      <w:bookmarkEnd w:id="5"/>
      <w:r w:rsidRPr="007E2570">
        <w:t>Pre-Requisites</w:t>
      </w:r>
    </w:p>
    <w:p w:rsidR="00000000" w:rsidRPr="007E2570" w:rsidP="007E2570">
      <w:pPr>
        <w:pStyle w:val="BodyText"/>
      </w:pPr>
      <w:r w:rsidRPr="007E2570">
        <w:t>Not Applicable</w:t>
      </w:r>
    </w:p>
    <w:p w:rsidR="00000000" w:rsidRPr="007E2570" w:rsidP="007E2570">
      <w:pPr>
        <w:pStyle w:val="AllowPageBreak"/>
      </w:pPr>
    </w:p>
    <w:p w:rsidR="00000000" w:rsidRPr="007E2570" w:rsidP="007E2570">
      <w:pPr>
        <w:pStyle w:val="Heading1"/>
      </w:pPr>
      <w:bookmarkStart w:id="6" w:name="O_202081"/>
      <w:bookmarkEnd w:id="6"/>
      <w:r w:rsidRPr="007E2570">
        <w:t>Employability Skills Information</w:t>
      </w:r>
    </w:p>
    <w:tbl>
      <w:tblPr>
        <w:tblW w:w="0" w:type="auto"/>
        <w:tblLayout w:type="fixed"/>
        <w:tblCellMar>
          <w:left w:w="62" w:type="dxa"/>
          <w:right w:w="62" w:type="dxa"/>
        </w:tblCellMar>
        <w:tblLook w:val="0000"/>
      </w:tblPr>
      <w:tblGrid>
        <w:gridCol w:w="2624"/>
        <w:gridCol w:w="5898"/>
      </w:tblGrid>
      <w:tr w:rsidTr="002B7AE3">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7E2570" w:rsidP="007E2570">
            <w:pPr>
              <w:pStyle w:val="BodyText"/>
            </w:pPr>
            <w:r w:rsidRPr="007E2570">
              <w:t>This unit contains employability skills.</w:t>
            </w:r>
          </w:p>
        </w:tc>
      </w:tr>
    </w:tbl>
    <w:p w:rsidR="002B7AE3" w:rsidP="007E2570">
      <w:pPr>
        <w:pStyle w:val="BodyText"/>
      </w:pPr>
    </w:p>
    <w:p w:rsidR="002B7AE3" w:rsidP="007E2570">
      <w:pPr>
        <w:pStyle w:val="BodyText"/>
      </w:pPr>
    </w:p>
    <w:p w:rsidR="00000000" w:rsidRPr="007E2570" w:rsidP="007E2570">
      <w:pPr>
        <w:pStyle w:val="Heading1"/>
      </w:pPr>
      <w:bookmarkStart w:id="7" w:name="O_288303"/>
      <w:bookmarkEnd w:id="7"/>
      <w:r w:rsidRPr="007E2570">
        <w:t>Elements and Performance Criteria Pre-Content</w:t>
      </w:r>
    </w:p>
    <w:tbl>
      <w:tblPr>
        <w:tblW w:w="0" w:type="auto"/>
        <w:tblLayout w:type="fixed"/>
        <w:tblCellMar>
          <w:left w:w="62" w:type="dxa"/>
          <w:right w:w="62" w:type="dxa"/>
        </w:tblCellMar>
        <w:tblLook w:val="0000"/>
      </w:tblPr>
      <w:tblGrid>
        <w:gridCol w:w="2412"/>
        <w:gridCol w:w="6110"/>
      </w:tblGrid>
      <w:tr w:rsidTr="002B7AE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7E2570" w:rsidP="007E2570">
            <w:pPr>
              <w:pStyle w:val="BodyText"/>
            </w:pPr>
            <w:r w:rsidRPr="007E2570">
              <w:t xml:space="preserve">Performance criteria describe the required performance needed to demonstrate achievement of the element. Where </w:t>
            </w:r>
            <w:r w:rsidRPr="007E2570">
              <w:rPr>
                <w:rStyle w:val="BoldandItalics"/>
              </w:rPr>
              <w:t>bold italicised</w:t>
            </w:r>
            <w:r w:rsidRPr="007E2570">
              <w:t xml:space="preserve"> text is used, further information is detailed in the required skills and knowledge section and/or the range statement. Assessment</w:t>
            </w:r>
            <w:r w:rsidRPr="007E2570">
              <w:t xml:space="preserve"> of performance is to be consistent with the evidence guide.</w:t>
            </w:r>
          </w:p>
        </w:tc>
      </w:tr>
    </w:tbl>
    <w:p w:rsidR="00000000" w:rsidRPr="007E2570" w:rsidP="007E2570">
      <w:pPr>
        <w:pStyle w:val="BodyText"/>
      </w:pPr>
    </w:p>
    <w:p w:rsidR="00000000" w:rsidRPr="007E2570" w:rsidP="007E2570">
      <w:pPr>
        <w:pStyle w:val="AllowPageBreak"/>
      </w:pPr>
    </w:p>
    <w:p w:rsidR="00000000" w:rsidRPr="007E2570" w:rsidP="007E2570">
      <w:pPr>
        <w:pStyle w:val="Heading1"/>
      </w:pPr>
      <w:bookmarkStart w:id="8" w:name="O_234970"/>
      <w:bookmarkEnd w:id="8"/>
      <w:r w:rsidRPr="007E2570">
        <w:t>Elements and Performance Criteria</w:t>
      </w:r>
    </w:p>
    <w:tbl>
      <w:tblPr>
        <w:tblW w:w="0" w:type="auto"/>
        <w:tblLayout w:type="fixed"/>
        <w:tblCellMar>
          <w:left w:w="62" w:type="dxa"/>
          <w:right w:w="62" w:type="dxa"/>
        </w:tblCellMar>
        <w:tblLook w:val="0000"/>
      </w:tblPr>
      <w:tblGrid>
        <w:gridCol w:w="2412"/>
        <w:gridCol w:w="6110"/>
      </w:tblGrid>
      <w:tr w:rsidTr="002B7AE3">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7E2570" w:rsidP="007E2570">
            <w:pPr>
              <w:pStyle w:val="List"/>
            </w:pPr>
            <w:r w:rsidRPr="007E2570">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7E2570">
            <w:pPr>
              <w:pStyle w:val="List"/>
              <w:rPr>
                <w:lang w:val="en-NZ"/>
              </w:rPr>
            </w:pPr>
            <w:r w:rsidRPr="007E2570">
              <w:rPr>
                <w:rStyle w:val="SpecialBold"/>
              </w:rPr>
              <w:t>PERFORMANCE CRITERIA</w:t>
            </w:r>
          </w:p>
        </w:tc>
      </w:tr>
      <w:tr w:rsidTr="002B7AE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2570">
            <w:pPr>
              <w:pStyle w:val="List"/>
              <w:rPr>
                <w:lang w:val="en-NZ"/>
              </w:rPr>
            </w:pPr>
            <w:r w:rsidRPr="007E2570">
              <w:rPr>
                <w:rStyle w:val="SpecialBold"/>
              </w:rPr>
              <w:t>1</w:t>
            </w:r>
            <w:r w:rsidRPr="007E2570">
              <w:tab/>
            </w:r>
            <w:r w:rsidRPr="007E2570">
              <w:rPr>
                <w:rStyle w:val="SpecialBold"/>
              </w:rPr>
              <w:t>Plan operational priorities</w:t>
            </w:r>
            <w:r w:rsidRPr="007E2570">
              <w:t>.</w:t>
            </w:r>
          </w:p>
        </w:tc>
        <w:tc>
          <w:tcPr>
            <w:tcW w:w="6110" w:type="dxa"/>
            <w:tcBorders>
              <w:top w:val="nil"/>
              <w:left w:val="nil"/>
              <w:bottom w:val="nil"/>
              <w:right w:val="nil"/>
            </w:tcBorders>
            <w:tcMar>
              <w:top w:w="0" w:type="dxa"/>
              <w:left w:w="62" w:type="dxa"/>
              <w:bottom w:w="0" w:type="dxa"/>
              <w:right w:w="62" w:type="dxa"/>
            </w:tcMar>
          </w:tcPr>
          <w:p w:rsidR="00000000" w:rsidRPr="007E2570" w:rsidP="007E2570">
            <w:pPr>
              <w:pStyle w:val="List"/>
            </w:pPr>
            <w:r w:rsidRPr="007E2570">
              <w:t>1.1</w:t>
            </w:r>
            <w:r w:rsidRPr="007E2570">
              <w:tab/>
              <w:t xml:space="preserve">Applicable provisions of </w:t>
            </w:r>
            <w:r w:rsidRPr="007E2570">
              <w:rPr>
                <w:rStyle w:val="BoldandItalics"/>
              </w:rPr>
              <w:t>legislative</w:t>
            </w:r>
            <w:r w:rsidRPr="007E2570">
              <w:t xml:space="preserve"> and </w:t>
            </w:r>
            <w:r w:rsidRPr="007E2570">
              <w:rPr>
                <w:rStyle w:val="BoldandItalics"/>
              </w:rPr>
              <w:t>organisational requirements</w:t>
            </w:r>
            <w:r w:rsidRPr="007E2570">
              <w:t xml:space="preserve"> relevant to managing monitor centres are identified and complied with.</w:t>
            </w:r>
          </w:p>
          <w:p w:rsidR="00000000" w:rsidRPr="007E2570" w:rsidP="007E2570">
            <w:pPr>
              <w:pStyle w:val="List"/>
            </w:pPr>
            <w:r w:rsidRPr="007E2570">
              <w:t>1.2</w:t>
            </w:r>
            <w:r w:rsidRPr="007E2570">
              <w:tab/>
              <w:t xml:space="preserve">Operational plans and other </w:t>
            </w:r>
            <w:r w:rsidRPr="007E2570">
              <w:rPr>
                <w:rStyle w:val="BoldandItalics"/>
              </w:rPr>
              <w:t>relevant information</w:t>
            </w:r>
            <w:r w:rsidRPr="007E2570">
              <w:t xml:space="preserve"> are accessed and reviewed. </w:t>
            </w:r>
          </w:p>
          <w:p w:rsidR="00000000" w:rsidRPr="007E2570" w:rsidP="007E2570">
            <w:pPr>
              <w:pStyle w:val="List"/>
            </w:pPr>
            <w:r w:rsidRPr="007E2570">
              <w:t>1.3</w:t>
            </w:r>
            <w:r w:rsidRPr="007E2570">
              <w:tab/>
            </w:r>
            <w:r w:rsidRPr="007E2570">
              <w:rPr>
                <w:rStyle w:val="BoldandItalics"/>
              </w:rPr>
              <w:t>Preventative and breakdown maintenance arrangements</w:t>
            </w:r>
            <w:r w:rsidRPr="007E2570">
              <w:t xml:space="preserve"> for security systems and technology are determi</w:t>
            </w:r>
            <w:r w:rsidRPr="007E2570">
              <w:t xml:space="preserve">ned and confirmed. </w:t>
            </w:r>
          </w:p>
          <w:p w:rsidR="00000000" w:rsidRPr="007E2570" w:rsidP="007E2570">
            <w:pPr>
              <w:pStyle w:val="List"/>
            </w:pPr>
            <w:r w:rsidRPr="007E2570">
              <w:t>1.4</w:t>
            </w:r>
            <w:r w:rsidRPr="007E2570">
              <w:tab/>
              <w:t xml:space="preserve">Procedures for the allocation and replacement of </w:t>
            </w:r>
            <w:r w:rsidRPr="007E2570">
              <w:rPr>
                <w:rStyle w:val="BoldandItalics"/>
              </w:rPr>
              <w:t>security systems</w:t>
            </w:r>
            <w:r w:rsidRPr="007E2570">
              <w:t xml:space="preserve"> are determined and confirmed. </w:t>
            </w:r>
          </w:p>
          <w:p w:rsidR="00000000" w:rsidRPr="007E2570" w:rsidP="007E2570">
            <w:pPr>
              <w:pStyle w:val="List"/>
            </w:pPr>
            <w:r w:rsidRPr="007E2570">
              <w:t>1.5</w:t>
            </w:r>
            <w:r w:rsidRPr="007E2570">
              <w:tab/>
              <w:t xml:space="preserve">Designated operational roles and responsibilities are determined and confirmed with </w:t>
            </w:r>
            <w:r w:rsidRPr="007E2570">
              <w:rPr>
                <w:rStyle w:val="BoldandItalics"/>
              </w:rPr>
              <w:t>relevant persons</w:t>
            </w:r>
            <w:r w:rsidRPr="007E2570">
              <w:t xml:space="preserve">. </w:t>
            </w:r>
          </w:p>
          <w:p w:rsidR="00000000" w:rsidRPr="007E2570" w:rsidP="007E2570">
            <w:pPr>
              <w:pStyle w:val="List"/>
            </w:pPr>
            <w:r w:rsidRPr="007E2570">
              <w:t>1.6</w:t>
            </w:r>
            <w:r w:rsidRPr="007E2570">
              <w:tab/>
            </w:r>
            <w:r w:rsidRPr="007E2570">
              <w:rPr>
                <w:rStyle w:val="BoldandItalics"/>
              </w:rPr>
              <w:t>Communication channels a</w:t>
            </w:r>
            <w:r w:rsidRPr="007E2570">
              <w:rPr>
                <w:rStyle w:val="BoldandItalics"/>
              </w:rPr>
              <w:t>nd processes</w:t>
            </w:r>
            <w:r w:rsidRPr="007E2570">
              <w:t xml:space="preserve"> are determined and confirmed with relevant persons.</w:t>
            </w:r>
          </w:p>
          <w:p w:rsidR="00000000" w:rsidRPr="007E2570" w:rsidP="007E2570">
            <w:pPr>
              <w:pStyle w:val="List"/>
            </w:pPr>
            <w:r w:rsidRPr="007E2570">
              <w:t>1.7</w:t>
            </w:r>
            <w:r w:rsidRPr="007E2570">
              <w:tab/>
              <w:t>Operational budgets and delegations are confirmed and maintained within agreed limits and allocations.</w:t>
            </w:r>
          </w:p>
          <w:p w:rsidR="00000000" w:rsidP="007E2570">
            <w:pPr>
              <w:pStyle w:val="List"/>
              <w:rPr>
                <w:lang w:val="en-NZ"/>
              </w:rPr>
            </w:pPr>
            <w:r w:rsidRPr="007E2570">
              <w:t>1.8</w:t>
            </w:r>
            <w:r w:rsidRPr="007E2570">
              <w:tab/>
              <w:t xml:space="preserve">Occupational Health and Safety (OHS) issues are identified and appropriate </w:t>
            </w:r>
            <w:r w:rsidRPr="007E2570">
              <w:rPr>
                <w:rStyle w:val="BoldandItalics"/>
              </w:rPr>
              <w:t>risk</w:t>
            </w:r>
            <w:r w:rsidRPr="007E2570">
              <w:t xml:space="preserve"> </w:t>
            </w:r>
            <w:r w:rsidRPr="007E2570">
              <w:t>control measures implemented in accordance with organisational requirements.</w:t>
            </w:r>
          </w:p>
        </w:tc>
      </w:tr>
      <w:tr w:rsidTr="002B7AE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2570">
            <w:pPr>
              <w:pStyle w:val="List"/>
              <w:rPr>
                <w:lang w:val="en-NZ"/>
              </w:rPr>
            </w:pPr>
            <w:r w:rsidRPr="007E2570">
              <w:rPr>
                <w:rStyle w:val="SpecialBold"/>
              </w:rPr>
              <w:t>2</w:t>
            </w:r>
            <w:r w:rsidRPr="007E2570">
              <w:tab/>
            </w:r>
            <w:r w:rsidRPr="007E2570">
              <w:rPr>
                <w:rStyle w:val="SpecialBold"/>
              </w:rPr>
              <w:t>Monitor operations</w:t>
            </w:r>
            <w:r w:rsidRPr="007E2570">
              <w:t>.</w:t>
            </w:r>
          </w:p>
        </w:tc>
        <w:tc>
          <w:tcPr>
            <w:tcW w:w="6110" w:type="dxa"/>
            <w:tcBorders>
              <w:top w:val="nil"/>
              <w:left w:val="nil"/>
              <w:bottom w:val="nil"/>
              <w:right w:val="nil"/>
            </w:tcBorders>
            <w:tcMar>
              <w:top w:w="0" w:type="dxa"/>
              <w:left w:w="62" w:type="dxa"/>
              <w:bottom w:w="0" w:type="dxa"/>
              <w:right w:w="62" w:type="dxa"/>
            </w:tcMar>
          </w:tcPr>
          <w:p w:rsidR="00000000" w:rsidRPr="007E2570" w:rsidP="007E2570">
            <w:pPr>
              <w:pStyle w:val="List"/>
            </w:pPr>
            <w:r w:rsidRPr="007E2570">
              <w:t>2.1</w:t>
            </w:r>
            <w:r w:rsidRPr="007E2570">
              <w:tab/>
              <w:t>Performance of security systems and technology is monitored for operational efficiency and effectiveness.</w:t>
            </w:r>
          </w:p>
          <w:p w:rsidR="00000000" w:rsidRPr="007E2570" w:rsidP="007E2570">
            <w:pPr>
              <w:pStyle w:val="List"/>
            </w:pPr>
            <w:r w:rsidRPr="007E2570">
              <w:t>2.2</w:t>
            </w:r>
            <w:r w:rsidRPr="007E2570">
              <w:tab/>
              <w:t>Security operations are systematically mon</w:t>
            </w:r>
            <w:r w:rsidRPr="007E2570">
              <w:t xml:space="preserve">itored and reviewed against operational plans.   </w:t>
            </w:r>
          </w:p>
          <w:p w:rsidR="00000000" w:rsidRPr="007E2570" w:rsidP="007E2570">
            <w:pPr>
              <w:pStyle w:val="List"/>
            </w:pPr>
            <w:r w:rsidRPr="007E2570">
              <w:t>2.3</w:t>
            </w:r>
            <w:r w:rsidRPr="007E2570">
              <w:tab/>
              <w:t>Implementation of security operations are confirmed within scope and competence of designated roles and responsibilities.</w:t>
            </w:r>
          </w:p>
          <w:p w:rsidR="00000000" w:rsidRPr="007E2570" w:rsidP="007E2570">
            <w:pPr>
              <w:pStyle w:val="List"/>
            </w:pPr>
            <w:r w:rsidRPr="007E2570">
              <w:t>2.4</w:t>
            </w:r>
            <w:r w:rsidRPr="007E2570">
              <w:tab/>
              <w:t>Operational plans are modified as required to maintain security requirements</w:t>
            </w:r>
            <w:r w:rsidRPr="007E2570">
              <w:t xml:space="preserve"> and communicated to relevant persons. </w:t>
            </w:r>
          </w:p>
          <w:p w:rsidR="00000000" w:rsidRPr="007E2570" w:rsidP="007E2570">
            <w:pPr>
              <w:pStyle w:val="List"/>
            </w:pPr>
            <w:r w:rsidRPr="007E2570">
              <w:t>2.5</w:t>
            </w:r>
            <w:r w:rsidRPr="007E2570">
              <w:tab/>
              <w:t>Assistance requirements for relevant persons are identified and actioned in accordance with organisational procedures.</w:t>
            </w:r>
          </w:p>
          <w:p w:rsidR="00000000" w:rsidP="007E2570">
            <w:pPr>
              <w:pStyle w:val="List"/>
              <w:rPr>
                <w:lang w:val="en-NZ"/>
              </w:rPr>
            </w:pPr>
            <w:r w:rsidRPr="007E2570">
              <w:t>2.6</w:t>
            </w:r>
            <w:r w:rsidRPr="007E2570">
              <w:tab/>
            </w:r>
            <w:r w:rsidRPr="007E2570">
              <w:t>Security operations are conducted in accordance with relevant OHS, legislative and organisational requirements.</w:t>
            </w:r>
          </w:p>
        </w:tc>
      </w:tr>
      <w:tr w:rsidTr="002B7AE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E2570">
            <w:pPr>
              <w:pStyle w:val="List"/>
              <w:rPr>
                <w:lang w:val="en-NZ"/>
              </w:rPr>
            </w:pPr>
            <w:r w:rsidRPr="007E2570">
              <w:rPr>
                <w:rStyle w:val="SpecialBold"/>
              </w:rPr>
              <w:t>3</w:t>
            </w:r>
            <w:r w:rsidRPr="007E2570">
              <w:tab/>
            </w:r>
            <w:r w:rsidRPr="007E2570">
              <w:rPr>
                <w:rStyle w:val="SpecialBold"/>
              </w:rPr>
              <w:t>Review operations</w:t>
            </w:r>
            <w:r w:rsidRPr="007E2570">
              <w:t>.</w:t>
            </w:r>
          </w:p>
        </w:tc>
        <w:tc>
          <w:tcPr>
            <w:tcW w:w="6110" w:type="dxa"/>
            <w:tcBorders>
              <w:top w:val="nil"/>
              <w:left w:val="nil"/>
              <w:bottom w:val="nil"/>
              <w:right w:val="nil"/>
            </w:tcBorders>
            <w:tcMar>
              <w:top w:w="0" w:type="dxa"/>
              <w:left w:w="62" w:type="dxa"/>
              <w:bottom w:w="0" w:type="dxa"/>
              <w:right w:w="62" w:type="dxa"/>
            </w:tcMar>
          </w:tcPr>
          <w:p w:rsidR="00000000" w:rsidRPr="007E2570" w:rsidP="007E2570">
            <w:pPr>
              <w:pStyle w:val="List"/>
            </w:pPr>
            <w:r w:rsidRPr="007E2570">
              <w:t>3.1</w:t>
            </w:r>
            <w:r w:rsidRPr="007E2570">
              <w:tab/>
              <w:t>A process of continual assessment is applied to review and evaluate effectiveness of security operations.</w:t>
            </w:r>
          </w:p>
          <w:p w:rsidR="00000000" w:rsidRPr="007E2570" w:rsidP="007E2570">
            <w:pPr>
              <w:pStyle w:val="List"/>
            </w:pPr>
            <w:r w:rsidRPr="007E2570">
              <w:t>3.2</w:t>
            </w:r>
            <w:r w:rsidRPr="007E2570">
              <w:tab/>
              <w:t>Operatio</w:t>
            </w:r>
            <w:r w:rsidRPr="007E2570">
              <w:t>nal outcomes and performance reports are reviewed and evaluated to identify opportunities for improvement.</w:t>
            </w:r>
          </w:p>
          <w:p w:rsidR="00000000" w:rsidRPr="007E2570" w:rsidP="007E2570">
            <w:pPr>
              <w:pStyle w:val="List"/>
            </w:pPr>
            <w:r w:rsidRPr="007E2570">
              <w:t>3.3</w:t>
            </w:r>
            <w:r w:rsidRPr="007E2570">
              <w:tab/>
              <w:t xml:space="preserve">Review findings and recommendations to inform future </w:t>
            </w:r>
            <w:r w:rsidRPr="007E2570">
              <w:t>practice are prepared and presented to relevant persons in accordance with organisational pr</w:t>
            </w:r>
            <w:r w:rsidRPr="007E2570">
              <w:t>ocedures.</w:t>
            </w:r>
          </w:p>
          <w:p w:rsidR="00000000" w:rsidRPr="007E2570" w:rsidP="007E2570">
            <w:pPr>
              <w:pStyle w:val="List"/>
            </w:pPr>
            <w:r w:rsidRPr="007E2570">
              <w:t>3.4</w:t>
            </w:r>
            <w:r w:rsidRPr="007E2570">
              <w:tab/>
              <w:t>Presented information uses clear and concise language and meets organisational standards of style, format and accuracy.</w:t>
            </w:r>
          </w:p>
          <w:p w:rsidR="00000000" w:rsidRPr="007E2570" w:rsidP="007E2570">
            <w:pPr>
              <w:pStyle w:val="List"/>
            </w:pPr>
            <w:r w:rsidRPr="007E2570">
              <w:t>3.5</w:t>
            </w:r>
            <w:r w:rsidRPr="007E2570">
              <w:tab/>
              <w:t xml:space="preserve">Relevant </w:t>
            </w:r>
            <w:r w:rsidRPr="007E2570">
              <w:rPr>
                <w:rStyle w:val="BoldandItalics"/>
              </w:rPr>
              <w:t>documentation</w:t>
            </w:r>
            <w:r w:rsidRPr="007E2570">
              <w:t xml:space="preserve"> is completed and securely maintained in accordance with organisational procedures.</w:t>
            </w:r>
          </w:p>
        </w:tc>
      </w:tr>
    </w:tbl>
    <w:p w:rsidR="002B7AE3" w:rsidP="007E2570">
      <w:pPr>
        <w:pStyle w:val="BodyText"/>
      </w:pPr>
    </w:p>
    <w:p w:rsidR="002B7AE3" w:rsidP="007E2570">
      <w:pPr>
        <w:pStyle w:val="BodyText"/>
      </w:pPr>
    </w:p>
    <w:p w:rsidR="00000000" w:rsidRPr="007E2570" w:rsidP="007E2570">
      <w:pPr>
        <w:pStyle w:val="Heading1"/>
      </w:pPr>
      <w:bookmarkStart w:id="9" w:name="O_258920"/>
      <w:bookmarkEnd w:id="9"/>
      <w:r w:rsidRPr="007E2570">
        <w:t>Required Skills and Knowledge</w:t>
      </w:r>
    </w:p>
    <w:tbl>
      <w:tblPr>
        <w:tblW w:w="0" w:type="auto"/>
        <w:tblLayout w:type="fixed"/>
        <w:tblCellMar>
          <w:left w:w="62" w:type="dxa"/>
          <w:right w:w="62" w:type="dxa"/>
        </w:tblCellMar>
        <w:tblLook w:val="0000"/>
      </w:tblPr>
      <w:tblGrid>
        <w:gridCol w:w="8522"/>
      </w:tblGrid>
      <w:tr w:rsidTr="002B7AE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SpecialBold"/>
              </w:rPr>
              <w:t>REQUIRED SKILLS AND KNOWLEDGE</w:t>
            </w:r>
          </w:p>
        </w:tc>
      </w:tr>
      <w:tr w:rsidTr="002B7A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t>This section describes the skills and knowledge and their level required for this unit.</w:t>
            </w:r>
          </w:p>
        </w:tc>
      </w:tr>
      <w:tr w:rsidTr="002B7A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SpecialBold"/>
              </w:rPr>
              <w:t>Required skills</w:t>
            </w:r>
          </w:p>
        </w:tc>
      </w:tr>
      <w:tr w:rsidTr="002B7A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2570" w:rsidP="007E2570">
            <w:pPr>
              <w:pStyle w:val="ListBullet"/>
            </w:pPr>
            <w:r w:rsidRPr="007E2570">
              <w:t>assess and implement appropriate response to received information</w:t>
            </w:r>
          </w:p>
          <w:p w:rsidR="00000000" w:rsidRPr="007E2570" w:rsidP="007E2570">
            <w:pPr>
              <w:pStyle w:val="ListBullet"/>
            </w:pPr>
            <w:r w:rsidRPr="007E2570">
              <w:t>coaching and mentoring to provide support to colleagues</w:t>
            </w:r>
          </w:p>
          <w:p w:rsidR="00000000" w:rsidRPr="007E2570" w:rsidP="007E2570">
            <w:pPr>
              <w:pStyle w:val="ListBullet"/>
            </w:pPr>
            <w:r w:rsidRPr="007E2570">
              <w:t>communicate in a clear and concise manner using appropriate terminology</w:t>
            </w:r>
          </w:p>
          <w:p w:rsidR="00000000" w:rsidRPr="007E2570" w:rsidP="007E2570">
            <w:pPr>
              <w:pStyle w:val="ListBullet"/>
            </w:pPr>
            <w:r w:rsidRPr="007E2570">
              <w:t>deliver project objectives within budget constraints</w:t>
            </w:r>
          </w:p>
          <w:p w:rsidR="00000000" w:rsidRPr="007E2570" w:rsidP="007E2570">
            <w:pPr>
              <w:pStyle w:val="ListBullet"/>
            </w:pPr>
            <w:r w:rsidRPr="007E2570">
              <w:t xml:space="preserve">develop and manage key performance indicators </w:t>
            </w:r>
          </w:p>
          <w:p w:rsidR="00000000" w:rsidRPr="007E2570" w:rsidP="007E2570">
            <w:pPr>
              <w:pStyle w:val="ListBullet"/>
            </w:pPr>
            <w:r w:rsidRPr="007E2570">
              <w:t>estimate and calculate resou</w:t>
            </w:r>
            <w:r w:rsidRPr="007E2570">
              <w:t xml:space="preserve">rce and assistance requirements </w:t>
            </w:r>
          </w:p>
          <w:p w:rsidR="00000000" w:rsidRPr="007E2570" w:rsidP="007E2570">
            <w:pPr>
              <w:pStyle w:val="ListBullet"/>
            </w:pPr>
            <w:r w:rsidRPr="007E2570">
              <w:t>identify and diagnose faults or deficiencies in operation of security systems</w:t>
            </w:r>
          </w:p>
          <w:p w:rsidR="00000000" w:rsidRPr="007E2570" w:rsidP="007E2570">
            <w:pPr>
              <w:pStyle w:val="ListBullet"/>
            </w:pPr>
            <w:r w:rsidRPr="007E2570">
              <w:t>implement safe and environmentally sound workplace practices</w:t>
            </w:r>
          </w:p>
          <w:p w:rsidR="00000000" w:rsidRPr="007E2570" w:rsidP="007E2570">
            <w:pPr>
              <w:pStyle w:val="ListBullet"/>
            </w:pPr>
            <w:r w:rsidRPr="007E2570">
              <w:t>interpret security codes and alarm signals</w:t>
            </w:r>
          </w:p>
          <w:p w:rsidR="00000000" w:rsidRPr="007E2570" w:rsidP="007E2570">
            <w:pPr>
              <w:pStyle w:val="ListBullet"/>
            </w:pPr>
            <w:r w:rsidRPr="007E2570">
              <w:t>maintain operations within budgetary parameters</w:t>
            </w:r>
          </w:p>
          <w:p w:rsidR="00000000" w:rsidRPr="007E2570" w:rsidP="007E2570">
            <w:pPr>
              <w:pStyle w:val="ListBullet"/>
            </w:pPr>
            <w:r w:rsidRPr="007E2570">
              <w:t>monitor systems and monitor performance</w:t>
            </w:r>
          </w:p>
          <w:p w:rsidR="00000000" w:rsidRPr="007E2570" w:rsidP="007E2570">
            <w:pPr>
              <w:pStyle w:val="ListBullet"/>
            </w:pPr>
            <w:r w:rsidRPr="007E2570">
              <w:t>monitor, evaluate and interpret data and information</w:t>
            </w:r>
          </w:p>
          <w:p w:rsidR="00000000" w:rsidRPr="007E2570" w:rsidP="007E2570">
            <w:pPr>
              <w:pStyle w:val="ListBullet"/>
            </w:pPr>
            <w:r w:rsidRPr="007E2570">
              <w:t>negotiation</w:t>
            </w:r>
          </w:p>
          <w:p w:rsidR="00000000" w:rsidRPr="007E2570" w:rsidP="007E2570">
            <w:pPr>
              <w:pStyle w:val="ListBullet"/>
            </w:pPr>
            <w:r w:rsidRPr="007E2570">
              <w:t>operate and maintain a range of security systems</w:t>
            </w:r>
          </w:p>
          <w:p w:rsidR="00000000" w:rsidRPr="007E2570" w:rsidP="007E2570">
            <w:pPr>
              <w:pStyle w:val="ListBullet"/>
            </w:pPr>
            <w:r w:rsidRPr="007E2570">
              <w:t>phonetic alphabet</w:t>
            </w:r>
          </w:p>
          <w:p w:rsidR="00000000" w:rsidRPr="007E2570" w:rsidP="007E2570">
            <w:pPr>
              <w:pStyle w:val="ListBullet"/>
            </w:pPr>
            <w:r w:rsidRPr="007E2570">
              <w:t>prepare and present written/computer</w:t>
            </w:r>
            <w:r w:rsidRPr="007E2570">
              <w:t>-based information</w:t>
            </w:r>
          </w:p>
          <w:p w:rsidR="00000000" w:rsidRPr="007E2570" w:rsidP="007E2570">
            <w:pPr>
              <w:pStyle w:val="ListBullet"/>
            </w:pPr>
            <w:r w:rsidRPr="007E2570">
              <w:t>read and interpret technical data and specifications</w:t>
            </w:r>
          </w:p>
          <w:p w:rsidR="00000000" w:rsidRPr="007E2570" w:rsidP="007E2570">
            <w:pPr>
              <w:pStyle w:val="ListBullet"/>
            </w:pPr>
            <w:r w:rsidRPr="007E2570">
              <w:t>relate to people from a range of social, cultural and ethnic backgrounds and varying physical and mental abilities</w:t>
            </w:r>
          </w:p>
          <w:p w:rsidR="00000000" w:rsidRPr="007E2570" w:rsidP="007E2570">
            <w:pPr>
              <w:pStyle w:val="ListBullet"/>
            </w:pPr>
            <w:r w:rsidRPr="007E2570">
              <w:t>risk assess incidents</w:t>
            </w:r>
          </w:p>
          <w:p w:rsidR="00000000" w:rsidP="007E2570">
            <w:pPr>
              <w:pStyle w:val="ListBullet"/>
              <w:rPr>
                <w:lang w:val="en-NZ"/>
              </w:rPr>
            </w:pPr>
            <w:r w:rsidRPr="007E2570">
              <w:t>write reports and complete documentation.</w:t>
            </w:r>
          </w:p>
        </w:tc>
      </w:tr>
      <w:tr w:rsidTr="002B7A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SpecialBold"/>
              </w:rPr>
              <w:t>Required knowledge</w:t>
            </w:r>
          </w:p>
        </w:tc>
      </w:tr>
      <w:tr w:rsidTr="002B7A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2570" w:rsidP="007E2570">
            <w:pPr>
              <w:pStyle w:val="ListBullet"/>
            </w:pPr>
            <w:r w:rsidRPr="007E2570">
              <w:t>approved communication terminology and codes and signals</w:t>
            </w:r>
          </w:p>
          <w:p w:rsidR="00000000" w:rsidRPr="007E2570" w:rsidP="007E2570">
            <w:pPr>
              <w:pStyle w:val="ListBullet"/>
            </w:pPr>
            <w:r w:rsidRPr="007E2570">
              <w:t>back-up procedures</w:t>
            </w:r>
          </w:p>
          <w:p w:rsidR="00000000" w:rsidRPr="007E2570" w:rsidP="007E2570">
            <w:pPr>
              <w:pStyle w:val="ListBullet"/>
            </w:pPr>
            <w:r w:rsidRPr="007E2570">
              <w:t>change of shift procedures</w:t>
            </w:r>
          </w:p>
          <w:p w:rsidR="00000000" w:rsidRPr="007E2570" w:rsidP="007E2570">
            <w:pPr>
              <w:pStyle w:val="ListBullet"/>
            </w:pPr>
            <w:r w:rsidRPr="007E2570">
              <w:t>common faults and malfunctions in security systems</w:t>
            </w:r>
          </w:p>
          <w:p w:rsidR="00000000" w:rsidRPr="007E2570" w:rsidP="007E2570">
            <w:pPr>
              <w:pStyle w:val="ListBullet"/>
            </w:pPr>
            <w:r w:rsidRPr="007E2570">
              <w:t xml:space="preserve">emergency procedures </w:t>
            </w:r>
          </w:p>
          <w:p w:rsidR="00000000" w:rsidRPr="007E2570" w:rsidP="007E2570">
            <w:pPr>
              <w:pStyle w:val="ListBullet"/>
            </w:pPr>
            <w:r w:rsidRPr="007E2570">
              <w:t>interviewing, counselling, negotiation and mediation techniques</w:t>
            </w:r>
          </w:p>
          <w:p w:rsidR="00000000" w:rsidRPr="007E2570" w:rsidP="007E2570">
            <w:pPr>
              <w:pStyle w:val="ListBullet"/>
            </w:pPr>
            <w:r w:rsidRPr="007E2570">
              <w:t>management and leadership styles and culture</w:t>
            </w:r>
          </w:p>
          <w:p w:rsidR="00000000" w:rsidRPr="007E2570" w:rsidP="007E2570">
            <w:pPr>
              <w:pStyle w:val="ListBullet"/>
            </w:pPr>
            <w:r w:rsidRPr="007E2570">
              <w:t>operational principles and functions of security systems and software/hardware</w:t>
            </w:r>
          </w:p>
          <w:p w:rsidR="00000000" w:rsidRPr="007E2570" w:rsidP="007E2570">
            <w:pPr>
              <w:pStyle w:val="ListBullet"/>
            </w:pPr>
            <w:r w:rsidRPr="007E2570">
              <w:t>operations management</w:t>
            </w:r>
          </w:p>
          <w:p w:rsidR="00000000" w:rsidRPr="007E2570" w:rsidP="007E2570">
            <w:pPr>
              <w:pStyle w:val="ListBullet"/>
            </w:pPr>
            <w:r w:rsidRPr="007E2570">
              <w:t>principles of change management</w:t>
            </w:r>
          </w:p>
          <w:p w:rsidR="00000000" w:rsidRPr="007E2570" w:rsidP="007E2570">
            <w:pPr>
              <w:pStyle w:val="ListBullet"/>
            </w:pPr>
            <w:r w:rsidRPr="007E2570">
              <w:t>problem solvin</w:t>
            </w:r>
            <w:r w:rsidRPr="007E2570">
              <w:t>g strategies</w:t>
            </w:r>
          </w:p>
          <w:p w:rsidR="00000000" w:rsidRPr="007E2570" w:rsidP="007E2570">
            <w:pPr>
              <w:pStyle w:val="ListBullet"/>
            </w:pPr>
            <w:r w:rsidRPr="007E2570">
              <w:t>range of security risk or incident situations and appropriate response procedures</w:t>
            </w:r>
          </w:p>
          <w:p w:rsidR="00000000" w:rsidRPr="007E2570" w:rsidP="007E2570">
            <w:pPr>
              <w:pStyle w:val="ListBullet"/>
            </w:pPr>
            <w:r w:rsidRPr="007E2570">
              <w:t>reporting and documentation procedures</w:t>
            </w:r>
          </w:p>
          <w:p w:rsidR="00000000" w:rsidRPr="007E2570" w:rsidP="007E2570">
            <w:pPr>
              <w:pStyle w:val="ListBullet"/>
            </w:pPr>
            <w:r w:rsidRPr="007E2570">
              <w:t>risk and conflict management</w:t>
            </w:r>
          </w:p>
          <w:p w:rsidR="00000000" w:rsidRPr="007E2570" w:rsidP="007E2570">
            <w:pPr>
              <w:pStyle w:val="ListBullet"/>
            </w:pPr>
            <w:r w:rsidRPr="007E2570">
              <w:t>risk assessment methods</w:t>
            </w:r>
          </w:p>
          <w:p w:rsidR="00000000" w:rsidRPr="007E2570" w:rsidP="007E2570">
            <w:pPr>
              <w:pStyle w:val="ListBullet"/>
            </w:pPr>
            <w:r w:rsidRPr="007E2570">
              <w:t>types of alarm systems and equipment</w:t>
            </w:r>
          </w:p>
          <w:p w:rsidR="00000000" w:rsidRPr="007E2570" w:rsidP="007E2570">
            <w:pPr>
              <w:pStyle w:val="ListBullet"/>
            </w:pPr>
            <w:r w:rsidRPr="007E2570">
              <w:t>workplace environmental and OHS hazards and risks.</w:t>
            </w:r>
          </w:p>
        </w:tc>
      </w:tr>
    </w:tbl>
    <w:p w:rsidR="002B7AE3" w:rsidP="007E2570">
      <w:pPr>
        <w:pStyle w:val="BodyText"/>
      </w:pPr>
    </w:p>
    <w:p w:rsidR="002B7AE3" w:rsidP="007E2570">
      <w:pPr>
        <w:pStyle w:val="BodyText"/>
      </w:pPr>
    </w:p>
    <w:p w:rsidR="00000000" w:rsidRPr="007E2570" w:rsidP="007E2570">
      <w:pPr>
        <w:pStyle w:val="Heading1"/>
      </w:pPr>
      <w:bookmarkStart w:id="10" w:name="O_242954"/>
      <w:bookmarkEnd w:id="10"/>
      <w:r w:rsidRPr="007E2570">
        <w:t>Evidence Guide</w:t>
      </w:r>
    </w:p>
    <w:tbl>
      <w:tblPr>
        <w:tblW w:w="9287" w:type="dxa"/>
        <w:tblLayout w:type="fixed"/>
        <w:tblCellMar>
          <w:left w:w="62" w:type="dxa"/>
          <w:right w:w="62" w:type="dxa"/>
        </w:tblCellMar>
        <w:tblLook w:val="0000"/>
      </w:tblPr>
      <w:tblGrid>
        <w:gridCol w:w="2621"/>
        <w:gridCol w:w="6659"/>
        <w:gridCol w:w="7"/>
      </w:tblGrid>
      <w:tr w:rsidTr="002B7AE3">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SpecialBold"/>
              </w:rPr>
              <w:t>EVIDENCE GUIDE</w:t>
            </w:r>
          </w:p>
        </w:tc>
      </w:tr>
      <w:tr w:rsidTr="002B7AE3">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t xml:space="preserve">The evidence guide provides advice on assessment and must be read in conjunction with the performance criteria, required skills and knowledge, </w:t>
            </w:r>
            <w:r w:rsidRPr="007E2570">
              <w:t>range statement and the Assessment Guidelines for the Training Package.</w:t>
            </w:r>
          </w:p>
        </w:tc>
      </w:tr>
      <w:tr w:rsidTr="002B7AE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7E2570" w:rsidP="007E2570">
            <w:pPr>
              <w:pStyle w:val="BodyText"/>
            </w:pPr>
            <w:r w:rsidRPr="007E2570">
              <w:t>A person who demonstrates competency in this unit must be able to provide evidence of:</w:t>
            </w:r>
          </w:p>
          <w:p w:rsidR="00000000" w:rsidRPr="007E2570" w:rsidP="007E2570">
            <w:pPr>
              <w:pStyle w:val="ListBullet"/>
            </w:pPr>
            <w:r w:rsidRPr="007E2570">
              <w:t>e</w:t>
            </w:r>
            <w:r w:rsidRPr="007E2570">
              <w:t>ffectively managing staff, systems and equipment resources to achieve operational plans for a monitoring centre within legislative parameters</w:t>
            </w:r>
          </w:p>
          <w:p w:rsidR="00000000" w:rsidRPr="007E2570" w:rsidP="007E2570">
            <w:pPr>
              <w:pStyle w:val="ListBullet"/>
            </w:pPr>
            <w:r w:rsidRPr="007E2570">
              <w:t>communicating with staff and colleagues to ensure the ongoing effectiveness of information receipt, interpretation</w:t>
            </w:r>
            <w:r w:rsidRPr="007E2570">
              <w:t xml:space="preserve"> and transmission</w:t>
            </w:r>
          </w:p>
          <w:p w:rsidR="00000000" w:rsidRPr="007E2570" w:rsidP="007E2570">
            <w:pPr>
              <w:pStyle w:val="ListBullet"/>
            </w:pPr>
            <w:r w:rsidRPr="007E2570">
              <w:t>identifying communication and resourcing problems and implementing learning opportunities for staff and continuous improvement strategies for monitoring operations</w:t>
            </w:r>
          </w:p>
          <w:p w:rsidR="00000000" w:rsidP="007E2570">
            <w:pPr>
              <w:pStyle w:val="ListBullet"/>
              <w:rPr>
                <w:lang w:val="en-NZ"/>
              </w:rPr>
            </w:pPr>
            <w:r w:rsidRPr="007E2570">
              <w:t>accurately preparing and completing monitoring records and reports in comp</w:t>
            </w:r>
            <w:r w:rsidRPr="007E2570">
              <w:t>liance with legal parameters.</w:t>
            </w:r>
          </w:p>
        </w:tc>
      </w:tr>
      <w:tr w:rsidTr="002B7AE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7E2570" w:rsidP="007E2570">
            <w:pPr>
              <w:pStyle w:val="BodyText"/>
            </w:pPr>
            <w:r w:rsidRPr="007E2570">
              <w:t>Context of assessment includes:</w:t>
            </w:r>
          </w:p>
          <w:p w:rsidR="00000000" w:rsidRPr="007E2570" w:rsidP="007E2570">
            <w:pPr>
              <w:pStyle w:val="ListBullet"/>
            </w:pPr>
            <w:r w:rsidRPr="007E2570">
              <w:t xml:space="preserve">a setting in the workplace or environment that simulates the conditions of performance </w:t>
            </w:r>
            <w:r w:rsidRPr="007E2570">
              <w:t>described in the elements, performance criteria and range statement.</w:t>
            </w:r>
          </w:p>
          <w:p w:rsidR="00000000" w:rsidRPr="007E2570" w:rsidP="007E2570">
            <w:pPr>
              <w:pStyle w:val="BodyText"/>
            </w:pPr>
            <w:r w:rsidRPr="007E2570">
              <w:t>Resource implications for assessment include:</w:t>
            </w:r>
          </w:p>
          <w:p w:rsidR="00000000" w:rsidRPr="007E2570" w:rsidP="007E2570">
            <w:pPr>
              <w:pStyle w:val="ListBullet"/>
            </w:pPr>
            <w:r w:rsidRPr="007E2570">
              <w:t>access to plain English version of relevant statutes and procedures</w:t>
            </w:r>
          </w:p>
          <w:p w:rsidR="00000000" w:rsidRPr="007E2570" w:rsidP="007E2570">
            <w:pPr>
              <w:pStyle w:val="ListBullet"/>
            </w:pPr>
            <w:r w:rsidRPr="007E2570">
              <w:t>access to a registered provider of assessment services</w:t>
            </w:r>
          </w:p>
          <w:p w:rsidR="00000000" w:rsidRPr="007E2570" w:rsidP="007E2570">
            <w:pPr>
              <w:pStyle w:val="ListBullet"/>
            </w:pPr>
            <w:r w:rsidRPr="007E2570">
              <w:t>access to a suita</w:t>
            </w:r>
            <w:r w:rsidRPr="007E2570">
              <w:t>ble venue and equipment</w:t>
            </w:r>
          </w:p>
          <w:p w:rsidR="00000000" w:rsidRPr="007E2570" w:rsidP="007E2570">
            <w:pPr>
              <w:pStyle w:val="ListBullet"/>
            </w:pPr>
            <w:r w:rsidRPr="007E2570">
              <w:t>assessment instruments including personal planner and assessment record book</w:t>
            </w:r>
          </w:p>
          <w:p w:rsidR="00000000" w:rsidRPr="007E2570" w:rsidP="007E2570">
            <w:pPr>
              <w:pStyle w:val="ListBullet"/>
            </w:pPr>
            <w:r w:rsidRPr="007E2570">
              <w:t>work schedules, organisational policies and duty statements.</w:t>
            </w:r>
          </w:p>
          <w:p w:rsidR="00000000" w:rsidP="007E2570">
            <w:pPr>
              <w:pStyle w:val="BodyText"/>
              <w:rPr>
                <w:lang w:val="en-NZ"/>
              </w:rPr>
            </w:pPr>
            <w:r w:rsidRPr="007E2570">
              <w:t>Reasonable adjustments must be made to assessment processes where required for people with dis</w:t>
            </w:r>
            <w:r w:rsidRPr="007E2570">
              <w:t>abilities. This could include access to modified equipment and other physical resources, and the provision of appropriate assessment support.</w:t>
            </w:r>
          </w:p>
        </w:tc>
      </w:tr>
      <w:tr w:rsidTr="002B7AE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SpecialBold"/>
              </w:rPr>
              <w:t>Method of assessment</w:t>
            </w:r>
            <w:r w:rsidRPr="007E2570">
              <w:t xml:space="preserve"> </w:t>
            </w:r>
          </w:p>
        </w:tc>
        <w:tc>
          <w:tcPr>
            <w:tcW w:w="6659" w:type="dxa"/>
            <w:tcBorders>
              <w:top w:val="nil"/>
              <w:left w:val="nil"/>
              <w:bottom w:val="nil"/>
              <w:right w:val="nil"/>
            </w:tcBorders>
            <w:tcMar>
              <w:top w:w="0" w:type="dxa"/>
              <w:left w:w="62" w:type="dxa"/>
              <w:bottom w:w="0" w:type="dxa"/>
              <w:right w:w="62" w:type="dxa"/>
            </w:tcMar>
          </w:tcPr>
          <w:p w:rsidR="00000000" w:rsidRPr="007E2570" w:rsidP="007E2570">
            <w:pPr>
              <w:pStyle w:val="BodyText"/>
            </w:pPr>
            <w:r w:rsidRPr="007E2570">
              <w:t>This unit of competency could be assessed using the following methods of assessment:</w:t>
            </w:r>
          </w:p>
          <w:p w:rsidR="00000000" w:rsidRPr="007E2570" w:rsidP="007E2570">
            <w:pPr>
              <w:pStyle w:val="ListBullet"/>
            </w:pPr>
            <w:r w:rsidRPr="007E2570">
              <w:t>obser</w:t>
            </w:r>
            <w:r w:rsidRPr="007E2570">
              <w:t>vation of processes and procedures</w:t>
            </w:r>
          </w:p>
          <w:p w:rsidR="00000000" w:rsidP="007E2570">
            <w:pPr>
              <w:pStyle w:val="ListBullet"/>
              <w:rPr>
                <w:lang w:val="en-NZ"/>
              </w:rPr>
            </w:pPr>
            <w:r w:rsidRPr="007E2570">
              <w:t>questioning of underpinning knowledge and skills.</w:t>
            </w:r>
          </w:p>
        </w:tc>
      </w:tr>
      <w:tr w:rsidTr="002B7AE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7E2570" w:rsidP="007E2570">
            <w:pPr>
              <w:pStyle w:val="BodyText"/>
            </w:pPr>
            <w:r w:rsidRPr="007E2570">
              <w:t>Assessment processes and techniques must be culturally appropriate and suitable to the language, literacy and num</w:t>
            </w:r>
            <w:r w:rsidRPr="007E2570">
              <w:t>eracy capacity of the candidate and the competency being assessed. In all cases where practical assessment is used, it should be combined with targeted questioning to assess the underpinning knowledge.</w:t>
            </w:r>
          </w:p>
          <w:p w:rsidR="00000000" w:rsidRPr="007E2570" w:rsidP="007E2570">
            <w:pPr>
              <w:pStyle w:val="BodyText"/>
            </w:pPr>
            <w:r w:rsidRPr="007E2570">
              <w:t xml:space="preserve">Oral questioning or written assessment may be used to </w:t>
            </w:r>
            <w:r w:rsidRPr="007E2570">
              <w:t>assess underpinning knowledge. In assessment situations where the candidate is offered a choice between oral questioning and written assessment, questions are to be identical.</w:t>
            </w:r>
          </w:p>
          <w:p w:rsidR="00000000" w:rsidRPr="007E2570" w:rsidP="007E2570">
            <w:pPr>
              <w:pStyle w:val="BodyText"/>
            </w:pPr>
            <w:r w:rsidRPr="007E2570">
              <w:t>Supplementary evidence may be obtained from relevant authenticated correspondenc</w:t>
            </w:r>
            <w:r w:rsidRPr="007E2570">
              <w:t>e from existing supervisors, team leaders or specialist training staff.</w:t>
            </w:r>
          </w:p>
        </w:tc>
      </w:tr>
    </w:tbl>
    <w:p w:rsidR="002B7AE3" w:rsidP="007E2570">
      <w:pPr>
        <w:pStyle w:val="BodyText"/>
      </w:pPr>
    </w:p>
    <w:p w:rsidR="002B7AE3" w:rsidP="007E2570">
      <w:pPr>
        <w:pStyle w:val="BodyText"/>
      </w:pPr>
    </w:p>
    <w:p w:rsidR="00000000" w:rsidRPr="007E2570" w:rsidP="007E2570">
      <w:pPr>
        <w:pStyle w:val="Heading1"/>
      </w:pPr>
      <w:bookmarkStart w:id="11" w:name="O_250937"/>
      <w:bookmarkEnd w:id="11"/>
      <w:r w:rsidRPr="007E2570">
        <w:t>Range Statement</w:t>
      </w:r>
    </w:p>
    <w:tbl>
      <w:tblPr>
        <w:tblW w:w="0" w:type="auto"/>
        <w:tblLayout w:type="fixed"/>
        <w:tblCellMar>
          <w:left w:w="62" w:type="dxa"/>
          <w:right w:w="62" w:type="dxa"/>
        </w:tblCellMar>
        <w:tblLook w:val="0000"/>
      </w:tblPr>
      <w:tblGrid>
        <w:gridCol w:w="2577"/>
        <w:gridCol w:w="5945"/>
      </w:tblGrid>
      <w:tr w:rsidTr="002B7AE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SpecialBold"/>
              </w:rPr>
              <w:t>RANGE STATEMENT</w:t>
            </w:r>
          </w:p>
        </w:tc>
      </w:tr>
      <w:tr w:rsidTr="002B7AE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t>The range statement relates to the unit of competency as a whole. It allows for different work environments and situations that may affect performance. Bold italicised wording, if used in the performance criteria, is detailed below. Essential operating con</w:t>
            </w:r>
            <w:r w:rsidRPr="007E2570">
              <w:t>ditions that may be present with training and assessment (depending on the work situation, needs of the candidate, accessibility of the item, and local industry and regional contexts) may also be included.</w:t>
            </w:r>
          </w:p>
        </w:tc>
      </w:tr>
      <w:tr w:rsidTr="002B7AE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BoldandItalics"/>
              </w:rPr>
              <w:t>Legislative requirements may relate to</w:t>
            </w:r>
            <w:r w:rsidRPr="007E2570">
              <w:t xml:space="preserve">: </w:t>
            </w:r>
          </w:p>
        </w:tc>
        <w:tc>
          <w:tcPr>
            <w:tcW w:w="5945" w:type="dxa"/>
            <w:tcBorders>
              <w:top w:val="nil"/>
              <w:left w:val="nil"/>
              <w:bottom w:val="nil"/>
              <w:right w:val="nil"/>
            </w:tcBorders>
            <w:tcMar>
              <w:top w:w="0" w:type="dxa"/>
              <w:left w:w="62" w:type="dxa"/>
              <w:bottom w:w="0" w:type="dxa"/>
              <w:right w:w="62" w:type="dxa"/>
            </w:tcMar>
          </w:tcPr>
          <w:p w:rsidR="00000000" w:rsidRPr="007E2570" w:rsidP="007E2570">
            <w:pPr>
              <w:pStyle w:val="ListBullet"/>
            </w:pPr>
            <w:r w:rsidRPr="007E2570">
              <w:t>Austra</w:t>
            </w:r>
            <w:r w:rsidRPr="007E2570">
              <w:t>lian standards and quality assurance requirements</w:t>
            </w:r>
          </w:p>
          <w:p w:rsidR="00000000" w:rsidRPr="007E2570" w:rsidP="007E2570">
            <w:pPr>
              <w:pStyle w:val="ListBullet"/>
            </w:pPr>
            <w:r w:rsidRPr="007E2570">
              <w:t>crowd control and control of persons under the influence of intoxicating substances</w:t>
            </w:r>
          </w:p>
          <w:p w:rsidR="00000000" w:rsidRPr="007E2570" w:rsidP="007E2570">
            <w:pPr>
              <w:pStyle w:val="ListBullet"/>
            </w:pPr>
            <w:r w:rsidRPr="007E2570">
              <w:t>general 'duty of care' responsibilities</w:t>
            </w:r>
          </w:p>
          <w:p w:rsidR="00000000" w:rsidRPr="007E2570" w:rsidP="007E2570">
            <w:pPr>
              <w:pStyle w:val="ListBullet"/>
            </w:pPr>
            <w:r w:rsidRPr="007E2570">
              <w:t>licensing or certification requirements</w:t>
            </w:r>
          </w:p>
          <w:p w:rsidR="00000000" w:rsidRPr="007E2570" w:rsidP="007E2570">
            <w:pPr>
              <w:pStyle w:val="ListBullet"/>
            </w:pPr>
            <w:r w:rsidRPr="007E2570">
              <w:t>privacy and confidentiality</w:t>
            </w:r>
          </w:p>
          <w:p w:rsidR="00000000" w:rsidRPr="007E2570" w:rsidP="007E2570">
            <w:pPr>
              <w:pStyle w:val="ListBullet"/>
            </w:pPr>
            <w:r w:rsidRPr="007E2570">
              <w:t>relevant commo</w:t>
            </w:r>
            <w:r w:rsidRPr="007E2570">
              <w:t>nwealth, state and territory legislation, codes and national standards for:</w:t>
            </w:r>
          </w:p>
          <w:p w:rsidR="00000000" w:rsidRPr="007E2570" w:rsidP="007E2570">
            <w:pPr>
              <w:pStyle w:val="ListBullet2"/>
            </w:pPr>
            <w:r w:rsidRPr="007E2570">
              <w:t>anti-discrimination</w:t>
            </w:r>
          </w:p>
          <w:p w:rsidR="00000000" w:rsidRPr="007E2570" w:rsidP="007E2570">
            <w:pPr>
              <w:pStyle w:val="ListBullet2"/>
            </w:pPr>
            <w:r w:rsidRPr="007E2570">
              <w:t>cultural and ethnic diversity</w:t>
            </w:r>
          </w:p>
          <w:p w:rsidR="00000000" w:rsidRPr="007E2570" w:rsidP="007E2570">
            <w:pPr>
              <w:pStyle w:val="ListBullet2"/>
            </w:pPr>
            <w:r w:rsidRPr="007E2570">
              <w:t>environmental issues</w:t>
            </w:r>
          </w:p>
          <w:p w:rsidR="00000000" w:rsidRPr="007E2570" w:rsidP="007E2570">
            <w:pPr>
              <w:pStyle w:val="ListBullet2"/>
            </w:pPr>
            <w:r w:rsidRPr="007E2570">
              <w:t>equal employment opportunity</w:t>
            </w:r>
          </w:p>
          <w:p w:rsidR="00000000" w:rsidRPr="007E2570" w:rsidP="007E2570">
            <w:pPr>
              <w:pStyle w:val="ListBullet2"/>
            </w:pPr>
            <w:r w:rsidRPr="007E2570">
              <w:t>industrial relations</w:t>
            </w:r>
          </w:p>
          <w:p w:rsidR="00000000" w:rsidRPr="007E2570" w:rsidP="007E2570">
            <w:pPr>
              <w:pStyle w:val="ListBullet2"/>
            </w:pPr>
            <w:r w:rsidRPr="007E2570">
              <w:t>OHS</w:t>
            </w:r>
          </w:p>
          <w:p w:rsidR="00000000" w:rsidRPr="007E2570" w:rsidP="007E2570">
            <w:pPr>
              <w:pStyle w:val="ListBullet"/>
            </w:pPr>
            <w:r w:rsidRPr="007E2570">
              <w:t xml:space="preserve">relevant industry codes of practice </w:t>
            </w:r>
          </w:p>
          <w:p w:rsidR="00000000" w:rsidRPr="007E2570" w:rsidP="007E2570">
            <w:pPr>
              <w:pStyle w:val="ListBullet"/>
            </w:pPr>
            <w:r w:rsidRPr="007E2570">
              <w:t>telecommunications</w:t>
            </w:r>
          </w:p>
          <w:p w:rsidR="00000000" w:rsidP="007E2570">
            <w:pPr>
              <w:pStyle w:val="ListBullet"/>
              <w:rPr>
                <w:lang w:val="en-NZ"/>
              </w:rPr>
            </w:pPr>
            <w:r w:rsidRPr="007E2570">
              <w:t>trespass and the removal of persons.</w:t>
            </w:r>
          </w:p>
        </w:tc>
      </w:tr>
      <w:tr w:rsidTr="002B7AE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BoldandItalics"/>
              </w:rPr>
              <w:t>Organisational requirements may relate to</w:t>
            </w:r>
            <w:r w:rsidRPr="007E2570">
              <w:t>:</w:t>
            </w:r>
          </w:p>
        </w:tc>
        <w:tc>
          <w:tcPr>
            <w:tcW w:w="5945" w:type="dxa"/>
            <w:tcBorders>
              <w:top w:val="nil"/>
              <w:left w:val="nil"/>
              <w:bottom w:val="nil"/>
              <w:right w:val="nil"/>
            </w:tcBorders>
            <w:tcMar>
              <w:top w:w="0" w:type="dxa"/>
              <w:left w:w="62" w:type="dxa"/>
              <w:bottom w:w="0" w:type="dxa"/>
              <w:right w:w="62" w:type="dxa"/>
            </w:tcMar>
          </w:tcPr>
          <w:p w:rsidR="00000000" w:rsidRPr="007E2570" w:rsidP="007E2570">
            <w:pPr>
              <w:pStyle w:val="ListBullet"/>
            </w:pPr>
            <w:r w:rsidRPr="007E2570">
              <w:t>access and equity policies, principles and practices</w:t>
            </w:r>
          </w:p>
          <w:p w:rsidR="00000000" w:rsidRPr="007E2570" w:rsidP="007E2570">
            <w:pPr>
              <w:pStyle w:val="ListBullet"/>
            </w:pPr>
            <w:r w:rsidRPr="007E2570">
              <w:t>business and performance plans</w:t>
            </w:r>
          </w:p>
          <w:p w:rsidR="00000000" w:rsidRPr="007E2570" w:rsidP="007E2570">
            <w:pPr>
              <w:pStyle w:val="ListBullet"/>
            </w:pPr>
            <w:r w:rsidRPr="007E2570">
              <w:t>client service standards</w:t>
            </w:r>
          </w:p>
          <w:p w:rsidR="00000000" w:rsidRPr="007E2570" w:rsidP="007E2570">
            <w:pPr>
              <w:pStyle w:val="ListBullet"/>
            </w:pPr>
            <w:r w:rsidRPr="007E2570">
              <w:t>code of conduct, code of ethics</w:t>
            </w:r>
          </w:p>
          <w:p w:rsidR="00000000" w:rsidRPr="007E2570" w:rsidP="007E2570">
            <w:pPr>
              <w:pStyle w:val="ListBullet"/>
            </w:pPr>
            <w:r w:rsidRPr="007E2570">
              <w:t>communication and reporting procedures</w:t>
            </w:r>
          </w:p>
          <w:p w:rsidR="00000000" w:rsidRPr="007E2570" w:rsidP="007E2570">
            <w:pPr>
              <w:pStyle w:val="ListBullet"/>
            </w:pPr>
            <w:r w:rsidRPr="007E2570">
              <w:t>complaint and dispute resolution procedures</w:t>
            </w:r>
          </w:p>
          <w:p w:rsidR="00000000" w:rsidRPr="007E2570" w:rsidP="007E2570">
            <w:pPr>
              <w:pStyle w:val="ListBullet"/>
            </w:pPr>
            <w:r w:rsidRPr="007E2570">
              <w:t>emergency and evacuation procedures</w:t>
            </w:r>
          </w:p>
          <w:p w:rsidR="00000000" w:rsidRPr="007E2570" w:rsidP="007E2570">
            <w:pPr>
              <w:pStyle w:val="ListBullet"/>
            </w:pPr>
            <w:r w:rsidRPr="007E2570">
              <w:t xml:space="preserve">employer and employee rights and responsibilities </w:t>
            </w:r>
          </w:p>
          <w:p w:rsidR="00000000" w:rsidRPr="007E2570" w:rsidP="007E2570">
            <w:pPr>
              <w:pStyle w:val="ListBullet"/>
            </w:pPr>
            <w:r w:rsidRPr="007E2570">
              <w:t>OHS policies, procedures and programs</w:t>
            </w:r>
          </w:p>
          <w:p w:rsidR="00000000" w:rsidRPr="007E2570" w:rsidP="007E2570">
            <w:pPr>
              <w:pStyle w:val="ListBullet"/>
            </w:pPr>
            <w:r w:rsidRPr="007E2570">
              <w:t xml:space="preserve">own role, responsibility and authority </w:t>
            </w:r>
          </w:p>
          <w:p w:rsidR="00000000" w:rsidRPr="007E2570" w:rsidP="007E2570">
            <w:pPr>
              <w:pStyle w:val="ListBullet"/>
            </w:pPr>
            <w:r w:rsidRPr="007E2570">
              <w:t>personal</w:t>
            </w:r>
            <w:r w:rsidRPr="007E2570">
              <w:t xml:space="preserve"> and professional development</w:t>
            </w:r>
          </w:p>
          <w:p w:rsidR="00000000" w:rsidRPr="007E2570" w:rsidP="007E2570">
            <w:pPr>
              <w:pStyle w:val="ListBullet"/>
            </w:pPr>
            <w:r w:rsidRPr="007E2570">
              <w:t>privacy and confidentiality of information</w:t>
            </w:r>
          </w:p>
          <w:p w:rsidR="00000000" w:rsidRPr="007E2570" w:rsidP="007E2570">
            <w:pPr>
              <w:pStyle w:val="ListBullet"/>
            </w:pPr>
            <w:r w:rsidRPr="007E2570">
              <w:t>quality assurance and continuous improvement processes and standards</w:t>
            </w:r>
          </w:p>
          <w:p w:rsidR="00000000" w:rsidRPr="007E2570" w:rsidP="007E2570">
            <w:pPr>
              <w:pStyle w:val="ListBullet"/>
            </w:pPr>
            <w:r w:rsidRPr="007E2570">
              <w:t>resource parameters and procedures</w:t>
            </w:r>
          </w:p>
          <w:p w:rsidR="00000000" w:rsidRPr="007E2570" w:rsidP="007E2570">
            <w:pPr>
              <w:pStyle w:val="ListBullet"/>
            </w:pPr>
            <w:r w:rsidRPr="007E2570">
              <w:t>roles, functions and responsibilities of security personnel</w:t>
            </w:r>
          </w:p>
          <w:p w:rsidR="00000000" w:rsidP="007E2570">
            <w:pPr>
              <w:pStyle w:val="ListBullet"/>
              <w:rPr>
                <w:lang w:val="en-NZ"/>
              </w:rPr>
            </w:pPr>
            <w:r w:rsidRPr="007E2570">
              <w:t>storage and disposal of information.</w:t>
            </w:r>
          </w:p>
        </w:tc>
      </w:tr>
      <w:tr w:rsidTr="002B7AE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BoldandItalics"/>
              </w:rPr>
              <w:t>Relevant information</w:t>
            </w:r>
            <w:r w:rsidRPr="007E2570">
              <w:t xml:space="preserve"> </w:t>
            </w:r>
            <w:r w:rsidRPr="007E2570">
              <w:rPr>
                <w:rStyle w:val="SpecialBold"/>
              </w:rPr>
              <w:t>may include</w:t>
            </w:r>
            <w:r w:rsidRPr="007E2570">
              <w:t xml:space="preserve">: </w:t>
            </w:r>
          </w:p>
        </w:tc>
        <w:tc>
          <w:tcPr>
            <w:tcW w:w="5945" w:type="dxa"/>
            <w:tcBorders>
              <w:top w:val="nil"/>
              <w:left w:val="nil"/>
              <w:bottom w:val="nil"/>
              <w:right w:val="nil"/>
            </w:tcBorders>
            <w:tcMar>
              <w:top w:w="0" w:type="dxa"/>
              <w:left w:w="62" w:type="dxa"/>
              <w:bottom w:w="0" w:type="dxa"/>
              <w:right w:w="62" w:type="dxa"/>
            </w:tcMar>
          </w:tcPr>
          <w:p w:rsidR="00000000" w:rsidRPr="007E2570" w:rsidP="007E2570">
            <w:pPr>
              <w:pStyle w:val="ListBullet"/>
            </w:pPr>
            <w:r w:rsidRPr="007E2570">
              <w:t>alarm response procedures</w:t>
            </w:r>
          </w:p>
          <w:p w:rsidR="00000000" w:rsidRPr="007E2570" w:rsidP="007E2570">
            <w:pPr>
              <w:pStyle w:val="ListBullet"/>
            </w:pPr>
            <w:r w:rsidRPr="007E2570">
              <w:t>alarm service information</w:t>
            </w:r>
          </w:p>
          <w:p w:rsidR="00000000" w:rsidRPr="007E2570" w:rsidP="007E2570">
            <w:pPr>
              <w:pStyle w:val="ListBullet"/>
            </w:pPr>
            <w:r w:rsidRPr="007E2570">
              <w:t>applicable legislation and codes of practice</w:t>
            </w:r>
          </w:p>
          <w:p w:rsidR="00000000" w:rsidRPr="007E2570" w:rsidP="007E2570">
            <w:pPr>
              <w:pStyle w:val="ListBullet"/>
            </w:pPr>
            <w:r w:rsidRPr="007E2570">
              <w:t>communication and reporting channels</w:t>
            </w:r>
          </w:p>
          <w:p w:rsidR="00000000" w:rsidRPr="007E2570" w:rsidP="007E2570">
            <w:pPr>
              <w:pStyle w:val="ListBullet"/>
            </w:pPr>
            <w:r w:rsidRPr="007E2570">
              <w:t xml:space="preserve">manufacturers specifications </w:t>
            </w:r>
          </w:p>
          <w:p w:rsidR="00000000" w:rsidRPr="007E2570" w:rsidP="007E2570">
            <w:pPr>
              <w:pStyle w:val="ListBullet"/>
            </w:pPr>
            <w:r w:rsidRPr="007E2570">
              <w:t>operational plans</w:t>
            </w:r>
          </w:p>
          <w:p w:rsidR="00000000" w:rsidRPr="007E2570" w:rsidP="007E2570">
            <w:pPr>
              <w:pStyle w:val="ListBullet"/>
            </w:pPr>
            <w:r w:rsidRPr="007E2570">
              <w:t xml:space="preserve">operations manuals </w:t>
            </w:r>
          </w:p>
          <w:p w:rsidR="00000000" w:rsidRPr="007E2570" w:rsidP="007E2570">
            <w:pPr>
              <w:pStyle w:val="ListBullet"/>
            </w:pPr>
            <w:r w:rsidRPr="007E2570">
              <w:t>personnel schedules</w:t>
            </w:r>
          </w:p>
          <w:p w:rsidR="00000000" w:rsidP="007E2570">
            <w:pPr>
              <w:pStyle w:val="ListBullet"/>
              <w:rPr>
                <w:lang w:val="en-NZ"/>
              </w:rPr>
            </w:pPr>
            <w:r w:rsidRPr="007E2570">
              <w:t>terms of reference.</w:t>
            </w:r>
          </w:p>
        </w:tc>
      </w:tr>
      <w:tr w:rsidTr="002B7AE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BoldandItalics"/>
              </w:rPr>
              <w:t>Preventative and breakdown maintenance arrangements</w:t>
            </w:r>
            <w:r w:rsidRPr="007E2570">
              <w:t xml:space="preserve"> </w:t>
            </w:r>
            <w:r w:rsidRPr="007E2570">
              <w:rPr>
                <w:rStyle w:val="SpecialBold"/>
              </w:rPr>
              <w:t>may include</w:t>
            </w:r>
            <w:r w:rsidRPr="007E2570">
              <w:t>:</w:t>
            </w:r>
          </w:p>
        </w:tc>
        <w:tc>
          <w:tcPr>
            <w:tcW w:w="5945" w:type="dxa"/>
            <w:tcBorders>
              <w:top w:val="nil"/>
              <w:left w:val="nil"/>
              <w:bottom w:val="nil"/>
              <w:right w:val="nil"/>
            </w:tcBorders>
            <w:tcMar>
              <w:top w:w="0" w:type="dxa"/>
              <w:left w:w="62" w:type="dxa"/>
              <w:bottom w:w="0" w:type="dxa"/>
              <w:right w:w="62" w:type="dxa"/>
            </w:tcMar>
          </w:tcPr>
          <w:p w:rsidR="00000000" w:rsidRPr="007E2570" w:rsidP="007E2570">
            <w:pPr>
              <w:pStyle w:val="ListBullet"/>
            </w:pPr>
            <w:r w:rsidRPr="007E2570">
              <w:t>alternative and backup systems and procedures</w:t>
            </w:r>
          </w:p>
          <w:p w:rsidR="00000000" w:rsidRPr="007E2570" w:rsidP="007E2570">
            <w:pPr>
              <w:pStyle w:val="ListBullet"/>
            </w:pPr>
            <w:r w:rsidRPr="007E2570">
              <w:t>emergency response plans</w:t>
            </w:r>
          </w:p>
          <w:p w:rsidR="00000000" w:rsidRPr="007E2570" w:rsidP="007E2570">
            <w:pPr>
              <w:pStyle w:val="ListBullet"/>
            </w:pPr>
            <w:r w:rsidRPr="007E2570">
              <w:t>preventative maintenance plans</w:t>
            </w:r>
          </w:p>
          <w:p w:rsidR="00000000" w:rsidP="007E2570">
            <w:pPr>
              <w:pStyle w:val="ListBullet"/>
              <w:rPr>
                <w:lang w:val="en-NZ"/>
              </w:rPr>
            </w:pPr>
            <w:r w:rsidRPr="007E2570">
              <w:t>programmed maintenance.</w:t>
            </w:r>
          </w:p>
        </w:tc>
      </w:tr>
      <w:tr w:rsidTr="002B7AE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BoldandItalics"/>
              </w:rPr>
              <w:t>Security systems</w:t>
            </w:r>
            <w:r w:rsidRPr="007E2570">
              <w:t xml:space="preserve"> </w:t>
            </w:r>
            <w:r w:rsidRPr="007E2570">
              <w:rPr>
                <w:rStyle w:val="SpecialBold"/>
              </w:rPr>
              <w:t>may relate to</w:t>
            </w:r>
            <w:r w:rsidRPr="007E2570">
              <w:t xml:space="preserve">: </w:t>
            </w:r>
          </w:p>
        </w:tc>
        <w:tc>
          <w:tcPr>
            <w:tcW w:w="5945" w:type="dxa"/>
            <w:tcBorders>
              <w:top w:val="nil"/>
              <w:left w:val="nil"/>
              <w:bottom w:val="nil"/>
              <w:right w:val="nil"/>
            </w:tcBorders>
            <w:tcMar>
              <w:top w:w="0" w:type="dxa"/>
              <w:left w:w="62" w:type="dxa"/>
              <w:bottom w:w="0" w:type="dxa"/>
              <w:right w:w="62" w:type="dxa"/>
            </w:tcMar>
          </w:tcPr>
          <w:p w:rsidR="00000000" w:rsidRPr="007E2570" w:rsidP="007E2570">
            <w:pPr>
              <w:pStyle w:val="ListBullet"/>
            </w:pPr>
            <w:r w:rsidRPr="007E2570">
              <w:t>access control systems</w:t>
            </w:r>
          </w:p>
          <w:p w:rsidR="00000000" w:rsidRPr="007E2570" w:rsidP="007E2570">
            <w:pPr>
              <w:pStyle w:val="ListBullet"/>
            </w:pPr>
            <w:r w:rsidRPr="007E2570">
              <w:t>electronic, audio, visual, digital surveillance and recording systems</w:t>
            </w:r>
          </w:p>
          <w:p w:rsidR="00000000" w:rsidRPr="007E2570" w:rsidP="007E2570">
            <w:pPr>
              <w:pStyle w:val="ListBullet"/>
            </w:pPr>
            <w:r w:rsidRPr="007E2570">
              <w:t>fire detection systems</w:t>
            </w:r>
          </w:p>
          <w:p w:rsidR="00000000" w:rsidRPr="007E2570" w:rsidP="007E2570">
            <w:pPr>
              <w:pStyle w:val="ListBullet"/>
            </w:pPr>
            <w:r w:rsidRPr="007E2570">
              <w:t>intruder detection and alarm systems</w:t>
            </w:r>
          </w:p>
          <w:p w:rsidR="00000000" w:rsidP="007E2570">
            <w:pPr>
              <w:pStyle w:val="ListBullet"/>
              <w:rPr>
                <w:lang w:val="en-NZ"/>
              </w:rPr>
            </w:pPr>
            <w:r w:rsidRPr="007E2570">
              <w:t>process control or building management systems.</w:t>
            </w:r>
          </w:p>
        </w:tc>
      </w:tr>
      <w:tr w:rsidTr="002B7AE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BoldandItalics"/>
              </w:rPr>
              <w:t>Relevant persons</w:t>
            </w:r>
            <w:r w:rsidRPr="007E2570">
              <w:t xml:space="preserve"> </w:t>
            </w:r>
            <w:r w:rsidRPr="007E2570">
              <w:rPr>
                <w:rStyle w:val="SpecialBold"/>
              </w:rPr>
              <w:t>may</w:t>
            </w:r>
            <w:r w:rsidRPr="007E2570">
              <w:rPr>
                <w:rStyle w:val="SpecialBold"/>
              </w:rPr>
              <w:t xml:space="preserve"> include</w:t>
            </w:r>
            <w:r w:rsidRPr="007E2570">
              <w:t>:</w:t>
            </w:r>
          </w:p>
        </w:tc>
        <w:tc>
          <w:tcPr>
            <w:tcW w:w="5945" w:type="dxa"/>
            <w:tcBorders>
              <w:top w:val="nil"/>
              <w:left w:val="nil"/>
              <w:bottom w:val="nil"/>
              <w:right w:val="nil"/>
            </w:tcBorders>
            <w:tcMar>
              <w:top w:w="0" w:type="dxa"/>
              <w:left w:w="62" w:type="dxa"/>
              <w:bottom w:w="0" w:type="dxa"/>
              <w:right w:w="62" w:type="dxa"/>
            </w:tcMar>
          </w:tcPr>
          <w:p w:rsidR="00000000" w:rsidRPr="007E2570" w:rsidP="007E2570">
            <w:pPr>
              <w:pStyle w:val="ListBullet"/>
            </w:pPr>
            <w:r w:rsidRPr="007E2570">
              <w:t>clients</w:t>
            </w:r>
          </w:p>
          <w:p w:rsidR="00000000" w:rsidRPr="007E2570" w:rsidP="007E2570">
            <w:pPr>
              <w:pStyle w:val="ListBullet"/>
            </w:pPr>
            <w:r w:rsidRPr="007E2570">
              <w:t>colleagues</w:t>
            </w:r>
          </w:p>
          <w:p w:rsidR="00000000" w:rsidRPr="007E2570" w:rsidP="007E2570">
            <w:pPr>
              <w:pStyle w:val="ListBullet"/>
            </w:pPr>
            <w:r w:rsidRPr="007E2570">
              <w:t>emergency services personnel</w:t>
            </w:r>
          </w:p>
          <w:p w:rsidR="00000000" w:rsidRPr="007E2570" w:rsidP="007E2570">
            <w:pPr>
              <w:pStyle w:val="ListBullet"/>
            </w:pPr>
            <w:r w:rsidRPr="007E2570">
              <w:t>field staff</w:t>
            </w:r>
          </w:p>
          <w:p w:rsidR="00000000" w:rsidRPr="007E2570" w:rsidP="007E2570">
            <w:pPr>
              <w:pStyle w:val="ListBullet"/>
            </w:pPr>
            <w:r w:rsidRPr="007E2570">
              <w:t>management</w:t>
            </w:r>
          </w:p>
          <w:p w:rsidR="00000000" w:rsidP="007E2570">
            <w:pPr>
              <w:pStyle w:val="ListBullet"/>
              <w:rPr>
                <w:lang w:val="en-NZ"/>
              </w:rPr>
            </w:pPr>
            <w:r w:rsidRPr="007E2570">
              <w:t>technical personnel.</w:t>
            </w:r>
          </w:p>
        </w:tc>
      </w:tr>
      <w:tr w:rsidTr="002B7AE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BoldandItalics"/>
              </w:rPr>
              <w:t>Communication channels and processes</w:t>
            </w:r>
            <w:r w:rsidRPr="007E2570">
              <w:t xml:space="preserve"> </w:t>
            </w:r>
            <w:r w:rsidRPr="007E2570">
              <w:rPr>
                <w:rStyle w:val="SpecialBold"/>
              </w:rPr>
              <w:t>may include</w:t>
            </w:r>
            <w:r w:rsidRPr="007E2570">
              <w:t xml:space="preserve">: </w:t>
            </w:r>
          </w:p>
        </w:tc>
        <w:tc>
          <w:tcPr>
            <w:tcW w:w="5945" w:type="dxa"/>
            <w:tcBorders>
              <w:top w:val="nil"/>
              <w:left w:val="nil"/>
              <w:bottom w:val="nil"/>
              <w:right w:val="nil"/>
            </w:tcBorders>
            <w:tcMar>
              <w:top w:w="0" w:type="dxa"/>
              <w:left w:w="62" w:type="dxa"/>
              <w:bottom w:w="0" w:type="dxa"/>
              <w:right w:w="62" w:type="dxa"/>
            </w:tcMar>
          </w:tcPr>
          <w:p w:rsidR="00000000" w:rsidRPr="007E2570" w:rsidP="007E2570">
            <w:pPr>
              <w:pStyle w:val="ListBullet"/>
            </w:pPr>
            <w:r w:rsidRPr="007E2570">
              <w:t>direct line supervision paths</w:t>
            </w:r>
          </w:p>
          <w:p w:rsidR="00000000" w:rsidRPr="007E2570" w:rsidP="007E2570">
            <w:pPr>
              <w:pStyle w:val="ListBullet"/>
            </w:pPr>
            <w:r w:rsidRPr="007E2570">
              <w:t>established communication protocols</w:t>
            </w:r>
          </w:p>
          <w:p w:rsidR="00000000" w:rsidRPr="007E2570" w:rsidP="007E2570">
            <w:pPr>
              <w:pStyle w:val="ListBullet"/>
            </w:pPr>
            <w:r w:rsidRPr="007E2570">
              <w:t>formal communication pathways</w:t>
            </w:r>
          </w:p>
          <w:p w:rsidR="00000000" w:rsidRPr="007E2570" w:rsidP="007E2570">
            <w:pPr>
              <w:pStyle w:val="ListBullet"/>
            </w:pPr>
            <w:r w:rsidRPr="007E2570">
              <w:t>lateral supervision paths</w:t>
            </w:r>
          </w:p>
          <w:p w:rsidR="00000000" w:rsidRPr="007E2570" w:rsidP="007E2570">
            <w:pPr>
              <w:pStyle w:val="ListBullet"/>
            </w:pPr>
            <w:r w:rsidRPr="007E2570">
              <w:t>organisational communication networks</w:t>
            </w:r>
          </w:p>
          <w:p w:rsidR="00000000" w:rsidP="007E2570">
            <w:pPr>
              <w:pStyle w:val="ListBullet"/>
              <w:rPr>
                <w:lang w:val="en-NZ"/>
              </w:rPr>
            </w:pPr>
            <w:r w:rsidRPr="007E2570">
              <w:t>verbal and non-verbal communication procedures eg pro-words, phonetic alphabet, call signs, coded messages, use of abbreviations, hand signals.</w:t>
            </w:r>
          </w:p>
        </w:tc>
      </w:tr>
      <w:tr w:rsidTr="002B7AE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BoldandItalics"/>
              </w:rPr>
              <w:t>Risk</w:t>
            </w:r>
            <w:r w:rsidRPr="007E2570">
              <w:t xml:space="preserve"> </w:t>
            </w:r>
            <w:r w:rsidRPr="007E2570">
              <w:rPr>
                <w:rStyle w:val="SpecialBold"/>
              </w:rPr>
              <w:t>relates to</w:t>
            </w:r>
            <w:r w:rsidRPr="007E2570">
              <w:t>:</w:t>
            </w:r>
          </w:p>
        </w:tc>
        <w:tc>
          <w:tcPr>
            <w:tcW w:w="5945" w:type="dxa"/>
            <w:tcBorders>
              <w:top w:val="nil"/>
              <w:left w:val="nil"/>
              <w:bottom w:val="nil"/>
              <w:right w:val="nil"/>
            </w:tcBorders>
            <w:tcMar>
              <w:top w:w="0" w:type="dxa"/>
              <w:left w:w="62" w:type="dxa"/>
              <w:bottom w:w="0" w:type="dxa"/>
              <w:right w:w="62" w:type="dxa"/>
            </w:tcMar>
          </w:tcPr>
          <w:p w:rsidR="00000000" w:rsidP="007E2570">
            <w:pPr>
              <w:pStyle w:val="ListBullet"/>
              <w:rPr>
                <w:lang w:val="en-NZ"/>
              </w:rPr>
            </w:pPr>
            <w:r w:rsidRPr="007E2570">
              <w:t>the chance of something happe</w:t>
            </w:r>
            <w:r w:rsidRPr="007E2570">
              <w:t>ning that will have an impact on objectives.</w:t>
            </w:r>
          </w:p>
        </w:tc>
      </w:tr>
      <w:tr w:rsidTr="002B7AE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BoldandItalics"/>
              </w:rPr>
              <w:t>Documentation</w:t>
            </w:r>
            <w:r w:rsidRPr="007E2570">
              <w:t xml:space="preserve"> </w:t>
            </w:r>
            <w:r w:rsidRPr="007E2570">
              <w:rPr>
                <w:rStyle w:val="SpecialBold"/>
              </w:rPr>
              <w:t>may include</w:t>
            </w:r>
            <w:r w:rsidRPr="007E2570">
              <w:t>:</w:t>
            </w:r>
          </w:p>
        </w:tc>
        <w:tc>
          <w:tcPr>
            <w:tcW w:w="5945" w:type="dxa"/>
            <w:tcBorders>
              <w:top w:val="nil"/>
              <w:left w:val="nil"/>
              <w:bottom w:val="nil"/>
              <w:right w:val="nil"/>
            </w:tcBorders>
            <w:tcMar>
              <w:top w:w="0" w:type="dxa"/>
              <w:left w:w="62" w:type="dxa"/>
              <w:bottom w:w="0" w:type="dxa"/>
              <w:right w:w="62" w:type="dxa"/>
            </w:tcMar>
          </w:tcPr>
          <w:p w:rsidR="00000000" w:rsidRPr="007E2570" w:rsidP="007E2570">
            <w:pPr>
              <w:pStyle w:val="ListBullet"/>
            </w:pPr>
            <w:r w:rsidRPr="007E2570">
              <w:t>activity logs</w:t>
            </w:r>
          </w:p>
          <w:p w:rsidR="00000000" w:rsidRPr="007E2570" w:rsidP="007E2570">
            <w:pPr>
              <w:pStyle w:val="ListBullet"/>
            </w:pPr>
            <w:r w:rsidRPr="007E2570">
              <w:t>radio and telephone records</w:t>
            </w:r>
          </w:p>
          <w:p w:rsidR="00000000" w:rsidRPr="007E2570" w:rsidP="007E2570">
            <w:pPr>
              <w:pStyle w:val="ListBullet"/>
            </w:pPr>
            <w:r w:rsidRPr="007E2570">
              <w:t>records of conversation</w:t>
            </w:r>
          </w:p>
          <w:p w:rsidR="00000000" w:rsidRPr="007E2570" w:rsidP="007E2570">
            <w:pPr>
              <w:pStyle w:val="ListBullet"/>
            </w:pPr>
            <w:r w:rsidRPr="007E2570">
              <w:t>running sheets</w:t>
            </w:r>
          </w:p>
          <w:p w:rsidR="00000000" w:rsidRPr="007E2570" w:rsidP="007E2570">
            <w:pPr>
              <w:pStyle w:val="ListBullet"/>
            </w:pPr>
            <w:r w:rsidRPr="007E2570">
              <w:t>security logs</w:t>
            </w:r>
          </w:p>
          <w:p w:rsidR="00000000" w:rsidRPr="007E2570" w:rsidP="007E2570">
            <w:pPr>
              <w:pStyle w:val="ListBullet"/>
            </w:pPr>
            <w:r w:rsidRPr="007E2570">
              <w:t>security systems faults and diagnosis</w:t>
            </w:r>
          </w:p>
          <w:p w:rsidR="00000000" w:rsidRPr="007E2570" w:rsidP="007E2570">
            <w:pPr>
              <w:pStyle w:val="ListBullet"/>
            </w:pPr>
            <w:r w:rsidRPr="007E2570">
              <w:t>situation reports</w:t>
            </w:r>
          </w:p>
          <w:p w:rsidR="00000000" w:rsidRPr="007E2570" w:rsidP="007E2570">
            <w:pPr>
              <w:pStyle w:val="ListBullet"/>
            </w:pPr>
            <w:r w:rsidRPr="007E2570">
              <w:t>testing and inspection results</w:t>
            </w:r>
          </w:p>
          <w:p w:rsidR="00000000" w:rsidRPr="007E2570" w:rsidP="007E2570">
            <w:pPr>
              <w:pStyle w:val="ListBullet"/>
            </w:pPr>
            <w:r w:rsidRPr="007E2570">
              <w:t>written and computer-based reports.</w:t>
            </w:r>
          </w:p>
        </w:tc>
      </w:tr>
    </w:tbl>
    <w:p w:rsidR="002B7AE3" w:rsidP="007E2570">
      <w:pPr>
        <w:pStyle w:val="BodyText"/>
      </w:pPr>
    </w:p>
    <w:p w:rsidR="002B7AE3" w:rsidP="007E2570">
      <w:pPr>
        <w:pStyle w:val="BodyText"/>
      </w:pPr>
    </w:p>
    <w:p w:rsidR="00000000" w:rsidRPr="007E2570" w:rsidP="007E2570">
      <w:pPr>
        <w:pStyle w:val="Heading1"/>
      </w:pPr>
      <w:bookmarkStart w:id="12" w:name="O_202084"/>
      <w:bookmarkEnd w:id="12"/>
      <w:r w:rsidRPr="007E2570">
        <w:t>Unit Sector(s)</w:t>
      </w:r>
    </w:p>
    <w:tbl>
      <w:tblPr>
        <w:tblW w:w="0" w:type="auto"/>
        <w:tblLayout w:type="fixed"/>
        <w:tblCellMar>
          <w:left w:w="62" w:type="dxa"/>
          <w:right w:w="62" w:type="dxa"/>
        </w:tblCellMar>
        <w:tblLook w:val="0000"/>
      </w:tblPr>
      <w:tblGrid>
        <w:gridCol w:w="2391"/>
        <w:gridCol w:w="6131"/>
      </w:tblGrid>
      <w:tr w:rsidTr="002B7AE3">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7E2570" w:rsidP="007E2570">
            <w:pPr>
              <w:pStyle w:val="BodyText"/>
            </w:pPr>
            <w:r w:rsidRPr="007E2570">
              <w:t>Security</w:t>
            </w:r>
          </w:p>
        </w:tc>
      </w:tr>
    </w:tbl>
    <w:p w:rsidR="002B7AE3" w:rsidP="007E2570">
      <w:pPr>
        <w:pStyle w:val="BodyText"/>
      </w:pPr>
    </w:p>
    <w:p w:rsidR="002B7AE3" w:rsidP="007E2570">
      <w:pPr>
        <w:pStyle w:val="BodyText"/>
      </w:pPr>
    </w:p>
    <w:p w:rsidR="00000000" w:rsidRPr="007E2570" w:rsidP="007E2570">
      <w:pPr>
        <w:pStyle w:val="Heading1"/>
      </w:pPr>
      <w:bookmarkStart w:id="13" w:name="O_202083"/>
      <w:bookmarkEnd w:id="13"/>
      <w:r w:rsidRPr="007E2570">
        <w:t>Competency field</w:t>
      </w:r>
    </w:p>
    <w:tbl>
      <w:tblPr>
        <w:tblW w:w="0" w:type="auto"/>
        <w:tblLayout w:type="fixed"/>
        <w:tblCellMar>
          <w:left w:w="62" w:type="dxa"/>
          <w:right w:w="62" w:type="dxa"/>
        </w:tblCellMar>
        <w:tblLook w:val="0000"/>
      </w:tblPr>
      <w:tblGrid>
        <w:gridCol w:w="2450"/>
        <w:gridCol w:w="6072"/>
      </w:tblGrid>
      <w:tr w:rsidTr="002B7AE3">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7E2570">
            <w:pPr>
              <w:pStyle w:val="BodyText"/>
              <w:rPr>
                <w:lang w:val="en-NZ"/>
              </w:rPr>
            </w:pPr>
            <w:r w:rsidRPr="007E2570">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7E2570" w:rsidP="007E2570">
            <w:pPr>
              <w:pStyle w:val="BodyText"/>
            </w:pPr>
            <w:r w:rsidRPr="007E2570">
              <w:t>Security and risk management</w:t>
            </w:r>
          </w:p>
        </w:tc>
      </w:tr>
    </w:tbl>
    <w:p w:rsidR="002B7AE3" w:rsidP="007E2570">
      <w:pPr>
        <w:pStyle w:val="BodyText"/>
      </w:pPr>
    </w:p>
    <w:p w:rsidR="002B7AE3" w:rsidP="007E2570">
      <w:pPr>
        <w:pStyle w:val="BodyText"/>
      </w:pPr>
    </w:p>
    <w:p w:rsidR="00000000" w:rsidRPr="007E2570" w:rsidP="007E2570"/>
    <w:sectPr w:rsidSect="007E25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7AE3" w:rsidP="002B7A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E3" w:rsidP="007E2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B7AE3" w:rsidP="007E25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B7AE3" w:rsidP="007E25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7AE3" w:rsidP="002B7A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E3" w:rsidP="007E2570">
    <w:pPr>
      <w:pStyle w:val="Header"/>
      <w:framePr w:wrap="around"/>
    </w:pPr>
    <w:r>
      <w:fldChar w:fldCharType="begin"/>
    </w:r>
    <w:r>
      <w:instrText xml:space="preserve"> TITLE   \* MERGEFORMAT </w:instrText>
    </w:r>
    <w:r>
      <w:fldChar w:fldCharType="separate"/>
    </w:r>
    <w:r>
      <w:t>CPPSEC4010A Manage monitoring centres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7AE3" w:rsidP="007E25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6C2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4ED4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FA2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5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2570"/>
    <w:pPr>
      <w:spacing w:before="360" w:after="60"/>
      <w:outlineLvl w:val="0"/>
    </w:pPr>
    <w:rPr>
      <w:sz w:val="32"/>
    </w:rPr>
  </w:style>
  <w:style w:type="paragraph" w:styleId="Heading2">
    <w:name w:val="heading 2"/>
    <w:basedOn w:val="HeadingBase"/>
    <w:next w:val="BodyText"/>
    <w:link w:val="Heading2Char"/>
    <w:qFormat/>
    <w:rsid w:val="007E2570"/>
    <w:pPr>
      <w:keepLines/>
      <w:spacing w:before="240" w:after="120"/>
      <w:outlineLvl w:val="1"/>
    </w:pPr>
    <w:rPr>
      <w:sz w:val="28"/>
      <w:szCs w:val="40"/>
    </w:rPr>
  </w:style>
  <w:style w:type="paragraph" w:styleId="Heading3">
    <w:name w:val="heading 3"/>
    <w:basedOn w:val="HeadingBase"/>
    <w:next w:val="BodyText"/>
    <w:link w:val="Heading3Char"/>
    <w:qFormat/>
    <w:rsid w:val="007E2570"/>
    <w:pPr>
      <w:spacing w:before="180" w:after="120"/>
      <w:outlineLvl w:val="2"/>
    </w:pPr>
    <w:rPr>
      <w:spacing w:val="-10"/>
      <w:kern w:val="32"/>
    </w:rPr>
  </w:style>
  <w:style w:type="paragraph" w:styleId="Heading4">
    <w:name w:val="heading 4"/>
    <w:basedOn w:val="HeadingBase"/>
    <w:next w:val="BodyText"/>
    <w:link w:val="Heading4Char"/>
    <w:qFormat/>
    <w:rsid w:val="007E2570"/>
    <w:pPr>
      <w:spacing w:before="160" w:after="120"/>
      <w:outlineLvl w:val="3"/>
    </w:pPr>
    <w:rPr>
      <w:sz w:val="22"/>
    </w:rPr>
  </w:style>
  <w:style w:type="paragraph" w:styleId="Heading5">
    <w:name w:val="heading 5"/>
    <w:basedOn w:val="HeadingBase"/>
    <w:next w:val="Normal"/>
    <w:link w:val="Heading5Char"/>
    <w:qFormat/>
    <w:rsid w:val="007E2570"/>
    <w:pPr>
      <w:spacing w:before="80"/>
      <w:outlineLvl w:val="4"/>
    </w:pPr>
    <w:rPr>
      <w:color w:val="918585"/>
      <w:sz w:val="20"/>
    </w:rPr>
  </w:style>
  <w:style w:type="paragraph" w:styleId="Heading6">
    <w:name w:val="heading 6"/>
    <w:basedOn w:val="HeadingBase"/>
    <w:next w:val="Normal"/>
    <w:link w:val="Heading6Char"/>
    <w:qFormat/>
    <w:rsid w:val="007E2570"/>
    <w:pPr>
      <w:spacing w:before="60"/>
      <w:outlineLvl w:val="5"/>
    </w:pPr>
    <w:rPr>
      <w:color w:val="918585"/>
      <w:sz w:val="20"/>
    </w:rPr>
  </w:style>
  <w:style w:type="paragraph" w:styleId="Heading7">
    <w:name w:val="heading 7"/>
    <w:basedOn w:val="Normal"/>
    <w:next w:val="Normal"/>
    <w:link w:val="Heading7Char"/>
    <w:qFormat/>
    <w:rsid w:val="007E2570"/>
    <w:pPr>
      <w:ind w:left="720"/>
      <w:outlineLvl w:val="6"/>
    </w:pPr>
    <w:rPr>
      <w:i/>
    </w:rPr>
  </w:style>
  <w:style w:type="paragraph" w:styleId="Heading8">
    <w:name w:val="heading 8"/>
    <w:basedOn w:val="Normal"/>
    <w:next w:val="Normal"/>
    <w:link w:val="Heading8Char"/>
    <w:qFormat/>
    <w:rsid w:val="007E2570"/>
    <w:pPr>
      <w:ind w:left="720"/>
      <w:outlineLvl w:val="7"/>
    </w:pPr>
    <w:rPr>
      <w:i/>
    </w:rPr>
  </w:style>
  <w:style w:type="paragraph" w:styleId="Heading9">
    <w:name w:val="heading 9"/>
    <w:basedOn w:val="Normal"/>
    <w:next w:val="Normal"/>
    <w:link w:val="Heading9Char"/>
    <w:qFormat/>
    <w:rsid w:val="007E2570"/>
    <w:pPr>
      <w:ind w:left="720"/>
      <w:outlineLvl w:val="8"/>
    </w:pPr>
    <w:rPr>
      <w:i/>
    </w:rPr>
  </w:style>
  <w:style w:type="character" w:default="1" w:styleId="DefaultParagraphFont">
    <w:name w:val="Default Paragraph Font"/>
    <w:uiPriority w:val="1"/>
    <w:unhideWhenUsed/>
    <w:rsid w:val="007E2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570"/>
  </w:style>
  <w:style w:type="character" w:customStyle="1" w:styleId="Heading1Char">
    <w:name w:val="Heading 1 Char"/>
    <w:basedOn w:val="DefaultParagraphFont"/>
    <w:link w:val="Heading1"/>
    <w:rsid w:val="007E2570"/>
    <w:rPr>
      <w:rFonts w:ascii="Times New Roman" w:eastAsia="Times New Roman" w:hAnsi="Times New Roman" w:cs="Times New Roman"/>
      <w:b/>
      <w:sz w:val="32"/>
      <w:szCs w:val="20"/>
      <w:lang w:eastAsia="en-US"/>
    </w:rPr>
  </w:style>
  <w:style w:type="paragraph" w:styleId="BodyText">
    <w:name w:val="Body Text"/>
    <w:basedOn w:val="Normal"/>
    <w:link w:val="BodyTextChar"/>
    <w:rsid w:val="007E25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2570"/>
    <w:rPr>
      <w:rFonts w:ascii="Times New Roman" w:eastAsia="Times New Roman" w:hAnsi="Times New Roman" w:cs="Times New Roman"/>
      <w:sz w:val="24"/>
      <w:lang w:val="en-US" w:eastAsia="en-US"/>
    </w:rPr>
  </w:style>
  <w:style w:type="paragraph" w:styleId="Footer">
    <w:name w:val="footer"/>
    <w:basedOn w:val="Normal"/>
    <w:link w:val="FooterChar"/>
    <w:rsid w:val="007E2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570"/>
    <w:rPr>
      <w:rFonts w:ascii="Times New Roman" w:eastAsia="Times New Roman" w:hAnsi="Times New Roman" w:cs="Times New Roman"/>
      <w:sz w:val="16"/>
      <w:lang w:val="en-US" w:eastAsia="en-US"/>
    </w:rPr>
  </w:style>
  <w:style w:type="paragraph" w:styleId="List">
    <w:name w:val="List"/>
    <w:basedOn w:val="BodyText"/>
    <w:next w:val="BodyText"/>
    <w:rsid w:val="007E2570"/>
    <w:pPr>
      <w:tabs>
        <w:tab w:val="left" w:pos="340"/>
      </w:tabs>
      <w:spacing w:before="60" w:after="60"/>
      <w:ind w:left="340" w:hanging="340"/>
    </w:pPr>
  </w:style>
  <w:style w:type="paragraph" w:styleId="ListBullet">
    <w:name w:val="List Bullet"/>
    <w:basedOn w:val="List"/>
    <w:rsid w:val="007E2570"/>
    <w:pPr>
      <w:numPr>
        <w:numId w:val="13"/>
      </w:numPr>
      <w:tabs>
        <w:tab w:val="clear" w:pos="340"/>
      </w:tabs>
      <w:spacing w:before="40" w:after="40"/>
    </w:pPr>
  </w:style>
  <w:style w:type="character" w:customStyle="1" w:styleId="SpecialBold">
    <w:name w:val="Special Bold"/>
    <w:basedOn w:val="DefaultParagraphFont"/>
    <w:rsid w:val="007E2570"/>
    <w:rPr>
      <w:b/>
      <w:spacing w:val="0"/>
    </w:rPr>
  </w:style>
  <w:style w:type="paragraph" w:styleId="ListBullet2">
    <w:name w:val="List Bullet 2"/>
    <w:basedOn w:val="List2"/>
    <w:rsid w:val="007E2570"/>
    <w:pPr>
      <w:numPr>
        <w:numId w:val="14"/>
      </w:numPr>
      <w:tabs>
        <w:tab w:val="clear" w:pos="680"/>
      </w:tabs>
    </w:pPr>
  </w:style>
  <w:style w:type="paragraph" w:styleId="Header">
    <w:name w:val="header"/>
    <w:basedOn w:val="Normal"/>
    <w:link w:val="HeaderChar"/>
    <w:rsid w:val="007E2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5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2570"/>
    <w:pPr>
      <w:spacing w:before="240" w:after="120"/>
      <w:outlineLvl w:val="0"/>
    </w:pPr>
    <w:rPr>
      <w:rFonts w:ascii="Times New Roman" w:hAnsi="Times New Roman"/>
      <w:b/>
      <w:sz w:val="28"/>
    </w:rPr>
  </w:style>
  <w:style w:type="paragraph" w:customStyle="1" w:styleId="AllowPageBreak">
    <w:name w:val="AllowPageBreak"/>
    <w:rsid w:val="007E25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2570"/>
    <w:rPr>
      <w:b/>
      <w:i/>
      <w:u w:val="none"/>
    </w:rPr>
  </w:style>
  <w:style w:type="character" w:customStyle="1" w:styleId="Heading2Char">
    <w:name w:val="Heading 2 Char"/>
    <w:basedOn w:val="DefaultParagraphFont"/>
    <w:link w:val="Heading2"/>
    <w:rsid w:val="007E25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5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5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5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5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25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2570"/>
    <w:rPr>
      <w:rFonts w:ascii="Courier New" w:eastAsia="Times New Roman" w:hAnsi="Courier New" w:cs="Times New Roman"/>
      <w:i/>
      <w:szCs w:val="20"/>
      <w:lang w:val="en-US" w:eastAsia="en-US"/>
    </w:rPr>
  </w:style>
  <w:style w:type="paragraph" w:customStyle="1" w:styleId="HeadingBase">
    <w:name w:val="Heading Base"/>
    <w:rsid w:val="007E2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570"/>
    <w:pPr>
      <w:tabs>
        <w:tab w:val="right" w:leader="dot" w:pos="9072"/>
      </w:tabs>
      <w:ind w:left="567"/>
    </w:pPr>
    <w:rPr>
      <w:szCs w:val="22"/>
    </w:rPr>
  </w:style>
  <w:style w:type="paragraph" w:customStyle="1" w:styleId="TOCBase">
    <w:name w:val="TOC Base"/>
    <w:rsid w:val="007E2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570"/>
    <w:pPr>
      <w:tabs>
        <w:tab w:val="right" w:leader="dot" w:pos="9072"/>
      </w:tabs>
      <w:spacing w:before="40" w:after="40"/>
      <w:ind w:left="284"/>
    </w:pPr>
    <w:rPr>
      <w:rFonts w:ascii="Times New Roman" w:hAnsi="Times New Roman"/>
    </w:rPr>
  </w:style>
  <w:style w:type="paragraph" w:styleId="TOC1">
    <w:name w:val="toc 1"/>
    <w:basedOn w:val="TOCBase"/>
    <w:next w:val="Normal"/>
    <w:rsid w:val="007E25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570"/>
    <w:pPr>
      <w:spacing w:before="5040"/>
      <w:jc w:val="center"/>
    </w:pPr>
    <w:rPr>
      <w:sz w:val="48"/>
      <w:szCs w:val="72"/>
      <w:lang w:val="en-US"/>
    </w:rPr>
  </w:style>
  <w:style w:type="character" w:customStyle="1" w:styleId="TitleChar">
    <w:name w:val="Title Char"/>
    <w:basedOn w:val="DefaultParagraphFont"/>
    <w:link w:val="Title"/>
    <w:rsid w:val="007E2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570"/>
    <w:pPr>
      <w:tabs>
        <w:tab w:val="left" w:pos="3600"/>
        <w:tab w:val="left" w:pos="3958"/>
      </w:tabs>
    </w:pPr>
  </w:style>
  <w:style w:type="paragraph" w:customStyle="1" w:styleId="Note">
    <w:name w:val="Note"/>
    <w:basedOn w:val="BodyText"/>
    <w:rsid w:val="007E25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570"/>
    <w:pPr>
      <w:framePr w:wrap="auto" w:hAnchor="text" w:y="6049"/>
    </w:pPr>
    <w:rPr>
      <w:color w:val="000000"/>
      <w:sz w:val="40"/>
    </w:rPr>
  </w:style>
  <w:style w:type="paragraph" w:customStyle="1" w:styleId="TOCTitle">
    <w:name w:val="TOCTitle"/>
    <w:basedOn w:val="Heading1"/>
    <w:rsid w:val="007E2570"/>
    <w:pPr>
      <w:spacing w:after="240"/>
      <w:jc w:val="center"/>
      <w:outlineLvl w:val="9"/>
    </w:pPr>
    <w:rPr>
      <w:caps/>
    </w:rPr>
  </w:style>
  <w:style w:type="paragraph" w:customStyle="1" w:styleId="Version">
    <w:name w:val="Version"/>
    <w:rsid w:val="007E25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570"/>
    <w:pPr>
      <w:keepNext w:val="0"/>
      <w:tabs>
        <w:tab w:val="right" w:pos="4176"/>
      </w:tabs>
      <w:ind w:left="198" w:hanging="198"/>
    </w:pPr>
    <w:rPr>
      <w:rFonts w:ascii="Garamond" w:hAnsi="Garamond"/>
    </w:rPr>
  </w:style>
  <w:style w:type="paragraph" w:styleId="IndexHeading">
    <w:name w:val="index heading"/>
    <w:basedOn w:val="Normal"/>
    <w:next w:val="Index1"/>
    <w:semiHidden/>
    <w:rsid w:val="007E2570"/>
    <w:pPr>
      <w:spacing w:before="120" w:after="120"/>
    </w:pPr>
    <w:rPr>
      <w:rFonts w:ascii="Arial" w:hAnsi="Arial"/>
      <w:b/>
      <w:color w:val="918585"/>
      <w:sz w:val="24"/>
    </w:rPr>
  </w:style>
  <w:style w:type="paragraph" w:customStyle="1" w:styleId="Chapter">
    <w:name w:val="Chapter"/>
    <w:basedOn w:val="Normal"/>
    <w:rsid w:val="007E2570"/>
    <w:pPr>
      <w:spacing w:before="240"/>
    </w:pPr>
    <w:rPr>
      <w:rFonts w:ascii="Times New Roman" w:hAnsi="Times New Roman"/>
      <w:smallCaps/>
      <w:spacing w:val="80"/>
      <w:sz w:val="28"/>
    </w:rPr>
  </w:style>
  <w:style w:type="paragraph" w:customStyle="1" w:styleId="InChapter">
    <w:name w:val="InChapter"/>
    <w:basedOn w:val="Heading3"/>
    <w:rsid w:val="007E2570"/>
    <w:pPr>
      <w:spacing w:after="240"/>
      <w:outlineLvl w:val="9"/>
    </w:pPr>
    <w:rPr>
      <w:noProof/>
    </w:rPr>
  </w:style>
  <w:style w:type="paragraph" w:styleId="Index2">
    <w:name w:val="index 2"/>
    <w:basedOn w:val="Normal"/>
    <w:next w:val="Normal"/>
    <w:semiHidden/>
    <w:rsid w:val="007E2570"/>
    <w:pPr>
      <w:tabs>
        <w:tab w:val="right" w:pos="4176"/>
      </w:tabs>
      <w:ind w:left="568" w:hanging="284"/>
    </w:pPr>
    <w:rPr>
      <w:rFonts w:ascii="Garamond" w:hAnsi="Garamond"/>
    </w:rPr>
  </w:style>
  <w:style w:type="paragraph" w:customStyle="1" w:styleId="Byline">
    <w:name w:val="Byline"/>
    <w:rsid w:val="007E2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570"/>
    <w:pPr>
      <w:tabs>
        <w:tab w:val="clear" w:pos="3600"/>
        <w:tab w:val="clear" w:pos="3958"/>
      </w:tabs>
      <w:jc w:val="right"/>
    </w:pPr>
  </w:style>
  <w:style w:type="character" w:styleId="Emphasis">
    <w:name w:val="Emphasis"/>
    <w:basedOn w:val="DefaultParagraphFont"/>
    <w:qFormat/>
    <w:rsid w:val="007E2570"/>
    <w:rPr>
      <w:i/>
    </w:rPr>
  </w:style>
  <w:style w:type="paragraph" w:styleId="Caption">
    <w:name w:val="caption"/>
    <w:basedOn w:val="BodyText"/>
    <w:next w:val="Normal"/>
    <w:qFormat/>
    <w:rsid w:val="007E2570"/>
    <w:pPr>
      <w:framePr w:w="2268" w:hSpace="181" w:vSpace="181" w:wrap="around" w:vAnchor="text" w:hAnchor="page" w:x="1135" w:y="285" w:anchorLock="1"/>
    </w:pPr>
    <w:rPr>
      <w:i/>
    </w:rPr>
  </w:style>
  <w:style w:type="paragraph" w:customStyle="1" w:styleId="MiniTOCTitle">
    <w:name w:val="MiniTOCTitle"/>
    <w:basedOn w:val="Heading4"/>
    <w:rsid w:val="007E2570"/>
    <w:pPr>
      <w:spacing w:before="240"/>
      <w:outlineLvl w:val="9"/>
    </w:pPr>
    <w:rPr>
      <w:noProof/>
      <w:sz w:val="24"/>
    </w:rPr>
  </w:style>
  <w:style w:type="paragraph" w:customStyle="1" w:styleId="MiniTOCItem">
    <w:name w:val="MiniTOCItem"/>
    <w:basedOn w:val="ListBullet"/>
    <w:rsid w:val="007E2570"/>
    <w:pPr>
      <w:numPr>
        <w:numId w:val="0"/>
      </w:numPr>
      <w:tabs>
        <w:tab w:val="right" w:leader="dot" w:pos="6521"/>
      </w:tabs>
      <w:spacing w:before="0" w:after="0"/>
    </w:pPr>
  </w:style>
  <w:style w:type="paragraph" w:customStyle="1" w:styleId="TOFTitle">
    <w:name w:val="TOFTitle"/>
    <w:basedOn w:val="TOCTitle"/>
    <w:rsid w:val="007E2570"/>
  </w:style>
  <w:style w:type="paragraph" w:styleId="TableofFigures">
    <w:name w:val="table of figures"/>
    <w:basedOn w:val="Normal"/>
    <w:next w:val="Normal"/>
    <w:semiHidden/>
    <w:rsid w:val="007E2570"/>
    <w:pPr>
      <w:tabs>
        <w:tab w:val="right" w:leader="dot" w:pos="9072"/>
      </w:tabs>
      <w:ind w:left="970" w:hanging="403"/>
    </w:pPr>
    <w:rPr>
      <w:rFonts w:ascii="Times New Roman" w:hAnsi="Times New Roman"/>
      <w:b/>
    </w:rPr>
  </w:style>
  <w:style w:type="paragraph" w:styleId="ListNumber">
    <w:name w:val="List Number"/>
    <w:basedOn w:val="List"/>
    <w:rsid w:val="007E2570"/>
    <w:pPr>
      <w:numPr>
        <w:numId w:val="11"/>
      </w:numPr>
    </w:pPr>
  </w:style>
  <w:style w:type="character" w:customStyle="1" w:styleId="WingdingSymbols">
    <w:name w:val="Wingding Symbols"/>
    <w:rsid w:val="007E2570"/>
    <w:rPr>
      <w:rFonts w:ascii="Wingdings" w:hAnsi="Wingdings"/>
    </w:rPr>
  </w:style>
  <w:style w:type="paragraph" w:customStyle="1" w:styleId="TableHeading">
    <w:name w:val="Table Heading"/>
    <w:basedOn w:val="HeadingBase"/>
    <w:rsid w:val="007E2570"/>
    <w:pPr>
      <w:keepLines/>
      <w:pBdr>
        <w:bottom w:val="single" w:sz="6" w:space="1" w:color="918585"/>
      </w:pBdr>
      <w:spacing w:before="240"/>
    </w:pPr>
  </w:style>
  <w:style w:type="character" w:customStyle="1" w:styleId="HotSpot">
    <w:name w:val="HotSpot"/>
    <w:rsid w:val="007E2570"/>
    <w:rPr>
      <w:color w:val="0033CC"/>
      <w:u w:val="none"/>
    </w:rPr>
  </w:style>
  <w:style w:type="paragraph" w:customStyle="1" w:styleId="BodyTextRight">
    <w:name w:val="Body Text Right"/>
    <w:basedOn w:val="BodyText"/>
    <w:rsid w:val="007E2570"/>
    <w:pPr>
      <w:spacing w:before="0" w:after="0"/>
      <w:jc w:val="right"/>
    </w:pPr>
  </w:style>
  <w:style w:type="paragraph" w:styleId="Index3">
    <w:name w:val="index 3"/>
    <w:basedOn w:val="ListNumber2"/>
    <w:next w:val="Normal"/>
    <w:semiHidden/>
    <w:rsid w:val="007E2570"/>
    <w:pPr>
      <w:numPr>
        <w:numId w:val="0"/>
      </w:numPr>
      <w:tabs>
        <w:tab w:val="right" w:leader="dot" w:pos="4176"/>
      </w:tabs>
    </w:pPr>
  </w:style>
  <w:style w:type="paragraph" w:styleId="ListNumber2">
    <w:name w:val="List Number 2"/>
    <w:basedOn w:val="List2"/>
    <w:rsid w:val="007E2570"/>
    <w:pPr>
      <w:numPr>
        <w:numId w:val="10"/>
      </w:numPr>
      <w:tabs>
        <w:tab w:val="clear" w:pos="1060"/>
      </w:tabs>
    </w:pPr>
  </w:style>
  <w:style w:type="paragraph" w:customStyle="1" w:styleId="MarginNote">
    <w:name w:val="Margin Note"/>
    <w:basedOn w:val="BodyText"/>
    <w:rsid w:val="007E2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5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2570"/>
    <w:rPr>
      <w:sz w:val="32"/>
    </w:rPr>
  </w:style>
  <w:style w:type="paragraph" w:customStyle="1" w:styleId="HeadingProcedure">
    <w:name w:val="Heading Procedure"/>
    <w:basedOn w:val="HeadingBase"/>
    <w:next w:val="Normal"/>
    <w:rsid w:val="007E2570"/>
    <w:pPr>
      <w:tabs>
        <w:tab w:val="left" w:pos="0"/>
      </w:tabs>
      <w:spacing w:before="120" w:after="60"/>
    </w:pPr>
    <w:rPr>
      <w:i/>
      <w:color w:val="918585"/>
      <w:sz w:val="22"/>
    </w:rPr>
  </w:style>
  <w:style w:type="paragraph" w:customStyle="1" w:styleId="TableBodyText">
    <w:name w:val="Table Body Text"/>
    <w:basedOn w:val="BodyText"/>
    <w:rsid w:val="007E2570"/>
    <w:pPr>
      <w:spacing w:before="60" w:after="60"/>
    </w:pPr>
  </w:style>
  <w:style w:type="paragraph" w:styleId="ListContinue">
    <w:name w:val="List Continue"/>
    <w:basedOn w:val="List"/>
    <w:rsid w:val="007E2570"/>
    <w:pPr>
      <w:ind w:firstLine="0"/>
    </w:pPr>
  </w:style>
  <w:style w:type="paragraph" w:customStyle="1" w:styleId="ListNote">
    <w:name w:val="List Note"/>
    <w:basedOn w:val="List"/>
    <w:rsid w:val="007E2570"/>
    <w:pPr>
      <w:pBdr>
        <w:top w:val="single" w:sz="6" w:space="2" w:color="918585"/>
        <w:bottom w:val="single" w:sz="6" w:space="2" w:color="918585"/>
      </w:pBdr>
      <w:tabs>
        <w:tab w:val="left" w:pos="1021"/>
      </w:tabs>
      <w:ind w:firstLine="0"/>
    </w:pPr>
  </w:style>
  <w:style w:type="paragraph" w:customStyle="1" w:styleId="Warning">
    <w:name w:val="Warning"/>
    <w:basedOn w:val="BodyText"/>
    <w:rsid w:val="007E2570"/>
    <w:pPr>
      <w:shd w:val="clear" w:color="auto" w:fill="D9D9D9"/>
      <w:tabs>
        <w:tab w:val="left" w:pos="992"/>
      </w:tabs>
      <w:ind w:left="119" w:right="119"/>
    </w:pPr>
    <w:rPr>
      <w:sz w:val="20"/>
    </w:rPr>
  </w:style>
  <w:style w:type="paragraph" w:customStyle="1" w:styleId="MarginIcons">
    <w:name w:val="Margin Icons"/>
    <w:basedOn w:val="BodyText"/>
    <w:rsid w:val="007E25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570"/>
    <w:rPr>
      <w:rFonts w:ascii="Courier New" w:hAnsi="Courier New"/>
    </w:rPr>
  </w:style>
  <w:style w:type="paragraph" w:customStyle="1" w:styleId="NoteBullet">
    <w:name w:val="Note Bullet"/>
    <w:basedOn w:val="Note"/>
    <w:rsid w:val="007E2570"/>
    <w:pPr>
      <w:tabs>
        <w:tab w:val="clear" w:pos="680"/>
      </w:tabs>
      <w:spacing w:before="60" w:after="60"/>
    </w:pPr>
  </w:style>
  <w:style w:type="paragraph" w:customStyle="1" w:styleId="SubHeading2">
    <w:name w:val="SubHeading2"/>
    <w:basedOn w:val="HeadingBase"/>
    <w:rsid w:val="007E2570"/>
    <w:pPr>
      <w:spacing w:before="240" w:after="60"/>
    </w:pPr>
    <w:rPr>
      <w:sz w:val="20"/>
    </w:rPr>
  </w:style>
  <w:style w:type="paragraph" w:customStyle="1" w:styleId="SubHeading1">
    <w:name w:val="SubHeading1"/>
    <w:basedOn w:val="HeadingBase"/>
    <w:rsid w:val="007E2570"/>
    <w:pPr>
      <w:spacing w:before="240" w:after="60"/>
    </w:pPr>
    <w:rPr>
      <w:color w:val="918585"/>
      <w:sz w:val="22"/>
    </w:rPr>
  </w:style>
  <w:style w:type="paragraph" w:customStyle="1" w:styleId="SideHeading">
    <w:name w:val="Side Heading"/>
    <w:basedOn w:val="HeadingBase"/>
    <w:rsid w:val="007E2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570"/>
    <w:pPr>
      <w:numPr>
        <w:numId w:val="12"/>
      </w:numPr>
    </w:pPr>
  </w:style>
  <w:style w:type="paragraph" w:styleId="PlainText">
    <w:name w:val="Plain Text"/>
    <w:basedOn w:val="Normal"/>
    <w:link w:val="PlainTextChar"/>
    <w:rsid w:val="007E2570"/>
    <w:rPr>
      <w:sz w:val="20"/>
    </w:rPr>
  </w:style>
  <w:style w:type="character" w:customStyle="1" w:styleId="PlainTextChar">
    <w:name w:val="Plain Text Char"/>
    <w:basedOn w:val="DefaultParagraphFont"/>
    <w:link w:val="PlainText"/>
    <w:rsid w:val="007E25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2570"/>
    <w:rPr>
      <w:b/>
      <w:smallCaps/>
    </w:rPr>
  </w:style>
  <w:style w:type="paragraph" w:customStyle="1" w:styleId="TableListNumber">
    <w:name w:val="Table List Number"/>
    <w:basedOn w:val="ListNumber"/>
    <w:rsid w:val="007E2570"/>
    <w:pPr>
      <w:numPr>
        <w:numId w:val="0"/>
      </w:numPr>
    </w:pPr>
  </w:style>
  <w:style w:type="paragraph" w:styleId="TOC4">
    <w:name w:val="toc 4"/>
    <w:basedOn w:val="TOCBase"/>
    <w:next w:val="Normal"/>
    <w:semiHidden/>
    <w:rsid w:val="007E2570"/>
    <w:pPr>
      <w:tabs>
        <w:tab w:val="right" w:leader="dot" w:pos="9071"/>
      </w:tabs>
      <w:ind w:left="1701"/>
    </w:pPr>
  </w:style>
  <w:style w:type="paragraph" w:customStyle="1" w:styleId="ListAlpha">
    <w:name w:val="List Alpha"/>
    <w:basedOn w:val="List"/>
    <w:rsid w:val="007E2570"/>
    <w:pPr>
      <w:numPr>
        <w:numId w:val="9"/>
      </w:numPr>
    </w:pPr>
  </w:style>
  <w:style w:type="paragraph" w:customStyle="1" w:styleId="ListAlpha2">
    <w:name w:val="List Alpha 2"/>
    <w:basedOn w:val="List2"/>
    <w:rsid w:val="007E2570"/>
    <w:pPr>
      <w:numPr>
        <w:numId w:val="8"/>
      </w:numPr>
    </w:pPr>
  </w:style>
  <w:style w:type="paragraph" w:styleId="List2">
    <w:name w:val="List 2"/>
    <w:basedOn w:val="BodyText"/>
    <w:rsid w:val="007E2570"/>
    <w:pPr>
      <w:tabs>
        <w:tab w:val="left" w:pos="680"/>
      </w:tabs>
      <w:spacing w:before="60" w:after="60"/>
      <w:ind w:left="680" w:hanging="340"/>
    </w:pPr>
  </w:style>
  <w:style w:type="paragraph" w:styleId="List3">
    <w:name w:val="List 3"/>
    <w:basedOn w:val="BodyText"/>
    <w:rsid w:val="007E2570"/>
    <w:pPr>
      <w:tabs>
        <w:tab w:val="left" w:pos="1021"/>
      </w:tabs>
      <w:spacing w:before="60" w:after="60"/>
      <w:ind w:left="1020" w:hanging="340"/>
    </w:pPr>
  </w:style>
  <w:style w:type="paragraph" w:styleId="List4">
    <w:name w:val="List 4"/>
    <w:basedOn w:val="BodyText"/>
    <w:rsid w:val="007E2570"/>
    <w:pPr>
      <w:tabs>
        <w:tab w:val="left" w:pos="1361"/>
      </w:tabs>
      <w:spacing w:before="60" w:after="60"/>
      <w:ind w:left="1361" w:hanging="340"/>
    </w:pPr>
  </w:style>
  <w:style w:type="paragraph" w:styleId="List5">
    <w:name w:val="List 5"/>
    <w:basedOn w:val="BodyText"/>
    <w:rsid w:val="007E2570"/>
    <w:pPr>
      <w:tabs>
        <w:tab w:val="left" w:pos="1701"/>
      </w:tabs>
      <w:spacing w:before="60" w:after="60"/>
      <w:ind w:left="1701" w:hanging="340"/>
    </w:pPr>
  </w:style>
  <w:style w:type="paragraph" w:styleId="ListBullet3">
    <w:name w:val="List Bullet 3"/>
    <w:basedOn w:val="List3"/>
    <w:rsid w:val="007E2570"/>
    <w:pPr>
      <w:numPr>
        <w:numId w:val="15"/>
      </w:numPr>
      <w:tabs>
        <w:tab w:val="clear" w:pos="1021"/>
      </w:tabs>
      <w:ind w:left="1037" w:hanging="357"/>
    </w:pPr>
  </w:style>
  <w:style w:type="paragraph" w:styleId="ListBullet4">
    <w:name w:val="List Bullet 4"/>
    <w:basedOn w:val="List4"/>
    <w:rsid w:val="007E2570"/>
    <w:pPr>
      <w:numPr>
        <w:numId w:val="3"/>
      </w:numPr>
    </w:pPr>
  </w:style>
  <w:style w:type="paragraph" w:styleId="ListBullet5">
    <w:name w:val="List Bullet 5"/>
    <w:basedOn w:val="List5"/>
    <w:rsid w:val="007E2570"/>
    <w:pPr>
      <w:numPr>
        <w:numId w:val="4"/>
      </w:numPr>
    </w:pPr>
  </w:style>
  <w:style w:type="paragraph" w:styleId="ListContinue2">
    <w:name w:val="List Continue 2"/>
    <w:basedOn w:val="List2"/>
    <w:rsid w:val="007E2570"/>
    <w:pPr>
      <w:ind w:firstLine="0"/>
    </w:pPr>
  </w:style>
  <w:style w:type="paragraph" w:styleId="ListContinue3">
    <w:name w:val="List Continue 3"/>
    <w:basedOn w:val="List3"/>
    <w:rsid w:val="007E2570"/>
    <w:pPr>
      <w:ind w:left="1021" w:firstLine="0"/>
    </w:pPr>
  </w:style>
  <w:style w:type="paragraph" w:styleId="ListContinue4">
    <w:name w:val="List Continue 4"/>
    <w:basedOn w:val="List4"/>
    <w:rsid w:val="007E2570"/>
    <w:pPr>
      <w:ind w:firstLine="0"/>
    </w:pPr>
  </w:style>
  <w:style w:type="paragraph" w:styleId="ListContinue5">
    <w:name w:val="List Continue 5"/>
    <w:basedOn w:val="List5"/>
    <w:rsid w:val="007E2570"/>
    <w:pPr>
      <w:ind w:firstLine="0"/>
    </w:pPr>
  </w:style>
  <w:style w:type="paragraph" w:styleId="ListNumber3">
    <w:name w:val="List Number 3"/>
    <w:basedOn w:val="List3"/>
    <w:rsid w:val="007E2570"/>
    <w:pPr>
      <w:numPr>
        <w:numId w:val="5"/>
      </w:numPr>
    </w:pPr>
  </w:style>
  <w:style w:type="paragraph" w:styleId="ListNumber4">
    <w:name w:val="List Number 4"/>
    <w:basedOn w:val="List4"/>
    <w:rsid w:val="007E2570"/>
    <w:pPr>
      <w:numPr>
        <w:numId w:val="6"/>
      </w:numPr>
    </w:pPr>
  </w:style>
  <w:style w:type="paragraph" w:styleId="ListNumber5">
    <w:name w:val="List Number 5"/>
    <w:basedOn w:val="List5"/>
    <w:rsid w:val="007E2570"/>
    <w:pPr>
      <w:numPr>
        <w:numId w:val="7"/>
      </w:numPr>
    </w:pPr>
  </w:style>
  <w:style w:type="paragraph" w:styleId="BlockText">
    <w:name w:val="Block Text"/>
    <w:basedOn w:val="Normal"/>
    <w:rsid w:val="007E2570"/>
    <w:pPr>
      <w:spacing w:after="120"/>
      <w:ind w:left="1440" w:right="1440"/>
    </w:pPr>
  </w:style>
  <w:style w:type="character" w:customStyle="1" w:styleId="Subscript">
    <w:name w:val="Subscript"/>
    <w:basedOn w:val="DefaultParagraphFont"/>
    <w:rsid w:val="007E2570"/>
    <w:rPr>
      <w:sz w:val="16"/>
      <w:vertAlign w:val="subscript"/>
    </w:rPr>
  </w:style>
  <w:style w:type="character" w:customStyle="1" w:styleId="Superscript">
    <w:name w:val="Superscript"/>
    <w:basedOn w:val="DefaultParagraphFont"/>
    <w:rsid w:val="007E2570"/>
    <w:rPr>
      <w:sz w:val="16"/>
      <w:vertAlign w:val="superscript"/>
    </w:rPr>
  </w:style>
  <w:style w:type="character" w:customStyle="1" w:styleId="Symbols">
    <w:name w:val="Symbols"/>
    <w:basedOn w:val="DefaultParagraphFont"/>
    <w:rsid w:val="007E2570"/>
    <w:rPr>
      <w:rFonts w:ascii="Symbol" w:hAnsi="Symbol"/>
    </w:rPr>
  </w:style>
  <w:style w:type="character" w:customStyle="1" w:styleId="MenuOptions">
    <w:name w:val="Menu Options"/>
    <w:basedOn w:val="DefaultParagraphFont"/>
    <w:rsid w:val="007E2570"/>
    <w:rPr>
      <w:rFonts w:ascii="Arial Narrow" w:hAnsi="Arial Narrow"/>
      <w:smallCaps/>
    </w:rPr>
  </w:style>
  <w:style w:type="character" w:customStyle="1" w:styleId="Buttons">
    <w:name w:val="Buttons"/>
    <w:basedOn w:val="DefaultParagraphFont"/>
    <w:rsid w:val="007E2570"/>
    <w:rPr>
      <w:b/>
    </w:rPr>
  </w:style>
  <w:style w:type="character" w:customStyle="1" w:styleId="Underlined">
    <w:name w:val="Underlined"/>
    <w:basedOn w:val="DefaultParagraphFont"/>
    <w:rsid w:val="007E2570"/>
    <w:rPr>
      <w:u w:val="single"/>
    </w:rPr>
  </w:style>
  <w:style w:type="paragraph" w:customStyle="1" w:styleId="TableBodyTextRight">
    <w:name w:val="Table Body Text Right"/>
    <w:basedOn w:val="TableBodyText"/>
    <w:rsid w:val="007E2570"/>
    <w:pPr>
      <w:widowControl w:val="0"/>
      <w:autoSpaceDE w:val="0"/>
      <w:autoSpaceDN w:val="0"/>
      <w:adjustRightInd w:val="0"/>
      <w:jc w:val="right"/>
    </w:pPr>
    <w:rPr>
      <w:rFonts w:cs="Arial"/>
      <w:szCs w:val="18"/>
    </w:rPr>
  </w:style>
  <w:style w:type="paragraph" w:customStyle="1" w:styleId="CopyrightText">
    <w:name w:val="Copyright Text"/>
    <w:basedOn w:val="BodyText"/>
    <w:rsid w:val="007E2570"/>
    <w:rPr>
      <w:sz w:val="18"/>
    </w:rPr>
  </w:style>
  <w:style w:type="paragraph" w:customStyle="1" w:styleId="BodySmallRight">
    <w:name w:val="Body Small Right"/>
    <w:basedOn w:val="BodyTextRight"/>
    <w:rsid w:val="007E2570"/>
    <w:rPr>
      <w:sz w:val="18"/>
      <w:szCs w:val="18"/>
    </w:rPr>
  </w:style>
  <w:style w:type="paragraph" w:customStyle="1" w:styleId="MarginEdition">
    <w:name w:val="Margin Edition"/>
    <w:basedOn w:val="MarginNote"/>
    <w:rsid w:val="007E2570"/>
    <w:pPr>
      <w:spacing w:before="0" w:after="0"/>
    </w:pPr>
    <w:rPr>
      <w:rFonts w:ascii="Times New Roman" w:hAnsi="Times New Roman"/>
      <w:color w:val="999999"/>
    </w:rPr>
  </w:style>
  <w:style w:type="paragraph" w:customStyle="1" w:styleId="Spacer">
    <w:name w:val="Spacer"/>
    <w:basedOn w:val="Normal"/>
    <w:rsid w:val="007E2570"/>
    <w:rPr>
      <w:sz w:val="2"/>
      <w:szCs w:val="2"/>
    </w:rPr>
  </w:style>
  <w:style w:type="character" w:customStyle="1" w:styleId="Small">
    <w:name w:val="Small"/>
    <w:basedOn w:val="DefaultParagraphFont"/>
    <w:rsid w:val="007E2570"/>
    <w:rPr>
      <w:sz w:val="16"/>
    </w:rPr>
  </w:style>
  <w:style w:type="paragraph" w:customStyle="1" w:styleId="WideTable">
    <w:name w:val="Wide Table"/>
    <w:basedOn w:val="Normal"/>
    <w:rsid w:val="007E2570"/>
    <w:pPr>
      <w:ind w:left="-1418"/>
    </w:pPr>
    <w:rPr>
      <w:sz w:val="2"/>
      <w:szCs w:val="2"/>
    </w:rPr>
  </w:style>
  <w:style w:type="character" w:styleId="PageNumber">
    <w:name w:val="page number"/>
    <w:basedOn w:val="DefaultParagraphFont"/>
    <w:rsid w:val="007E2570"/>
  </w:style>
  <w:style w:type="paragraph" w:styleId="Quote">
    <w:name w:val="Quote"/>
    <w:basedOn w:val="Heading1"/>
    <w:link w:val="QuoteChar"/>
    <w:qFormat/>
    <w:rsid w:val="007E2570"/>
    <w:rPr>
      <w:b w:val="0"/>
      <w:sz w:val="72"/>
      <w:szCs w:val="72"/>
      <w:lang w:val="en-NZ"/>
    </w:rPr>
  </w:style>
  <w:style w:type="character" w:customStyle="1" w:styleId="QuoteChar">
    <w:name w:val="Quote Char"/>
    <w:basedOn w:val="DefaultParagraphFont"/>
    <w:link w:val="Quote"/>
    <w:rsid w:val="007E2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570"/>
    <w:pPr>
      <w:pageBreakBefore/>
    </w:pPr>
  </w:style>
  <w:style w:type="paragraph" w:customStyle="1" w:styleId="Border">
    <w:name w:val="Border"/>
    <w:basedOn w:val="Normal"/>
    <w:qFormat/>
    <w:rsid w:val="007E25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570"/>
    <w:rPr>
      <w:b/>
      <w:bCs/>
      <w:i/>
      <w:iCs/>
      <w:color w:val="auto"/>
    </w:rPr>
  </w:style>
  <w:style w:type="paragraph" w:styleId="IntenseQuote">
    <w:name w:val="Intense Quote"/>
    <w:basedOn w:val="Normal"/>
    <w:next w:val="Normal"/>
    <w:link w:val="IntenseQuoteChar"/>
    <w:uiPriority w:val="30"/>
    <w:qFormat/>
    <w:rsid w:val="007E25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5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2570"/>
    <w:rPr>
      <w:smallCaps/>
      <w:color w:val="auto"/>
      <w:u w:val="single"/>
    </w:rPr>
  </w:style>
  <w:style w:type="character" w:styleId="IntenseReference">
    <w:name w:val="Intense Reference"/>
    <w:basedOn w:val="DefaultParagraphFont"/>
    <w:uiPriority w:val="32"/>
    <w:qFormat/>
    <w:rsid w:val="007E2570"/>
    <w:rPr>
      <w:b/>
      <w:bCs/>
      <w:smallCaps/>
      <w:color w:val="auto"/>
      <w:spacing w:val="5"/>
      <w:u w:val="single"/>
    </w:rPr>
  </w:style>
  <w:style w:type="paragraph" w:customStyle="1" w:styleId="2ColumnHeading">
    <w:name w:val="2Column Heading"/>
    <w:basedOn w:val="BodyText"/>
    <w:qFormat/>
    <w:rsid w:val="007E2570"/>
    <w:pPr>
      <w:spacing w:after="60"/>
      <w:ind w:left="-2268"/>
    </w:pPr>
    <w:rPr>
      <w:b/>
    </w:rPr>
  </w:style>
  <w:style w:type="paragraph" w:customStyle="1" w:styleId="Heading1TOC">
    <w:name w:val="Heading1 TOC"/>
    <w:basedOn w:val="Normal"/>
    <w:qFormat/>
    <w:rsid w:val="007E2570"/>
    <w:pPr>
      <w:spacing w:before="240" w:after="120"/>
    </w:pPr>
    <w:rPr>
      <w:rFonts w:ascii="Times New Roman" w:hAnsi="Times New Roman"/>
      <w:b/>
      <w:sz w:val="32"/>
    </w:rPr>
  </w:style>
  <w:style w:type="paragraph" w:customStyle="1" w:styleId="Heading2TOC">
    <w:name w:val="Heading2 TOC"/>
    <w:basedOn w:val="Normal"/>
    <w:qFormat/>
    <w:rsid w:val="007E2570"/>
    <w:pPr>
      <w:spacing w:before="240" w:after="60"/>
    </w:pPr>
    <w:rPr>
      <w:rFonts w:ascii="Times New Roman" w:hAnsi="Times New Roman"/>
      <w:b/>
      <w:sz w:val="28"/>
    </w:rPr>
  </w:style>
  <w:style w:type="character" w:customStyle="1" w:styleId="Underline">
    <w:name w:val="Underline"/>
    <w:basedOn w:val="DefaultParagraphFont"/>
    <w:qFormat/>
    <w:rsid w:val="007E2570"/>
    <w:rPr>
      <w:u w:val="single"/>
    </w:rPr>
  </w:style>
  <w:style w:type="paragraph" w:styleId="BalloonText">
    <w:name w:val="Balloon Text"/>
    <w:basedOn w:val="Normal"/>
    <w:link w:val="BalloonTextChar"/>
    <w:rsid w:val="007E2570"/>
    <w:rPr>
      <w:rFonts w:ascii="Tahoma" w:hAnsi="Tahoma" w:cs="Tahoma"/>
      <w:sz w:val="16"/>
      <w:szCs w:val="16"/>
    </w:rPr>
  </w:style>
  <w:style w:type="character" w:customStyle="1" w:styleId="BalloonTextChar">
    <w:name w:val="Balloon Text Char"/>
    <w:basedOn w:val="DefaultParagraphFont"/>
    <w:link w:val="BalloonText"/>
    <w:rsid w:val="007E25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25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25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1565</Words>
  <Characters>10623</Characters>
  <Application>Microsoft Office Word</Application>
  <DocSecurity>0</DocSecurity>
  <Lines>341</Lines>
  <Paragraphs>205</Paragraphs>
  <ScaleCrop>false</ScaleCrop>
  <Company>Author-it Software Corporation Ltd.</Company>
  <LinksUpToDate>false</LinksUpToDate>
  <CharactersWithSpaces>12124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CPPSEC4010A Manage monitoring centres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2012-05-26T06:25:00Z</dcterms:created>
  <dcterms:modified xsi:type="dcterms:W3CDTF">2012-05-26T06:25:00Z</dcterms:modified>
</cp:coreProperties>
</file>