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5014" w:rsidP="001D5014">
      <w:pPr>
        <w:pStyle w:val="Title"/>
      </w:pPr>
      <w:r>
        <w:fldChar w:fldCharType="begin"/>
      </w:r>
      <w:r>
        <w:instrText xml:space="preserve"> TITLE   \* MERGEFORMAT </w:instrText>
      </w:r>
      <w:r>
        <w:fldChar w:fldCharType="separate"/>
      </w:r>
      <w:r>
        <w:t>CPPSEC3031A Organise and operate a surveillance vehicle</w:t>
      </w:r>
      <w:r>
        <w:fldChar w:fldCharType="end"/>
      </w:r>
    </w:p>
    <w:p w:rsidR="001D5014" w:rsidP="001D5014">
      <w:pPr>
        <w:pStyle w:val="Version"/>
        <w:sectPr w:rsidSect="00F21D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1D65" w:rsidP="00F21D65">
      <w:pPr>
        <w:pStyle w:val="SuperHeading"/>
      </w:pPr>
      <w:r w:rsidRPr="00F21D65">
        <w:t>CPPSEC3031A Organise and operate a surveillance vehicle</w:t>
      </w:r>
    </w:p>
    <w:p w:rsidR="00000000" w:rsidRPr="00F21D65" w:rsidP="00F21D65">
      <w:pPr>
        <w:pStyle w:val="Heading1"/>
      </w:pPr>
      <w:bookmarkStart w:id="1" w:name="O_270229"/>
      <w:bookmarkEnd w:id="1"/>
      <w:r w:rsidRPr="00F21D65">
        <w:t>Modification History</w:t>
      </w:r>
    </w:p>
    <w:p w:rsidR="00000000" w:rsidRPr="00F21D65" w:rsidP="00F21D65">
      <w:pPr>
        <w:pStyle w:val="BodyText"/>
      </w:pPr>
      <w:r w:rsidRPr="00F21D65">
        <w:t>Not Applicable</w:t>
      </w:r>
    </w:p>
    <w:p w:rsidR="00000000" w:rsidRPr="00F21D65" w:rsidP="00F21D65">
      <w:pPr>
        <w:pStyle w:val="AllowPageBreak"/>
      </w:pPr>
    </w:p>
    <w:p w:rsidR="00000000" w:rsidRPr="00F21D65" w:rsidP="00F21D65">
      <w:pPr>
        <w:pStyle w:val="Heading1"/>
      </w:pPr>
      <w:bookmarkStart w:id="2" w:name="O_201940"/>
      <w:bookmarkEnd w:id="2"/>
      <w:r w:rsidRPr="00F21D65">
        <w:t>Unit Descriptor</w:t>
      </w:r>
    </w:p>
    <w:tbl>
      <w:tblPr>
        <w:tblW w:w="0" w:type="auto"/>
        <w:tblLayout w:type="fixed"/>
        <w:tblCellMar>
          <w:left w:w="62" w:type="dxa"/>
          <w:right w:w="62" w:type="dxa"/>
        </w:tblCellMar>
        <w:tblLook w:val="0000"/>
      </w:tblPr>
      <w:tblGrid>
        <w:gridCol w:w="2391"/>
        <w:gridCol w:w="6131"/>
      </w:tblGrid>
      <w:tr w:rsidTr="001D5014">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F21D65">
            <w:pPr>
              <w:pStyle w:val="BodyText"/>
              <w:rPr>
                <w:lang w:val="en-NZ"/>
              </w:rPr>
            </w:pPr>
            <w:r w:rsidRPr="00F21D65">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F21D65" w:rsidP="00F21D65">
            <w:pPr>
              <w:pStyle w:val="BodyText"/>
            </w:pPr>
            <w:r w:rsidRPr="00F21D65">
              <w:t>This unit of competency specifies the outcomes required to select a suitable surveillance vehicle</w:t>
            </w:r>
            <w:r w:rsidRPr="00F21D65">
              <w:t xml:space="preserve"> to perform required investigative duties.  It requires the ability to operate a vehicle to perform both static and mobile surveillance functions while following road and traffic laws and assignment instructions.  It also requires the ability to use survei</w:t>
            </w:r>
            <w:r w:rsidRPr="00F21D65">
              <w:t>llance equipment to gather information and evidence.</w:t>
            </w:r>
          </w:p>
          <w:p w:rsidR="00000000" w:rsidRPr="00F21D65" w:rsidP="00F21D65">
            <w:pPr>
              <w:pStyle w:val="BodyText"/>
            </w:pPr>
            <w:r w:rsidRPr="00F21D65">
              <w:t>This unit may form part of the licensing requirements for persons engaged in investigative work in those states and territories where these are regulated activities.</w:t>
            </w:r>
          </w:p>
        </w:tc>
      </w:tr>
    </w:tbl>
    <w:p w:rsidR="001D5014" w:rsidP="00F21D65">
      <w:pPr>
        <w:pStyle w:val="BodyText"/>
      </w:pPr>
    </w:p>
    <w:p w:rsidR="001D5014" w:rsidP="00F21D65">
      <w:pPr>
        <w:pStyle w:val="BodyText"/>
      </w:pPr>
    </w:p>
    <w:p w:rsidR="00000000" w:rsidRPr="00F21D65" w:rsidP="00F21D65">
      <w:pPr>
        <w:pStyle w:val="Heading1"/>
      </w:pPr>
      <w:bookmarkStart w:id="3" w:name="O_201942"/>
      <w:bookmarkEnd w:id="3"/>
      <w:r w:rsidRPr="00F21D65">
        <w:t>Application of the Unit</w:t>
      </w:r>
    </w:p>
    <w:tbl>
      <w:tblPr>
        <w:tblW w:w="0" w:type="auto"/>
        <w:tblLayout w:type="fixed"/>
        <w:tblCellMar>
          <w:left w:w="62" w:type="dxa"/>
          <w:right w:w="62" w:type="dxa"/>
        </w:tblCellMar>
        <w:tblLook w:val="0000"/>
      </w:tblPr>
      <w:tblGrid>
        <w:gridCol w:w="2391"/>
        <w:gridCol w:w="6131"/>
      </w:tblGrid>
      <w:tr w:rsidTr="001D5014">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F21D65">
            <w:pPr>
              <w:pStyle w:val="BodyText"/>
              <w:rPr>
                <w:lang w:val="en-NZ"/>
              </w:rPr>
            </w:pPr>
            <w:r w:rsidRPr="00F21D65">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F21D65" w:rsidP="00F21D65">
            <w:pPr>
              <w:pStyle w:val="BodyText"/>
            </w:pPr>
            <w:r w:rsidRPr="00F21D65">
              <w:t>This unit of competency has application in a range of work roles in investigative services.  Work is performed under limited supervision and competency requires some judgement and decision-making.  The knowle</w:t>
            </w:r>
            <w:r w:rsidRPr="00F21D65">
              <w:t>dge and skills described in this unit are to be applied within relevant legislative guidelines.</w:t>
            </w:r>
          </w:p>
        </w:tc>
      </w:tr>
    </w:tbl>
    <w:p w:rsidR="001D5014" w:rsidP="00F21D65">
      <w:pPr>
        <w:pStyle w:val="BodyText"/>
      </w:pPr>
    </w:p>
    <w:p w:rsidR="001D5014" w:rsidP="00F21D65">
      <w:pPr>
        <w:pStyle w:val="BodyText"/>
      </w:pPr>
    </w:p>
    <w:p w:rsidR="00000000" w:rsidRPr="00F21D65" w:rsidP="00F21D65">
      <w:pPr>
        <w:pStyle w:val="Heading1"/>
      </w:pPr>
      <w:bookmarkStart w:id="4" w:name="O_278489"/>
      <w:bookmarkEnd w:id="4"/>
      <w:r w:rsidRPr="00F21D65">
        <w:t>Licensing/Regulatory Information</w:t>
      </w:r>
    </w:p>
    <w:p w:rsidR="00000000" w:rsidRPr="00F21D65" w:rsidP="00F21D65">
      <w:pPr>
        <w:pStyle w:val="BodyText"/>
      </w:pPr>
      <w:r w:rsidRPr="00F21D65">
        <w:t>Refer to Unit Descriptor</w:t>
      </w:r>
    </w:p>
    <w:p w:rsidR="00000000" w:rsidRPr="00F21D65" w:rsidP="00F21D65">
      <w:pPr>
        <w:pStyle w:val="AllowPageBreak"/>
      </w:pPr>
    </w:p>
    <w:p w:rsidR="00000000" w:rsidRPr="00F21D65" w:rsidP="00F21D65">
      <w:pPr>
        <w:pStyle w:val="Heading1"/>
      </w:pPr>
      <w:bookmarkStart w:id="5" w:name="O_283610"/>
      <w:bookmarkEnd w:id="5"/>
      <w:r w:rsidRPr="00F21D65">
        <w:t>Pre-Requisites</w:t>
      </w:r>
    </w:p>
    <w:p w:rsidR="00000000" w:rsidRPr="00F21D65" w:rsidP="00F21D65">
      <w:pPr>
        <w:pStyle w:val="BodyText"/>
      </w:pPr>
      <w:r w:rsidRPr="00F21D65">
        <w:t>Not Applicable</w:t>
      </w:r>
    </w:p>
    <w:p w:rsidR="00000000" w:rsidRPr="00F21D65" w:rsidP="00F21D65">
      <w:pPr>
        <w:pStyle w:val="AllowPageBreak"/>
      </w:pPr>
    </w:p>
    <w:p w:rsidR="00000000" w:rsidRPr="00F21D65" w:rsidP="00F21D65">
      <w:pPr>
        <w:pStyle w:val="Heading1"/>
      </w:pPr>
      <w:bookmarkStart w:id="6" w:name="O_201941"/>
      <w:bookmarkEnd w:id="6"/>
      <w:r w:rsidRPr="00F21D65">
        <w:t>Employability Skills Information</w:t>
      </w:r>
    </w:p>
    <w:tbl>
      <w:tblPr>
        <w:tblW w:w="0" w:type="auto"/>
        <w:tblLayout w:type="fixed"/>
        <w:tblCellMar>
          <w:left w:w="62" w:type="dxa"/>
          <w:right w:w="62" w:type="dxa"/>
        </w:tblCellMar>
        <w:tblLook w:val="0000"/>
      </w:tblPr>
      <w:tblGrid>
        <w:gridCol w:w="2624"/>
        <w:gridCol w:w="5898"/>
      </w:tblGrid>
      <w:tr w:rsidTr="001D5014">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F21D65">
            <w:pPr>
              <w:pStyle w:val="BodyText"/>
              <w:rPr>
                <w:lang w:val="en-NZ"/>
              </w:rPr>
            </w:pPr>
            <w:r w:rsidRPr="00F21D65">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F21D65" w:rsidP="00F21D65">
            <w:pPr>
              <w:pStyle w:val="BodyText"/>
            </w:pPr>
            <w:r w:rsidRPr="00F21D65">
              <w:t>This unit contains employability skills.</w:t>
            </w:r>
          </w:p>
        </w:tc>
      </w:tr>
    </w:tbl>
    <w:p w:rsidR="001D5014" w:rsidP="00F21D65">
      <w:pPr>
        <w:pStyle w:val="BodyText"/>
      </w:pPr>
    </w:p>
    <w:p w:rsidR="001D5014" w:rsidP="00F21D65">
      <w:pPr>
        <w:pStyle w:val="BodyText"/>
      </w:pPr>
    </w:p>
    <w:p w:rsidR="00000000" w:rsidRPr="00F21D65" w:rsidP="00F21D65">
      <w:pPr>
        <w:pStyle w:val="Heading1"/>
      </w:pPr>
      <w:bookmarkStart w:id="7" w:name="O_288275"/>
      <w:bookmarkEnd w:id="7"/>
      <w:r w:rsidRPr="00F21D65">
        <w:t>Elements and Performance Criteria Pre-Content</w:t>
      </w:r>
    </w:p>
    <w:tbl>
      <w:tblPr>
        <w:tblW w:w="0" w:type="auto"/>
        <w:tblLayout w:type="fixed"/>
        <w:tblCellMar>
          <w:left w:w="62" w:type="dxa"/>
          <w:right w:w="62" w:type="dxa"/>
        </w:tblCellMar>
        <w:tblLook w:val="0000"/>
      </w:tblPr>
      <w:tblGrid>
        <w:gridCol w:w="2412"/>
        <w:gridCol w:w="6110"/>
      </w:tblGrid>
      <w:tr w:rsidTr="001D501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21D65">
            <w:pPr>
              <w:pStyle w:val="BodyText"/>
              <w:rPr>
                <w:lang w:val="en-NZ"/>
              </w:rPr>
            </w:pPr>
            <w:r w:rsidRPr="00F21D65">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F21D65" w:rsidP="00F21D65">
            <w:pPr>
              <w:pStyle w:val="BodyText"/>
            </w:pPr>
            <w:r w:rsidRPr="00F21D65">
              <w:t>Performance criteria describe</w:t>
            </w:r>
            <w:r w:rsidRPr="00F21D65">
              <w:t xml:space="preserve"> the required performance needed to demonstrate achievement of the element. Where </w:t>
            </w:r>
            <w:r w:rsidRPr="00F21D65">
              <w:rPr>
                <w:rStyle w:val="BoldandItalics"/>
              </w:rPr>
              <w:t>bold italicised</w:t>
            </w:r>
            <w:r w:rsidRPr="00F21D65">
              <w:t xml:space="preserve"> text is used, further information is detailed in the required skills and knowledge section and/or the range statement. Assessment of performance is to be cons</w:t>
            </w:r>
            <w:r w:rsidRPr="00F21D65">
              <w:t>istent with the evidence guide.</w:t>
            </w:r>
          </w:p>
        </w:tc>
      </w:tr>
    </w:tbl>
    <w:p w:rsidR="00000000" w:rsidRPr="00F21D65" w:rsidP="00F21D65">
      <w:pPr>
        <w:pStyle w:val="BodyText"/>
      </w:pPr>
    </w:p>
    <w:p w:rsidR="00000000" w:rsidRPr="00F21D65" w:rsidP="00F21D65">
      <w:pPr>
        <w:pStyle w:val="AllowPageBreak"/>
      </w:pPr>
    </w:p>
    <w:p w:rsidR="00000000" w:rsidRPr="00F21D65" w:rsidP="00F21D65">
      <w:pPr>
        <w:pStyle w:val="Heading1"/>
      </w:pPr>
      <w:bookmarkStart w:id="8" w:name="O_234942"/>
      <w:bookmarkEnd w:id="8"/>
      <w:r w:rsidRPr="00F21D65">
        <w:t>Elements and Performance Criteria</w:t>
      </w:r>
    </w:p>
    <w:tbl>
      <w:tblPr>
        <w:tblW w:w="0" w:type="auto"/>
        <w:tblLayout w:type="fixed"/>
        <w:tblCellMar>
          <w:left w:w="62" w:type="dxa"/>
          <w:right w:w="62" w:type="dxa"/>
        </w:tblCellMar>
        <w:tblLook w:val="0000"/>
      </w:tblPr>
      <w:tblGrid>
        <w:gridCol w:w="2412"/>
        <w:gridCol w:w="6110"/>
      </w:tblGrid>
      <w:tr w:rsidTr="001D5014">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F21D65" w:rsidP="00F21D65">
            <w:pPr>
              <w:pStyle w:val="List"/>
            </w:pPr>
            <w:r w:rsidRPr="00F21D65">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F21D65">
            <w:pPr>
              <w:pStyle w:val="List"/>
              <w:rPr>
                <w:lang w:val="en-NZ"/>
              </w:rPr>
            </w:pPr>
            <w:r w:rsidRPr="00F21D65">
              <w:rPr>
                <w:rStyle w:val="SpecialBold"/>
              </w:rPr>
              <w:t>PERFORMANCE CRITERIA</w:t>
            </w:r>
          </w:p>
        </w:tc>
      </w:tr>
      <w:tr w:rsidTr="001D501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21D65">
            <w:pPr>
              <w:pStyle w:val="List"/>
              <w:rPr>
                <w:lang w:val="en-NZ"/>
              </w:rPr>
            </w:pPr>
            <w:r w:rsidRPr="00F21D65">
              <w:rPr>
                <w:rStyle w:val="SpecialBold"/>
              </w:rPr>
              <w:t>1</w:t>
            </w:r>
            <w:r w:rsidRPr="00F21D65">
              <w:tab/>
            </w:r>
            <w:r w:rsidRPr="00F21D65">
              <w:rPr>
                <w:rStyle w:val="SpecialBold"/>
              </w:rPr>
              <w:t>Select vehicle</w:t>
            </w:r>
            <w:r w:rsidRPr="00F21D65">
              <w:t>.</w:t>
            </w:r>
          </w:p>
        </w:tc>
        <w:tc>
          <w:tcPr>
            <w:tcW w:w="6110" w:type="dxa"/>
            <w:tcBorders>
              <w:top w:val="nil"/>
              <w:left w:val="nil"/>
              <w:bottom w:val="nil"/>
              <w:right w:val="nil"/>
            </w:tcBorders>
            <w:tcMar>
              <w:top w:w="0" w:type="dxa"/>
              <w:left w:w="62" w:type="dxa"/>
              <w:bottom w:w="0" w:type="dxa"/>
              <w:right w:w="62" w:type="dxa"/>
            </w:tcMar>
          </w:tcPr>
          <w:p w:rsidR="00000000" w:rsidRPr="00F21D65" w:rsidP="00F21D65">
            <w:pPr>
              <w:pStyle w:val="List"/>
            </w:pPr>
            <w:r w:rsidRPr="00F21D65">
              <w:t>1.1</w:t>
            </w:r>
            <w:r w:rsidRPr="00F21D65">
              <w:tab/>
            </w:r>
            <w:r w:rsidRPr="00F21D65">
              <w:rPr>
                <w:rStyle w:val="BoldandItalics"/>
              </w:rPr>
              <w:t>Assignment instructions</w:t>
            </w:r>
            <w:r w:rsidRPr="00F21D65">
              <w:t xml:space="preserve"> and </w:t>
            </w:r>
            <w:r w:rsidRPr="00F21D65">
              <w:rPr>
                <w:rStyle w:val="BoldandItalics"/>
              </w:rPr>
              <w:t>relevant information</w:t>
            </w:r>
            <w:r w:rsidRPr="00F21D65">
              <w:t xml:space="preserve"> is used to identify vehicle requirements in accordance with client and </w:t>
            </w:r>
            <w:r w:rsidRPr="00F21D65">
              <w:rPr>
                <w:rStyle w:val="BoldandItalics"/>
              </w:rPr>
              <w:t>legislative requirements</w:t>
            </w:r>
            <w:r w:rsidRPr="00F21D65">
              <w:t>.</w:t>
            </w:r>
          </w:p>
          <w:p w:rsidR="00000000" w:rsidRPr="00F21D65" w:rsidP="00F21D65">
            <w:pPr>
              <w:pStyle w:val="List"/>
            </w:pPr>
            <w:r w:rsidRPr="00F21D65">
              <w:t>1.2</w:t>
            </w:r>
            <w:r w:rsidRPr="00F21D65">
              <w:tab/>
              <w:t xml:space="preserve">Vehicle is selected based on assessment of all </w:t>
            </w:r>
            <w:r w:rsidRPr="00F21D65">
              <w:rPr>
                <w:rStyle w:val="BoldandItalics"/>
              </w:rPr>
              <w:t>factors</w:t>
            </w:r>
            <w:r w:rsidRPr="00F21D65">
              <w:t xml:space="preserve"> and confirmed with </w:t>
            </w:r>
            <w:r w:rsidRPr="00F21D65">
              <w:rPr>
                <w:rStyle w:val="BoldandItalics"/>
              </w:rPr>
              <w:t>relevant persons</w:t>
            </w:r>
            <w:r w:rsidRPr="00F21D65">
              <w:t>.</w:t>
            </w:r>
          </w:p>
          <w:p w:rsidR="00000000" w:rsidRPr="00F21D65" w:rsidP="00F21D65">
            <w:pPr>
              <w:pStyle w:val="List"/>
            </w:pPr>
            <w:r w:rsidRPr="00F21D65">
              <w:t>1.3</w:t>
            </w:r>
            <w:r w:rsidRPr="00F21D65">
              <w:tab/>
              <w:t xml:space="preserve">Routine </w:t>
            </w:r>
            <w:r w:rsidRPr="00F21D65">
              <w:rPr>
                <w:rStyle w:val="BoldandItalics"/>
              </w:rPr>
              <w:t>pre</w:t>
            </w:r>
            <w:r w:rsidRPr="00F21D65">
              <w:t>-</w:t>
            </w:r>
            <w:r w:rsidRPr="00F21D65">
              <w:rPr>
                <w:rStyle w:val="BoldandItalics"/>
              </w:rPr>
              <w:t>operational checks</w:t>
            </w:r>
            <w:r w:rsidRPr="00F21D65">
              <w:t xml:space="preserve"> are conducted in accordance</w:t>
            </w:r>
            <w:r w:rsidRPr="00F21D65">
              <w:t xml:space="preserve"> with </w:t>
            </w:r>
            <w:r w:rsidRPr="00F21D65">
              <w:rPr>
                <w:rStyle w:val="BoldandItalics"/>
              </w:rPr>
              <w:t>manufacturer's instructions</w:t>
            </w:r>
            <w:r w:rsidRPr="00F21D65">
              <w:t xml:space="preserve"> and </w:t>
            </w:r>
            <w:r w:rsidRPr="00F21D65">
              <w:rPr>
                <w:rStyle w:val="BoldandItalics"/>
              </w:rPr>
              <w:t>Occupational Health and Safety</w:t>
            </w:r>
            <w:r w:rsidRPr="00F21D65">
              <w:t xml:space="preserve"> (</w:t>
            </w:r>
            <w:r w:rsidRPr="00F21D65">
              <w:rPr>
                <w:rStyle w:val="BoldandItalics"/>
              </w:rPr>
              <w:t>OHS</w:t>
            </w:r>
            <w:r w:rsidRPr="00F21D65">
              <w:t xml:space="preserve">) </w:t>
            </w:r>
            <w:r w:rsidRPr="00F21D65">
              <w:rPr>
                <w:rStyle w:val="BoldandItalics"/>
              </w:rPr>
              <w:t>requirements</w:t>
            </w:r>
            <w:r w:rsidRPr="00F21D65">
              <w:t>.</w:t>
            </w:r>
          </w:p>
          <w:p w:rsidR="00000000" w:rsidRPr="00F21D65" w:rsidP="00F21D65">
            <w:pPr>
              <w:pStyle w:val="List"/>
            </w:pPr>
            <w:r w:rsidRPr="00F21D65">
              <w:t>1.4</w:t>
            </w:r>
            <w:r w:rsidRPr="00F21D65">
              <w:tab/>
              <w:t xml:space="preserve">Faults and malfunctions are reported and action initiated to rectify problems or seek replacement as appropriate. </w:t>
            </w:r>
          </w:p>
          <w:p w:rsidR="00000000" w:rsidP="00F21D65">
            <w:pPr>
              <w:pStyle w:val="List"/>
              <w:rPr>
                <w:lang w:val="en-NZ"/>
              </w:rPr>
            </w:pPr>
            <w:r w:rsidRPr="00F21D65">
              <w:t>1.5</w:t>
            </w:r>
            <w:r w:rsidRPr="00F21D65">
              <w:tab/>
            </w:r>
            <w:r w:rsidRPr="00F21D65">
              <w:rPr>
                <w:rStyle w:val="BoldandItalics"/>
              </w:rPr>
              <w:t>Consumables and spares</w:t>
            </w:r>
            <w:r w:rsidRPr="00F21D65">
              <w:t xml:space="preserve"> are obtained to allow</w:t>
            </w:r>
            <w:r w:rsidRPr="00F21D65">
              <w:t xml:space="preserve"> for contingencies in accordance with investigation objectives.</w:t>
            </w:r>
          </w:p>
        </w:tc>
      </w:tr>
      <w:tr w:rsidTr="001D501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21D65">
            <w:pPr>
              <w:pStyle w:val="List"/>
              <w:rPr>
                <w:lang w:val="en-NZ"/>
              </w:rPr>
            </w:pPr>
            <w:r w:rsidRPr="00F21D65">
              <w:rPr>
                <w:rStyle w:val="SpecialBold"/>
              </w:rPr>
              <w:t>2</w:t>
            </w:r>
            <w:r w:rsidRPr="00F21D65">
              <w:tab/>
            </w:r>
            <w:r w:rsidRPr="00F21D65">
              <w:rPr>
                <w:rStyle w:val="SpecialBold"/>
              </w:rPr>
              <w:t>Equip and maintain vehicle</w:t>
            </w:r>
            <w:r w:rsidRPr="00F21D65">
              <w:t>.</w:t>
            </w:r>
          </w:p>
        </w:tc>
        <w:tc>
          <w:tcPr>
            <w:tcW w:w="6110" w:type="dxa"/>
            <w:tcBorders>
              <w:top w:val="nil"/>
              <w:left w:val="nil"/>
              <w:bottom w:val="nil"/>
              <w:right w:val="nil"/>
            </w:tcBorders>
            <w:tcMar>
              <w:top w:w="0" w:type="dxa"/>
              <w:left w:w="62" w:type="dxa"/>
              <w:bottom w:w="0" w:type="dxa"/>
              <w:right w:w="62" w:type="dxa"/>
            </w:tcMar>
          </w:tcPr>
          <w:p w:rsidR="00000000" w:rsidRPr="00F21D65" w:rsidP="00F21D65">
            <w:pPr>
              <w:pStyle w:val="List"/>
            </w:pPr>
            <w:r w:rsidRPr="00F21D65">
              <w:t>2.1</w:t>
            </w:r>
            <w:r w:rsidRPr="00F21D65">
              <w:tab/>
            </w:r>
            <w:r w:rsidRPr="00F21D65">
              <w:rPr>
                <w:rStyle w:val="BoldandItalics"/>
              </w:rPr>
              <w:t>Suitability of vehicle</w:t>
            </w:r>
            <w:r w:rsidRPr="00F21D65">
              <w:t xml:space="preserve"> is checked against required </w:t>
            </w:r>
            <w:r w:rsidRPr="00F21D65">
              <w:rPr>
                <w:rStyle w:val="BoldandItalics"/>
              </w:rPr>
              <w:t>surveillance</w:t>
            </w:r>
            <w:r w:rsidRPr="00F21D65">
              <w:t xml:space="preserve"> activities.</w:t>
            </w:r>
          </w:p>
          <w:p w:rsidR="00000000" w:rsidRPr="00F21D65" w:rsidP="00F21D65">
            <w:pPr>
              <w:pStyle w:val="List"/>
            </w:pPr>
            <w:r w:rsidRPr="00F21D65">
              <w:t>2.2</w:t>
            </w:r>
            <w:r w:rsidRPr="00F21D65">
              <w:tab/>
              <w:t xml:space="preserve">Internal layout of vehicle is arranged for full use of </w:t>
            </w:r>
            <w:r w:rsidRPr="00F21D65">
              <w:rPr>
                <w:rStyle w:val="BoldandItalics"/>
              </w:rPr>
              <w:t>surveillance equipment</w:t>
            </w:r>
            <w:r w:rsidRPr="00F21D65">
              <w:t>.</w:t>
            </w:r>
          </w:p>
          <w:p w:rsidR="00000000" w:rsidRPr="00F21D65" w:rsidP="00F21D65">
            <w:pPr>
              <w:pStyle w:val="List"/>
            </w:pPr>
            <w:r w:rsidRPr="00F21D65">
              <w:t>2.3</w:t>
            </w:r>
            <w:r w:rsidRPr="00F21D65">
              <w:tab/>
              <w:t>Surveillance equipment is safely secured to maximise comfort and minimise risk in accordance with OHS requirements.</w:t>
            </w:r>
          </w:p>
          <w:p w:rsidR="00000000" w:rsidP="00F21D65">
            <w:pPr>
              <w:pStyle w:val="List"/>
              <w:rPr>
                <w:lang w:val="en-NZ"/>
              </w:rPr>
            </w:pPr>
            <w:r w:rsidRPr="00F21D65">
              <w:t>2.4</w:t>
            </w:r>
            <w:r w:rsidRPr="00F21D65">
              <w:tab/>
              <w:t xml:space="preserve">Accessibility to </w:t>
            </w:r>
            <w:r w:rsidRPr="00F21D65">
              <w:rPr>
                <w:rStyle w:val="BoldandItalics"/>
              </w:rPr>
              <w:t>stores</w:t>
            </w:r>
            <w:r w:rsidRPr="00F21D65">
              <w:t xml:space="preserve"> is maintained during surveillance in accordance with OHS requirements.</w:t>
            </w:r>
          </w:p>
        </w:tc>
      </w:tr>
      <w:tr w:rsidTr="001D501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21D65">
            <w:pPr>
              <w:pStyle w:val="List"/>
              <w:rPr>
                <w:lang w:val="en-NZ"/>
              </w:rPr>
            </w:pPr>
            <w:r w:rsidRPr="00F21D65">
              <w:rPr>
                <w:rStyle w:val="SpecialBold"/>
              </w:rPr>
              <w:t>3</w:t>
            </w:r>
            <w:r w:rsidRPr="00F21D65">
              <w:tab/>
            </w:r>
            <w:r w:rsidRPr="00F21D65">
              <w:rPr>
                <w:rStyle w:val="SpecialBold"/>
              </w:rPr>
              <w:t>Operate vehicle</w:t>
            </w:r>
            <w:r w:rsidRPr="00F21D65">
              <w:t>.</w:t>
            </w:r>
          </w:p>
        </w:tc>
        <w:tc>
          <w:tcPr>
            <w:tcW w:w="6110" w:type="dxa"/>
            <w:tcBorders>
              <w:top w:val="nil"/>
              <w:left w:val="nil"/>
              <w:bottom w:val="nil"/>
              <w:right w:val="nil"/>
            </w:tcBorders>
            <w:tcMar>
              <w:top w:w="0" w:type="dxa"/>
              <w:left w:w="62" w:type="dxa"/>
              <w:bottom w:w="0" w:type="dxa"/>
              <w:right w:w="62" w:type="dxa"/>
            </w:tcMar>
          </w:tcPr>
          <w:p w:rsidR="00000000" w:rsidRPr="00F21D65" w:rsidP="00F21D65">
            <w:pPr>
              <w:pStyle w:val="List"/>
            </w:pPr>
            <w:r w:rsidRPr="00F21D65">
              <w:t>3.1</w:t>
            </w:r>
            <w:r w:rsidRPr="00F21D65">
              <w:tab/>
            </w:r>
            <w:r w:rsidRPr="00F21D65">
              <w:t>Vehicle is used for surveillance operation in the manner intended in accordance with manufacturer's instructions.</w:t>
            </w:r>
          </w:p>
          <w:p w:rsidR="00000000" w:rsidRPr="00F21D65" w:rsidP="00F21D65">
            <w:pPr>
              <w:pStyle w:val="List"/>
            </w:pPr>
            <w:r w:rsidRPr="00F21D65">
              <w:t>3.2</w:t>
            </w:r>
            <w:r w:rsidRPr="00F21D65">
              <w:tab/>
              <w:t>Driving hazards are anticipated, identified and controlled through the application of safe and defensive driving techniques.</w:t>
            </w:r>
          </w:p>
          <w:p w:rsidR="00000000" w:rsidRPr="00F21D65" w:rsidP="00F21D65">
            <w:pPr>
              <w:pStyle w:val="List"/>
            </w:pPr>
            <w:r w:rsidRPr="00F21D65">
              <w:t>3.3</w:t>
            </w:r>
            <w:r w:rsidRPr="00F21D65">
              <w:tab/>
              <w:t>Vehicle i</w:t>
            </w:r>
            <w:r w:rsidRPr="00F21D65">
              <w:t>s driven in a safe and controlled manner to avoid damage to persons, property or the environment.</w:t>
            </w:r>
          </w:p>
          <w:p w:rsidR="00000000" w:rsidRPr="00F21D65" w:rsidP="00F21D65">
            <w:pPr>
              <w:pStyle w:val="List"/>
            </w:pPr>
            <w:r w:rsidRPr="00F21D65">
              <w:t>3.4</w:t>
            </w:r>
            <w:r w:rsidRPr="00F21D65">
              <w:tab/>
              <w:t>Vehicle is positioned to enable surveillance of person or asset and information gathered in accordance with assignment instructions.</w:t>
            </w:r>
          </w:p>
        </w:tc>
      </w:tr>
    </w:tbl>
    <w:p w:rsidR="001D5014" w:rsidP="00F21D65">
      <w:pPr>
        <w:pStyle w:val="BodyText"/>
      </w:pPr>
    </w:p>
    <w:p w:rsidR="001D5014" w:rsidP="00F21D65">
      <w:pPr>
        <w:pStyle w:val="BodyText"/>
      </w:pPr>
    </w:p>
    <w:p w:rsidR="00000000" w:rsidRPr="00F21D65" w:rsidP="00F21D65">
      <w:pPr>
        <w:pStyle w:val="Heading1"/>
      </w:pPr>
      <w:bookmarkStart w:id="9" w:name="O_258892"/>
      <w:bookmarkEnd w:id="9"/>
      <w:r w:rsidRPr="00F21D65">
        <w:t>Required Skills and Knowledge</w:t>
      </w:r>
    </w:p>
    <w:tbl>
      <w:tblPr>
        <w:tblW w:w="0" w:type="auto"/>
        <w:tblLayout w:type="fixed"/>
        <w:tblCellMar>
          <w:left w:w="62" w:type="dxa"/>
          <w:right w:w="62" w:type="dxa"/>
        </w:tblCellMar>
        <w:tblLook w:val="0000"/>
      </w:tblPr>
      <w:tblGrid>
        <w:gridCol w:w="8522"/>
      </w:tblGrid>
      <w:tr w:rsidTr="001D501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21D65">
            <w:pPr>
              <w:pStyle w:val="BodyText"/>
              <w:rPr>
                <w:lang w:val="en-NZ"/>
              </w:rPr>
            </w:pPr>
            <w:r w:rsidRPr="00F21D65">
              <w:rPr>
                <w:rStyle w:val="SpecialBold"/>
              </w:rPr>
              <w:t>REQUIRED SKILLS AND KNOWLEDGE</w:t>
            </w:r>
          </w:p>
        </w:tc>
      </w:tr>
      <w:tr w:rsidTr="001D501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21D65">
            <w:pPr>
              <w:pStyle w:val="BodyText"/>
              <w:rPr>
                <w:lang w:val="en-NZ"/>
              </w:rPr>
            </w:pPr>
            <w:r w:rsidRPr="00F21D65">
              <w:t>This section describes the skills and knowledge and their level required for this unit.</w:t>
            </w:r>
          </w:p>
        </w:tc>
      </w:tr>
      <w:tr w:rsidTr="001D501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21D65">
            <w:pPr>
              <w:pStyle w:val="BodyText"/>
              <w:rPr>
                <w:lang w:val="en-NZ"/>
              </w:rPr>
            </w:pPr>
            <w:r w:rsidRPr="00F21D65">
              <w:rPr>
                <w:rStyle w:val="SpecialBold"/>
              </w:rPr>
              <w:t>Required skills</w:t>
            </w:r>
          </w:p>
        </w:tc>
      </w:tr>
      <w:tr w:rsidTr="001D501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21D65" w:rsidP="00F21D65">
            <w:pPr>
              <w:pStyle w:val="ListBullet"/>
            </w:pPr>
            <w:r w:rsidRPr="00F21D65">
              <w:t>advanced driving</w:t>
            </w:r>
          </w:p>
          <w:p w:rsidR="00000000" w:rsidRPr="00F21D65" w:rsidP="00F21D65">
            <w:pPr>
              <w:pStyle w:val="ListBullet"/>
            </w:pPr>
            <w:r w:rsidRPr="00F21D65">
              <w:t>apply advanced driving techniques as applies to following from in-front or behind another vehicle and anticipate its movement</w:t>
            </w:r>
          </w:p>
          <w:p w:rsidR="00000000" w:rsidRPr="00F21D65" w:rsidP="00F21D65">
            <w:pPr>
              <w:pStyle w:val="ListBullet"/>
            </w:pPr>
            <w:r w:rsidRPr="00F21D65">
              <w:t>communicate using appropriate channels and communication modes</w:t>
            </w:r>
          </w:p>
          <w:p w:rsidR="00000000" w:rsidRPr="00F21D65" w:rsidP="00F21D65">
            <w:pPr>
              <w:pStyle w:val="ListBullet"/>
            </w:pPr>
            <w:r w:rsidRPr="00F21D65">
              <w:t>covert observation</w:t>
            </w:r>
          </w:p>
          <w:p w:rsidR="00000000" w:rsidRPr="00F21D65" w:rsidP="00F21D65">
            <w:pPr>
              <w:pStyle w:val="ListBullet"/>
            </w:pPr>
            <w:r w:rsidRPr="00F21D65">
              <w:t>identify and comply with applicable legal and pr</w:t>
            </w:r>
            <w:r w:rsidRPr="00F21D65">
              <w:t>ocedural requirements, including licensing requirements, relevant to investigative activities</w:t>
            </w:r>
          </w:p>
          <w:p w:rsidR="00000000" w:rsidRPr="00F21D65" w:rsidP="00F21D65">
            <w:pPr>
              <w:pStyle w:val="ListBullet"/>
            </w:pPr>
            <w:r w:rsidRPr="00F21D65">
              <w:t>interpret and follow instructions and procedures</w:t>
            </w:r>
          </w:p>
          <w:p w:rsidR="00000000" w:rsidRPr="00F21D65" w:rsidP="00F21D65">
            <w:pPr>
              <w:pStyle w:val="ListBullet"/>
            </w:pPr>
            <w:r w:rsidRPr="00F21D65">
              <w:t>navigation</w:t>
            </w:r>
          </w:p>
          <w:p w:rsidR="00000000" w:rsidRPr="00F21D65" w:rsidP="00F21D65">
            <w:pPr>
              <w:pStyle w:val="ListBullet"/>
            </w:pPr>
            <w:r w:rsidRPr="00F21D65">
              <w:t xml:space="preserve">operate basic investigative equipment </w:t>
            </w:r>
          </w:p>
          <w:p w:rsidR="00000000" w:rsidRPr="00F21D65" w:rsidP="00F21D65">
            <w:pPr>
              <w:pStyle w:val="ListBullet"/>
            </w:pPr>
            <w:r w:rsidRPr="00F21D65">
              <w:t>organise equipment and resource requirements</w:t>
            </w:r>
          </w:p>
          <w:p w:rsidR="00000000" w:rsidRPr="00F21D65" w:rsidP="00F21D65">
            <w:pPr>
              <w:pStyle w:val="ListBullet"/>
            </w:pPr>
            <w:r w:rsidRPr="00F21D65">
              <w:t>participate in meetings and interviews</w:t>
            </w:r>
          </w:p>
          <w:p w:rsidR="00000000" w:rsidRPr="00F21D65" w:rsidP="00F21D65">
            <w:pPr>
              <w:pStyle w:val="ListBullet"/>
            </w:pPr>
            <w:r w:rsidRPr="00F21D65">
              <w:t xml:space="preserve">record, report and document information </w:t>
            </w:r>
          </w:p>
          <w:p w:rsidR="00000000" w:rsidRPr="00F21D65" w:rsidP="00F21D65">
            <w:pPr>
              <w:pStyle w:val="ListBullet"/>
            </w:pPr>
            <w:r w:rsidRPr="00F21D65">
              <w:t>relate to people from a range of social, cultural and ethnic backgrounds and of varying physical and mental abilities</w:t>
            </w:r>
          </w:p>
          <w:p w:rsidR="00000000" w:rsidRPr="00F21D65" w:rsidP="00F21D65">
            <w:pPr>
              <w:pStyle w:val="ListBullet"/>
            </w:pPr>
            <w:r w:rsidRPr="00F21D65">
              <w:t>risk assessment</w:t>
            </w:r>
          </w:p>
          <w:p w:rsidR="00000000" w:rsidRPr="00F21D65" w:rsidP="00F21D65">
            <w:pPr>
              <w:pStyle w:val="ListBullet"/>
            </w:pPr>
            <w:r w:rsidRPr="00F21D65">
              <w:t xml:space="preserve">source, collect and organise information </w:t>
            </w:r>
          </w:p>
          <w:p w:rsidR="00000000" w:rsidRPr="00F21D65" w:rsidP="00F21D65">
            <w:pPr>
              <w:pStyle w:val="ListBullet"/>
            </w:pPr>
            <w:r w:rsidRPr="00F21D65">
              <w:t>surveillance</w:t>
            </w:r>
          </w:p>
          <w:p w:rsidR="00000000" w:rsidRPr="00F21D65" w:rsidP="00F21D65">
            <w:pPr>
              <w:pStyle w:val="ListBullet"/>
            </w:pPr>
            <w:r w:rsidRPr="00F21D65">
              <w:t>use and interpret maps and street directories</w:t>
            </w:r>
          </w:p>
          <w:p w:rsidR="00000000" w:rsidP="00F21D65">
            <w:pPr>
              <w:pStyle w:val="ListBullet"/>
              <w:rPr>
                <w:lang w:val="en-NZ"/>
              </w:rPr>
            </w:pPr>
            <w:r w:rsidRPr="00F21D65">
              <w:t>use listening and recording devices.</w:t>
            </w:r>
          </w:p>
        </w:tc>
      </w:tr>
      <w:tr w:rsidTr="001D501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21D65">
            <w:pPr>
              <w:pStyle w:val="BodyText"/>
              <w:rPr>
                <w:lang w:val="en-NZ"/>
              </w:rPr>
            </w:pPr>
            <w:r w:rsidRPr="00F21D65">
              <w:rPr>
                <w:rStyle w:val="SpecialBold"/>
              </w:rPr>
              <w:t>Required knowledge</w:t>
            </w:r>
          </w:p>
        </w:tc>
      </w:tr>
      <w:tr w:rsidTr="001D501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21D65" w:rsidP="00F21D65">
            <w:pPr>
              <w:pStyle w:val="ListBullet"/>
            </w:pPr>
            <w:r w:rsidRPr="00F21D65">
              <w:t>applicable licensing and legal requirements relevant to surveillance</w:t>
            </w:r>
          </w:p>
          <w:p w:rsidR="00000000" w:rsidRPr="00F21D65" w:rsidP="00F21D65">
            <w:pPr>
              <w:pStyle w:val="ListBullet"/>
            </w:pPr>
            <w:r w:rsidRPr="00F21D65">
              <w:t>body's reaction to exposure to prolonged heat, cold and confined spaces (vehicle) and strategies to increase endurance</w:t>
            </w:r>
          </w:p>
          <w:p w:rsidR="00000000" w:rsidRPr="00F21D65" w:rsidP="00F21D65">
            <w:pPr>
              <w:pStyle w:val="ListBullet"/>
            </w:pPr>
            <w:r w:rsidRPr="00F21D65">
              <w:t>configuration and operation of information gathering equipment used from a vehicle</w:t>
            </w:r>
          </w:p>
          <w:p w:rsidR="00000000" w:rsidRPr="00F21D65" w:rsidP="00F21D65">
            <w:pPr>
              <w:pStyle w:val="ListBullet"/>
            </w:pPr>
            <w:r w:rsidRPr="00F21D65">
              <w:t xml:space="preserve">information gathering techniques </w:t>
            </w:r>
          </w:p>
          <w:p w:rsidR="00000000" w:rsidRPr="00F21D65" w:rsidP="00F21D65">
            <w:pPr>
              <w:pStyle w:val="ListBullet"/>
            </w:pPr>
            <w:r w:rsidRPr="00F21D65">
              <w:t>interviewing, review</w:t>
            </w:r>
            <w:r w:rsidRPr="00F21D65">
              <w:t>ing and debriefing processes</w:t>
            </w:r>
          </w:p>
          <w:p w:rsidR="00000000" w:rsidRPr="00F21D65" w:rsidP="00F21D65">
            <w:pPr>
              <w:pStyle w:val="ListBullet"/>
            </w:pPr>
            <w:r w:rsidRPr="00F21D65">
              <w:t>laws of trespass</w:t>
            </w:r>
          </w:p>
          <w:p w:rsidR="00000000" w:rsidRPr="00F21D65" w:rsidP="00F21D65">
            <w:pPr>
              <w:pStyle w:val="ListBullet"/>
            </w:pPr>
            <w:r w:rsidRPr="00F21D65">
              <w:t>legislative restrictions on the use of recording devices</w:t>
            </w:r>
          </w:p>
          <w:p w:rsidR="00000000" w:rsidRPr="00F21D65" w:rsidP="00F21D65">
            <w:pPr>
              <w:pStyle w:val="ListBullet"/>
            </w:pPr>
            <w:r w:rsidRPr="00F21D65">
              <w:t>observation and monitoring techniques</w:t>
            </w:r>
          </w:p>
          <w:p w:rsidR="00000000" w:rsidRPr="00F21D65" w:rsidP="00F21D65">
            <w:pPr>
              <w:pStyle w:val="ListBullet"/>
            </w:pPr>
            <w:r w:rsidRPr="00F21D65">
              <w:t>operational functions of a range of investigative equipment and vehicle</w:t>
            </w:r>
          </w:p>
          <w:p w:rsidR="00000000" w:rsidRPr="00F21D65" w:rsidP="00F21D65">
            <w:pPr>
              <w:pStyle w:val="ListBullet"/>
            </w:pPr>
            <w:r w:rsidRPr="00F21D65">
              <w:t>principles of effective communication inclu</w:t>
            </w:r>
            <w:r w:rsidRPr="00F21D65">
              <w:t>ding interpersonal techniques</w:t>
            </w:r>
          </w:p>
          <w:p w:rsidR="00000000" w:rsidRPr="00F21D65" w:rsidP="00F21D65">
            <w:pPr>
              <w:pStyle w:val="ListBullet"/>
            </w:pPr>
            <w:r w:rsidRPr="00F21D65">
              <w:t>range of surveillance activities likely to involve use of a vehicle</w:t>
            </w:r>
          </w:p>
          <w:p w:rsidR="00000000" w:rsidRPr="00F21D65" w:rsidP="00F21D65">
            <w:pPr>
              <w:pStyle w:val="ListBullet"/>
            </w:pPr>
            <w:r w:rsidRPr="00F21D65">
              <w:t xml:space="preserve">reliable and verifiable sources of information </w:t>
            </w:r>
          </w:p>
          <w:p w:rsidR="00000000" w:rsidRPr="00F21D65" w:rsidP="00F21D65">
            <w:pPr>
              <w:pStyle w:val="ListBullet"/>
            </w:pPr>
            <w:r w:rsidRPr="00F21D65">
              <w:t>reporting and documentation requirements</w:t>
            </w:r>
          </w:p>
          <w:p w:rsidR="00000000" w:rsidRPr="00F21D65" w:rsidP="00F21D65">
            <w:pPr>
              <w:pStyle w:val="ListBullet"/>
            </w:pPr>
            <w:r w:rsidRPr="00F21D65">
              <w:t>surveillance techniques.</w:t>
            </w:r>
          </w:p>
        </w:tc>
      </w:tr>
    </w:tbl>
    <w:p w:rsidR="001D5014" w:rsidP="00F21D65">
      <w:pPr>
        <w:pStyle w:val="BodyText"/>
      </w:pPr>
    </w:p>
    <w:p w:rsidR="001D5014" w:rsidP="00F21D65">
      <w:pPr>
        <w:pStyle w:val="BodyText"/>
      </w:pPr>
    </w:p>
    <w:p w:rsidR="00000000" w:rsidRPr="00F21D65" w:rsidP="00F21D65">
      <w:pPr>
        <w:pStyle w:val="Heading1"/>
      </w:pPr>
      <w:bookmarkStart w:id="10" w:name="O_242926"/>
      <w:bookmarkEnd w:id="10"/>
      <w:r w:rsidRPr="00F21D65">
        <w:t>Evidence Guide</w:t>
      </w:r>
    </w:p>
    <w:tbl>
      <w:tblPr>
        <w:tblW w:w="9287" w:type="dxa"/>
        <w:tblLayout w:type="fixed"/>
        <w:tblCellMar>
          <w:left w:w="62" w:type="dxa"/>
          <w:right w:w="62" w:type="dxa"/>
        </w:tblCellMar>
        <w:tblLook w:val="0000"/>
      </w:tblPr>
      <w:tblGrid>
        <w:gridCol w:w="2621"/>
        <w:gridCol w:w="6659"/>
        <w:gridCol w:w="7"/>
      </w:tblGrid>
      <w:tr w:rsidTr="001D5014">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F21D65">
            <w:pPr>
              <w:pStyle w:val="BodyText"/>
              <w:rPr>
                <w:lang w:val="en-NZ"/>
              </w:rPr>
            </w:pPr>
            <w:r w:rsidRPr="00F21D65">
              <w:rPr>
                <w:rStyle w:val="SpecialBold"/>
              </w:rPr>
              <w:t>EVIDENCE GUIDE</w:t>
            </w:r>
          </w:p>
        </w:tc>
      </w:tr>
      <w:tr w:rsidTr="001D5014">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F21D65">
            <w:pPr>
              <w:pStyle w:val="BodyText"/>
              <w:rPr>
                <w:lang w:val="en-NZ"/>
              </w:rPr>
            </w:pPr>
            <w:r w:rsidRPr="00F21D65">
              <w:t>The evidence guide provides advice on assessment and must be read in conjunction with the performance criteria, required skills and knowledge, range statement and the Assessment Guidelines for the Training Package.</w:t>
            </w:r>
          </w:p>
        </w:tc>
      </w:tr>
      <w:tr w:rsidTr="001D5014">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F21D65">
            <w:pPr>
              <w:pStyle w:val="BodyText"/>
              <w:rPr>
                <w:lang w:val="en-NZ"/>
              </w:rPr>
            </w:pPr>
            <w:r w:rsidRPr="00F21D65">
              <w:rPr>
                <w:rStyle w:val="SpecialBold"/>
              </w:rPr>
              <w:t>Critical aspects for a</w:t>
            </w:r>
            <w:r w:rsidRPr="00F21D65">
              <w:rPr>
                <w:rStyle w:val="SpecialBold"/>
              </w:rPr>
              <w:t>ssessment and evidence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F21D65" w:rsidP="00F21D65">
            <w:pPr>
              <w:pStyle w:val="BodyText"/>
            </w:pPr>
            <w:r w:rsidRPr="00F21D65">
              <w:t>A person who demonstrates competency in this unit must be able to provide evidence of:</w:t>
            </w:r>
          </w:p>
          <w:p w:rsidR="00000000" w:rsidRPr="00F21D65" w:rsidP="00F21D65">
            <w:pPr>
              <w:pStyle w:val="ListBullet"/>
            </w:pPr>
            <w:r w:rsidRPr="00F21D65">
              <w:t>selecting and safely operating and stocking a surveillance vehicle and equipment to complete inve</w:t>
            </w:r>
            <w:r w:rsidRPr="00F21D65">
              <w:t>stigative activities within required timeframes and assignment instructions</w:t>
            </w:r>
          </w:p>
          <w:p w:rsidR="00000000" w:rsidRPr="00F21D65" w:rsidP="00F21D65">
            <w:pPr>
              <w:pStyle w:val="ListBullet"/>
            </w:pPr>
            <w:r w:rsidRPr="00F21D65">
              <w:t>checking suitability of vehicle for surveillance activities and configuring internal layout to safely secure required equipment and stores</w:t>
            </w:r>
          </w:p>
          <w:p w:rsidR="00000000" w:rsidRPr="00F21D65" w:rsidP="00F21D65">
            <w:pPr>
              <w:pStyle w:val="ListBullet"/>
            </w:pPr>
            <w:r w:rsidRPr="00F21D65">
              <w:t>carrying out regular safety checks of vehicle, performing routine maintenance, reporting faults for repair</w:t>
            </w:r>
          </w:p>
          <w:p w:rsidR="00000000" w:rsidP="00F21D65">
            <w:pPr>
              <w:pStyle w:val="ListBullet"/>
              <w:rPr>
                <w:lang w:val="en-NZ"/>
              </w:rPr>
            </w:pPr>
            <w:r w:rsidRPr="00F21D65">
              <w:t>identifying, interpreting and complying with licensing, legal and procedural requirements for operation of a surveillance vehicle.</w:t>
            </w:r>
          </w:p>
        </w:tc>
      </w:tr>
      <w:tr w:rsidTr="001D5014">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F21D65">
            <w:pPr>
              <w:pStyle w:val="BodyText"/>
              <w:rPr>
                <w:lang w:val="en-NZ"/>
              </w:rPr>
            </w:pPr>
            <w:r w:rsidRPr="00F21D65">
              <w:rPr>
                <w:rStyle w:val="SpecialBold"/>
              </w:rPr>
              <w:t>Context of and sp</w:t>
            </w:r>
            <w:r w:rsidRPr="00F21D65">
              <w:rPr>
                <w:rStyle w:val="SpecialBold"/>
              </w:rPr>
              <w:t>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F21D65" w:rsidP="00F21D65">
            <w:pPr>
              <w:pStyle w:val="BodyText"/>
            </w:pPr>
            <w:r w:rsidRPr="00F21D65">
              <w:t>Context of assessment includes:</w:t>
            </w:r>
          </w:p>
          <w:p w:rsidR="00000000" w:rsidRPr="00F21D65" w:rsidP="00F21D65">
            <w:pPr>
              <w:pStyle w:val="ListBullet"/>
            </w:pPr>
            <w:r w:rsidRPr="00F21D65">
              <w:t>a setting in the workplace or environment that simulates the conditions of performance described in the elements, performance criteria and range statement.</w:t>
            </w:r>
          </w:p>
          <w:p w:rsidR="00000000" w:rsidRPr="00F21D65" w:rsidP="00F21D65">
            <w:pPr>
              <w:pStyle w:val="BodyText"/>
            </w:pPr>
            <w:r w:rsidRPr="00F21D65">
              <w:t>Resource implications for assessmen</w:t>
            </w:r>
            <w:r w:rsidRPr="00F21D65">
              <w:t>t include:</w:t>
            </w:r>
          </w:p>
          <w:p w:rsidR="00000000" w:rsidRPr="00F21D65" w:rsidP="00F21D65">
            <w:pPr>
              <w:pStyle w:val="ListBullet"/>
            </w:pPr>
            <w:r w:rsidRPr="00F21D65">
              <w:t>access to a registered provider of assessment services</w:t>
            </w:r>
          </w:p>
          <w:p w:rsidR="00000000" w:rsidRPr="00F21D65" w:rsidP="00F21D65">
            <w:pPr>
              <w:pStyle w:val="ListBullet"/>
            </w:pPr>
            <w:r w:rsidRPr="00F21D65">
              <w:t>access to a suitable venue and equipment</w:t>
            </w:r>
          </w:p>
          <w:p w:rsidR="00000000" w:rsidRPr="00F21D65" w:rsidP="00F21D65">
            <w:pPr>
              <w:pStyle w:val="ListBullet"/>
            </w:pPr>
            <w:r w:rsidRPr="00F21D65">
              <w:t>access to plain English version of relevant statutes and procedures</w:t>
            </w:r>
          </w:p>
          <w:p w:rsidR="00000000" w:rsidRPr="00F21D65" w:rsidP="00F21D65">
            <w:pPr>
              <w:pStyle w:val="ListBullet"/>
            </w:pPr>
            <w:r w:rsidRPr="00F21D65">
              <w:t>assessment instruments including personal planner and assessment record book</w:t>
            </w:r>
          </w:p>
          <w:p w:rsidR="00000000" w:rsidRPr="00F21D65" w:rsidP="00F21D65">
            <w:pPr>
              <w:pStyle w:val="ListBullet"/>
            </w:pPr>
            <w:r w:rsidRPr="00F21D65">
              <w:t>wor</w:t>
            </w:r>
            <w:r w:rsidRPr="00F21D65">
              <w:t>k schedules, organisational policies and duty statements.</w:t>
            </w:r>
          </w:p>
          <w:p w:rsidR="00000000" w:rsidP="00F21D65">
            <w:pPr>
              <w:pStyle w:val="BodyText"/>
              <w:rPr>
                <w:lang w:val="en-NZ"/>
              </w:rPr>
            </w:pPr>
            <w:r w:rsidRPr="00F21D65">
              <w:t>Reasonable adjustments must be made to assessment processes where required for people with disabilities. This could include access to modified equipment and other physical resources, and the provisi</w:t>
            </w:r>
            <w:r w:rsidRPr="00F21D65">
              <w:t>on of appropriate assessment support.</w:t>
            </w:r>
          </w:p>
        </w:tc>
      </w:tr>
      <w:tr w:rsidTr="001D5014">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F21D65">
            <w:pPr>
              <w:pStyle w:val="BodyText"/>
              <w:rPr>
                <w:lang w:val="en-NZ"/>
              </w:rPr>
            </w:pPr>
            <w:r w:rsidRPr="00F21D65">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P="00F21D65">
            <w:pPr>
              <w:pStyle w:val="BodyText"/>
              <w:rPr>
                <w:lang w:val="en-NZ"/>
              </w:rPr>
            </w:pPr>
            <w:r w:rsidRPr="00F21D65">
              <w:t>This unit of competency should be assessed using questioning of underpinning knowledge and skills.</w:t>
            </w:r>
          </w:p>
        </w:tc>
      </w:tr>
      <w:tr w:rsidTr="001D5014">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F21D65">
            <w:pPr>
              <w:pStyle w:val="BodyText"/>
              <w:rPr>
                <w:lang w:val="en-NZ"/>
              </w:rPr>
            </w:pPr>
            <w:r w:rsidRPr="00F21D65">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F21D65" w:rsidP="00F21D65">
            <w:pPr>
              <w:pStyle w:val="BodyText"/>
            </w:pPr>
            <w:r w:rsidRPr="00F21D65">
              <w:t xml:space="preserve">Assessment processes and techniques must be culturally appropriate and suitable to the language, literacy and numeracy capacity of the candidate and the competency being assessed. In all cases where practical assessment is used, it should be combined </w:t>
            </w:r>
            <w:r w:rsidRPr="00F21D65">
              <w:t xml:space="preserve">with </w:t>
            </w:r>
            <w:r w:rsidRPr="00F21D65">
              <w:t>targeted questioning to assess the underpinning knowledge.</w:t>
            </w:r>
          </w:p>
          <w:p w:rsidR="00000000" w:rsidRPr="00F21D65" w:rsidP="00F21D65">
            <w:pPr>
              <w:pStyle w:val="BodyText"/>
            </w:pPr>
            <w:r w:rsidRPr="00F21D65">
              <w:t>Oral questioning or written assessment may be used to assess underpinning knowledge. In assessment situations where the candidate is offered a choice between oral questioning and written assessment</w:t>
            </w:r>
            <w:r w:rsidRPr="00F21D65">
              <w:t>, questions are to be identical.</w:t>
            </w:r>
          </w:p>
          <w:p w:rsidR="00000000" w:rsidRPr="00F21D65" w:rsidP="00F21D65">
            <w:pPr>
              <w:pStyle w:val="BodyText"/>
            </w:pPr>
            <w:r w:rsidRPr="00F21D65">
              <w:t>Supplementary evidence may be obtained from relevant authenticated correspondence from existing supervisors, team leaders or specialist training staff.</w:t>
            </w:r>
          </w:p>
        </w:tc>
      </w:tr>
    </w:tbl>
    <w:p w:rsidR="001D5014" w:rsidP="00F21D65">
      <w:pPr>
        <w:pStyle w:val="BodyText"/>
      </w:pPr>
    </w:p>
    <w:p w:rsidR="001D5014" w:rsidP="00F21D65">
      <w:pPr>
        <w:pStyle w:val="BodyText"/>
      </w:pPr>
    </w:p>
    <w:p w:rsidR="00000000" w:rsidRPr="00F21D65" w:rsidP="00F21D65">
      <w:pPr>
        <w:pStyle w:val="Heading1"/>
      </w:pPr>
      <w:bookmarkStart w:id="11" w:name="O_250909"/>
      <w:bookmarkEnd w:id="11"/>
      <w:r w:rsidRPr="00F21D65">
        <w:t>Range Statement</w:t>
      </w:r>
    </w:p>
    <w:tbl>
      <w:tblPr>
        <w:tblW w:w="0" w:type="auto"/>
        <w:tblLayout w:type="fixed"/>
        <w:tblCellMar>
          <w:left w:w="62" w:type="dxa"/>
          <w:right w:w="62" w:type="dxa"/>
        </w:tblCellMar>
        <w:tblLook w:val="0000"/>
      </w:tblPr>
      <w:tblGrid>
        <w:gridCol w:w="2412"/>
        <w:gridCol w:w="6110"/>
      </w:tblGrid>
      <w:tr w:rsidTr="001D501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21D65">
            <w:pPr>
              <w:pStyle w:val="BodyText"/>
              <w:rPr>
                <w:lang w:val="en-NZ"/>
              </w:rPr>
            </w:pPr>
            <w:r w:rsidRPr="00F21D65">
              <w:rPr>
                <w:rStyle w:val="SpecialBold"/>
              </w:rPr>
              <w:t>RANGE STATEMENT</w:t>
            </w:r>
          </w:p>
        </w:tc>
      </w:tr>
      <w:tr w:rsidTr="001D501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21D65">
            <w:pPr>
              <w:pStyle w:val="BodyText"/>
              <w:rPr>
                <w:lang w:val="en-NZ"/>
              </w:rPr>
            </w:pPr>
            <w:r w:rsidRPr="00F21D65">
              <w:t>The range statement relates to the unit of competency as a whole. It allows for different work environments and situations that may affect performance. Bold italicised wording, if used in the performance criteria, is detailed below. Essential operating con</w:t>
            </w:r>
            <w:r w:rsidRPr="00F21D65">
              <w:t>ditions that may be present with training and assessment (depending on the work situation, needs of the candidate, accessibility of the item, and local industry and regional contexts) may also be included.</w:t>
            </w:r>
          </w:p>
        </w:tc>
      </w:tr>
      <w:tr w:rsidTr="001D501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21D65">
            <w:pPr>
              <w:pStyle w:val="BodyText"/>
              <w:rPr>
                <w:lang w:val="en-NZ"/>
              </w:rPr>
            </w:pPr>
            <w:r w:rsidRPr="00F21D65">
              <w:rPr>
                <w:rStyle w:val="BoldandItalics"/>
              </w:rPr>
              <w:t>Assignment instructions may include</w:t>
            </w:r>
            <w:r w:rsidRPr="00F21D65">
              <w:t xml:space="preserve">: </w:t>
            </w:r>
          </w:p>
        </w:tc>
        <w:tc>
          <w:tcPr>
            <w:tcW w:w="6110" w:type="dxa"/>
            <w:tcBorders>
              <w:top w:val="nil"/>
              <w:left w:val="nil"/>
              <w:bottom w:val="nil"/>
              <w:right w:val="nil"/>
            </w:tcBorders>
            <w:tcMar>
              <w:top w:w="0" w:type="dxa"/>
              <w:left w:w="62" w:type="dxa"/>
              <w:bottom w:w="0" w:type="dxa"/>
              <w:right w:w="62" w:type="dxa"/>
            </w:tcMar>
          </w:tcPr>
          <w:p w:rsidR="00000000" w:rsidRPr="00F21D65" w:rsidP="00F21D65">
            <w:pPr>
              <w:pStyle w:val="ListBullet"/>
            </w:pPr>
            <w:r w:rsidRPr="00F21D65">
              <w:t>client id</w:t>
            </w:r>
            <w:r w:rsidRPr="00F21D65">
              <w:t>entification information</w:t>
            </w:r>
          </w:p>
          <w:p w:rsidR="00000000" w:rsidRPr="00F21D65" w:rsidP="00F21D65">
            <w:pPr>
              <w:pStyle w:val="ListBullet"/>
            </w:pPr>
            <w:r w:rsidRPr="00F21D65">
              <w:t>incident and security risk response procedures</w:t>
            </w:r>
          </w:p>
          <w:p w:rsidR="00000000" w:rsidRPr="00F21D65" w:rsidP="00F21D65">
            <w:pPr>
              <w:pStyle w:val="ListBullet"/>
            </w:pPr>
            <w:r w:rsidRPr="00F21D65">
              <w:t>investigation purpose and objective</w:t>
            </w:r>
          </w:p>
          <w:p w:rsidR="00000000" w:rsidRPr="00F21D65" w:rsidP="00F21D65">
            <w:pPr>
              <w:pStyle w:val="ListBullet"/>
            </w:pPr>
            <w:r w:rsidRPr="00F21D65">
              <w:t xml:space="preserve">investigation tasks and procedures </w:t>
            </w:r>
          </w:p>
          <w:p w:rsidR="00000000" w:rsidRPr="00F21D65" w:rsidP="00F21D65">
            <w:pPr>
              <w:pStyle w:val="ListBullet"/>
            </w:pPr>
            <w:r w:rsidRPr="00F21D65">
              <w:t>investigation timeframe</w:t>
            </w:r>
          </w:p>
          <w:p w:rsidR="00000000" w:rsidRPr="00F21D65" w:rsidP="00F21D65">
            <w:pPr>
              <w:pStyle w:val="ListBullet"/>
            </w:pPr>
            <w:r w:rsidRPr="00F21D65">
              <w:t>personal presentation requirements</w:t>
            </w:r>
          </w:p>
          <w:p w:rsidR="00000000" w:rsidRPr="00F21D65" w:rsidP="00F21D65">
            <w:pPr>
              <w:pStyle w:val="ListBullet"/>
            </w:pPr>
            <w:r w:rsidRPr="00F21D65">
              <w:t>premises location and layout</w:t>
            </w:r>
          </w:p>
          <w:p w:rsidR="00000000" w:rsidRPr="00F21D65" w:rsidP="00F21D65">
            <w:pPr>
              <w:pStyle w:val="ListBullet"/>
            </w:pPr>
            <w:r w:rsidRPr="00F21D65">
              <w:t>reporting and documentat</w:t>
            </w:r>
            <w:r w:rsidRPr="00F21D65">
              <w:t>ion requirements</w:t>
            </w:r>
          </w:p>
          <w:p w:rsidR="00000000" w:rsidRPr="00F21D65" w:rsidP="00F21D65">
            <w:pPr>
              <w:pStyle w:val="ListBullet"/>
            </w:pPr>
            <w:r w:rsidRPr="00F21D65">
              <w:t>resource and equipment requirements</w:t>
            </w:r>
          </w:p>
          <w:p w:rsidR="00000000" w:rsidRPr="00F21D65" w:rsidP="00F21D65">
            <w:pPr>
              <w:pStyle w:val="ListBullet"/>
            </w:pPr>
            <w:r w:rsidRPr="00F21D65">
              <w:t>surveillance plan</w:t>
            </w:r>
          </w:p>
          <w:p w:rsidR="00000000" w:rsidP="00F21D65">
            <w:pPr>
              <w:pStyle w:val="ListBullet"/>
              <w:rPr>
                <w:lang w:val="en-NZ"/>
              </w:rPr>
            </w:pPr>
            <w:r w:rsidRPr="00F21D65">
              <w:t>travel routes and schedules.</w:t>
            </w:r>
          </w:p>
        </w:tc>
      </w:tr>
      <w:tr w:rsidTr="001D501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21D65">
            <w:pPr>
              <w:pStyle w:val="BodyText"/>
              <w:rPr>
                <w:lang w:val="en-NZ"/>
              </w:rPr>
            </w:pPr>
            <w:r w:rsidRPr="00F21D65">
              <w:rPr>
                <w:rStyle w:val="BoldandItalics"/>
              </w:rPr>
              <w:t>Relevant information</w:t>
            </w:r>
            <w:r w:rsidRPr="00F21D65">
              <w:t xml:space="preserve"> </w:t>
            </w:r>
            <w:r w:rsidRPr="00F21D65">
              <w:rPr>
                <w:rStyle w:val="SpecialBold"/>
              </w:rPr>
              <w:t>may include</w:t>
            </w:r>
            <w:r w:rsidRPr="00F21D65">
              <w:t>:</w:t>
            </w:r>
          </w:p>
        </w:tc>
        <w:tc>
          <w:tcPr>
            <w:tcW w:w="6110" w:type="dxa"/>
            <w:tcBorders>
              <w:top w:val="nil"/>
              <w:left w:val="nil"/>
              <w:bottom w:val="nil"/>
              <w:right w:val="nil"/>
            </w:tcBorders>
            <w:tcMar>
              <w:top w:w="0" w:type="dxa"/>
              <w:left w:w="62" w:type="dxa"/>
              <w:bottom w:w="0" w:type="dxa"/>
              <w:right w:w="62" w:type="dxa"/>
            </w:tcMar>
          </w:tcPr>
          <w:p w:rsidR="00000000" w:rsidRPr="00F21D65" w:rsidP="00F21D65">
            <w:pPr>
              <w:pStyle w:val="ListBullet"/>
            </w:pPr>
            <w:r w:rsidRPr="00F21D65">
              <w:t>applicable legislation and codes of practice</w:t>
            </w:r>
          </w:p>
          <w:p w:rsidR="00000000" w:rsidRPr="00F21D65" w:rsidP="00F21D65">
            <w:pPr>
              <w:pStyle w:val="ListBullet"/>
            </w:pPr>
            <w:r w:rsidRPr="00F21D65">
              <w:t>log books</w:t>
            </w:r>
          </w:p>
          <w:p w:rsidR="00000000" w:rsidRPr="00F21D65" w:rsidP="00F21D65">
            <w:pPr>
              <w:pStyle w:val="ListBullet"/>
            </w:pPr>
            <w:r w:rsidRPr="00F21D65">
              <w:t>maintenance schedules</w:t>
            </w:r>
          </w:p>
          <w:p w:rsidR="00000000" w:rsidRPr="00F21D65" w:rsidP="00F21D65">
            <w:pPr>
              <w:pStyle w:val="ListBullet"/>
            </w:pPr>
            <w:r w:rsidRPr="00F21D65">
              <w:t>manufacturer's instructions</w:t>
            </w:r>
          </w:p>
          <w:p w:rsidR="00000000" w:rsidRPr="00F21D65" w:rsidP="00F21D65">
            <w:pPr>
              <w:pStyle w:val="ListBullet"/>
            </w:pPr>
            <w:r w:rsidRPr="00F21D65">
              <w:t>operational plans</w:t>
            </w:r>
          </w:p>
          <w:p w:rsidR="00000000" w:rsidRPr="00F21D65" w:rsidP="00F21D65">
            <w:pPr>
              <w:pStyle w:val="ListBullet"/>
            </w:pPr>
            <w:r w:rsidRPr="00F21D65">
              <w:t xml:space="preserve">operator manual </w:t>
            </w:r>
          </w:p>
          <w:p w:rsidR="00000000" w:rsidRPr="00F21D65" w:rsidP="00F21D65">
            <w:pPr>
              <w:pStyle w:val="ListBullet"/>
            </w:pPr>
            <w:r w:rsidRPr="00F21D65">
              <w:t xml:space="preserve">summary of case history </w:t>
            </w:r>
          </w:p>
          <w:p w:rsidR="00000000" w:rsidP="00F21D65">
            <w:pPr>
              <w:pStyle w:val="ListBullet"/>
              <w:rPr>
                <w:lang w:val="en-NZ"/>
              </w:rPr>
            </w:pPr>
            <w:r w:rsidRPr="00F21D65">
              <w:t>surveillance terms of reference.</w:t>
            </w:r>
          </w:p>
        </w:tc>
      </w:tr>
      <w:tr w:rsidTr="001D501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21D65">
            <w:pPr>
              <w:pStyle w:val="BodyText"/>
              <w:rPr>
                <w:lang w:val="en-NZ"/>
              </w:rPr>
            </w:pPr>
            <w:r w:rsidRPr="00F21D65">
              <w:rPr>
                <w:rStyle w:val="BoldandItalics"/>
              </w:rPr>
              <w:t>Legislative requirements</w:t>
            </w:r>
            <w:r w:rsidRPr="00F21D65">
              <w:t xml:space="preserve"> </w:t>
            </w:r>
            <w:r w:rsidRPr="00F21D65">
              <w:rPr>
                <w:rStyle w:val="SpecialBold"/>
              </w:rPr>
              <w:t>may relate to</w:t>
            </w:r>
            <w:r w:rsidRPr="00F21D65">
              <w:t xml:space="preserve">: </w:t>
            </w:r>
          </w:p>
        </w:tc>
        <w:tc>
          <w:tcPr>
            <w:tcW w:w="6110" w:type="dxa"/>
            <w:tcBorders>
              <w:top w:val="nil"/>
              <w:left w:val="nil"/>
              <w:bottom w:val="nil"/>
              <w:right w:val="nil"/>
            </w:tcBorders>
            <w:tcMar>
              <w:top w:w="0" w:type="dxa"/>
              <w:left w:w="62" w:type="dxa"/>
              <w:bottom w:w="0" w:type="dxa"/>
              <w:right w:w="62" w:type="dxa"/>
            </w:tcMar>
          </w:tcPr>
          <w:p w:rsidR="00000000" w:rsidRPr="00F21D65" w:rsidP="00F21D65">
            <w:pPr>
              <w:pStyle w:val="ListBullet"/>
            </w:pPr>
            <w:r w:rsidRPr="00F21D65">
              <w:t>applicable commonwealth, state and territory legislation which affects investigative work such as:</w:t>
            </w:r>
          </w:p>
          <w:p w:rsidR="00000000" w:rsidRPr="00F21D65" w:rsidP="00F21D65">
            <w:pPr>
              <w:pStyle w:val="ListBullet2"/>
            </w:pPr>
            <w:r w:rsidRPr="00F21D65">
              <w:t>workplace safety</w:t>
            </w:r>
          </w:p>
          <w:p w:rsidR="00000000" w:rsidRPr="00F21D65" w:rsidP="00F21D65">
            <w:pPr>
              <w:pStyle w:val="ListBullet2"/>
            </w:pPr>
            <w:r w:rsidRPr="00F21D65">
              <w:t>environmental issues</w:t>
            </w:r>
          </w:p>
          <w:p w:rsidR="00000000" w:rsidRPr="00F21D65" w:rsidP="00F21D65">
            <w:pPr>
              <w:pStyle w:val="ListBullet2"/>
            </w:pPr>
            <w:r w:rsidRPr="00F21D65">
              <w:t>equal employment opportunity</w:t>
            </w:r>
          </w:p>
          <w:p w:rsidR="00000000" w:rsidRPr="00F21D65" w:rsidP="00F21D65">
            <w:pPr>
              <w:pStyle w:val="ListBullet2"/>
            </w:pPr>
            <w:r w:rsidRPr="00F21D65">
              <w:t>industrial relations</w:t>
            </w:r>
          </w:p>
          <w:p w:rsidR="00000000" w:rsidRPr="00F21D65" w:rsidP="00F21D65">
            <w:pPr>
              <w:pStyle w:val="ListBullet2"/>
            </w:pPr>
            <w:r w:rsidRPr="00F21D65">
              <w:t>anti-discrimination and diversity</w:t>
            </w:r>
          </w:p>
          <w:p w:rsidR="00000000" w:rsidRPr="00F21D65" w:rsidP="00F21D65">
            <w:pPr>
              <w:pStyle w:val="ListBullet"/>
            </w:pPr>
            <w:r w:rsidRPr="00F21D65">
              <w:t xml:space="preserve">Australian standards and quality assurance </w:t>
            </w:r>
          </w:p>
          <w:p w:rsidR="00000000" w:rsidRPr="00F21D65" w:rsidP="00F21D65">
            <w:pPr>
              <w:pStyle w:val="ListBullet"/>
            </w:pPr>
            <w:r w:rsidRPr="00F21D65">
              <w:t>authority to conduct investigation</w:t>
            </w:r>
          </w:p>
          <w:p w:rsidR="00000000" w:rsidRPr="00F21D65" w:rsidP="00F21D65">
            <w:pPr>
              <w:pStyle w:val="ListBullet"/>
            </w:pPr>
            <w:r w:rsidRPr="00F21D65">
              <w:t>award and enterprise agreements</w:t>
            </w:r>
          </w:p>
          <w:p w:rsidR="00000000" w:rsidRPr="00F21D65" w:rsidP="00F21D65">
            <w:pPr>
              <w:pStyle w:val="ListBullet"/>
            </w:pPr>
            <w:r w:rsidRPr="00F21D65">
              <w:t>evidence collection</w:t>
            </w:r>
          </w:p>
          <w:p w:rsidR="00000000" w:rsidRPr="00F21D65" w:rsidP="00F21D65">
            <w:pPr>
              <w:pStyle w:val="ListBullet"/>
            </w:pPr>
            <w:r w:rsidRPr="00F21D65">
              <w:t>freedom of informat</w:t>
            </w:r>
            <w:r w:rsidRPr="00F21D65">
              <w:t>ion</w:t>
            </w:r>
          </w:p>
          <w:p w:rsidR="00000000" w:rsidRPr="00F21D65" w:rsidP="00F21D65">
            <w:pPr>
              <w:pStyle w:val="ListBullet"/>
            </w:pPr>
            <w:r w:rsidRPr="00F21D65">
              <w:t>licensing arrangements and certification requirements</w:t>
            </w:r>
          </w:p>
          <w:p w:rsidR="00000000" w:rsidRPr="00F21D65" w:rsidP="00F21D65">
            <w:pPr>
              <w:pStyle w:val="ListBullet"/>
            </w:pPr>
            <w:r w:rsidRPr="00F21D65">
              <w:t>privacy requirements</w:t>
            </w:r>
          </w:p>
          <w:p w:rsidR="00000000" w:rsidRPr="00F21D65" w:rsidP="00F21D65">
            <w:pPr>
              <w:pStyle w:val="ListBullet"/>
            </w:pPr>
            <w:r w:rsidRPr="00F21D65">
              <w:t xml:space="preserve">relevant industry codes of practice </w:t>
            </w:r>
          </w:p>
          <w:p w:rsidR="00000000" w:rsidRPr="00F21D65" w:rsidP="00F21D65">
            <w:pPr>
              <w:pStyle w:val="ListBullet"/>
            </w:pPr>
            <w:r w:rsidRPr="00F21D65">
              <w:t>restrictions on the use of recording devices</w:t>
            </w:r>
          </w:p>
          <w:p w:rsidR="00000000" w:rsidP="00F21D65">
            <w:pPr>
              <w:pStyle w:val="ListBullet"/>
              <w:rPr>
                <w:lang w:val="en-NZ"/>
              </w:rPr>
            </w:pPr>
            <w:r w:rsidRPr="00F21D65">
              <w:t>surveillance and listening devices.</w:t>
            </w:r>
          </w:p>
        </w:tc>
      </w:tr>
      <w:tr w:rsidTr="001D501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21D65">
            <w:pPr>
              <w:pStyle w:val="BodyText"/>
              <w:rPr>
                <w:lang w:val="en-NZ"/>
              </w:rPr>
            </w:pPr>
            <w:r w:rsidRPr="00F21D65">
              <w:rPr>
                <w:rStyle w:val="BoldandItalics"/>
              </w:rPr>
              <w:t>Factors which may affect vehicle selection may include</w:t>
            </w:r>
            <w:r w:rsidRPr="00F21D65">
              <w:t>:</w:t>
            </w:r>
          </w:p>
        </w:tc>
        <w:tc>
          <w:tcPr>
            <w:tcW w:w="6110" w:type="dxa"/>
            <w:tcBorders>
              <w:top w:val="nil"/>
              <w:left w:val="nil"/>
              <w:bottom w:val="nil"/>
              <w:right w:val="nil"/>
            </w:tcBorders>
            <w:tcMar>
              <w:top w:w="0" w:type="dxa"/>
              <w:left w:w="62" w:type="dxa"/>
              <w:bottom w:w="0" w:type="dxa"/>
              <w:right w:w="62" w:type="dxa"/>
            </w:tcMar>
          </w:tcPr>
          <w:p w:rsidR="00000000" w:rsidRPr="00F21D65" w:rsidP="00F21D65">
            <w:pPr>
              <w:pStyle w:val="ListBullet"/>
            </w:pPr>
            <w:r w:rsidRPr="00F21D65">
              <w:t>area and distance of operation (eg city, suburbs, country)</w:t>
            </w:r>
          </w:p>
          <w:p w:rsidR="00000000" w:rsidRPr="00F21D65" w:rsidP="00F21D65">
            <w:pPr>
              <w:pStyle w:val="ListBullet"/>
            </w:pPr>
            <w:r w:rsidRPr="00F21D65">
              <w:t>cost</w:t>
            </w:r>
          </w:p>
          <w:p w:rsidR="00000000" w:rsidRPr="00F21D65" w:rsidP="00F21D65">
            <w:pPr>
              <w:pStyle w:val="ListBullet"/>
            </w:pPr>
            <w:r w:rsidRPr="00F21D65">
              <w:t>personal requirements</w:t>
            </w:r>
          </w:p>
          <w:p w:rsidR="00000000" w:rsidRPr="00F21D65" w:rsidP="00F21D65">
            <w:pPr>
              <w:pStyle w:val="ListBullet"/>
            </w:pPr>
            <w:r w:rsidRPr="00F21D65">
              <w:t>range of likely uses</w:t>
            </w:r>
          </w:p>
          <w:p w:rsidR="00000000" w:rsidP="00F21D65">
            <w:pPr>
              <w:pStyle w:val="ListBullet"/>
              <w:rPr>
                <w:lang w:val="en-NZ"/>
              </w:rPr>
            </w:pPr>
            <w:r w:rsidRPr="00F21D65">
              <w:t>surveillance requirements.</w:t>
            </w:r>
          </w:p>
        </w:tc>
      </w:tr>
      <w:tr w:rsidTr="001D501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21D65">
            <w:pPr>
              <w:pStyle w:val="BodyText"/>
              <w:rPr>
                <w:lang w:val="en-NZ"/>
              </w:rPr>
            </w:pPr>
            <w:r w:rsidRPr="00F21D65">
              <w:rPr>
                <w:rStyle w:val="BoldandItalics"/>
              </w:rPr>
              <w:t>Relevant persons</w:t>
            </w:r>
            <w:r w:rsidRPr="00F21D65">
              <w:t xml:space="preserve"> </w:t>
            </w:r>
            <w:r w:rsidRPr="00F21D65">
              <w:rPr>
                <w:rStyle w:val="SpecialBold"/>
              </w:rPr>
              <w:t>may include</w:t>
            </w:r>
            <w:r w:rsidRPr="00F21D65">
              <w:t>:</w:t>
            </w:r>
          </w:p>
        </w:tc>
        <w:tc>
          <w:tcPr>
            <w:tcW w:w="6110" w:type="dxa"/>
            <w:tcBorders>
              <w:top w:val="nil"/>
              <w:left w:val="nil"/>
              <w:bottom w:val="nil"/>
              <w:right w:val="nil"/>
            </w:tcBorders>
            <w:tcMar>
              <w:top w:w="0" w:type="dxa"/>
              <w:left w:w="62" w:type="dxa"/>
              <w:bottom w:w="0" w:type="dxa"/>
              <w:right w:w="62" w:type="dxa"/>
            </w:tcMar>
          </w:tcPr>
          <w:p w:rsidR="00000000" w:rsidRPr="00F21D65" w:rsidP="00F21D65">
            <w:pPr>
              <w:pStyle w:val="ListBullet"/>
            </w:pPr>
            <w:r w:rsidRPr="00F21D65">
              <w:t>manufacturer or car dealer</w:t>
            </w:r>
          </w:p>
          <w:p w:rsidR="00000000" w:rsidRPr="00F21D65" w:rsidP="00F21D65">
            <w:pPr>
              <w:pStyle w:val="ListBullet"/>
            </w:pPr>
            <w:r w:rsidRPr="00F21D65">
              <w:t>police</w:t>
            </w:r>
          </w:p>
          <w:p w:rsidR="00000000" w:rsidRPr="00F21D65" w:rsidP="00F21D65">
            <w:pPr>
              <w:pStyle w:val="ListBullet"/>
            </w:pPr>
            <w:r w:rsidRPr="00F21D65">
              <w:t>security personnel</w:t>
            </w:r>
          </w:p>
          <w:p w:rsidR="00000000" w:rsidRPr="00F21D65" w:rsidP="00F21D65">
            <w:pPr>
              <w:pStyle w:val="ListBullet"/>
            </w:pPr>
            <w:r w:rsidRPr="00F21D65">
              <w:t>supervisor</w:t>
            </w:r>
          </w:p>
          <w:p w:rsidR="00000000" w:rsidP="00F21D65">
            <w:pPr>
              <w:pStyle w:val="ListBullet"/>
              <w:rPr>
                <w:lang w:val="en-NZ"/>
              </w:rPr>
            </w:pPr>
            <w:r w:rsidRPr="00F21D65">
              <w:t>technical specialist.</w:t>
            </w:r>
          </w:p>
        </w:tc>
      </w:tr>
      <w:tr w:rsidTr="001D501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21D65">
            <w:pPr>
              <w:pStyle w:val="BodyText"/>
              <w:rPr>
                <w:lang w:val="en-NZ"/>
              </w:rPr>
            </w:pPr>
            <w:r w:rsidRPr="00F21D65">
              <w:rPr>
                <w:rStyle w:val="BoldandItalics"/>
              </w:rPr>
              <w:t>Pre</w:t>
            </w:r>
            <w:r w:rsidRPr="00F21D65">
              <w:t>-</w:t>
            </w:r>
            <w:r w:rsidRPr="00F21D65">
              <w:rPr>
                <w:rStyle w:val="BoldandItalics"/>
              </w:rPr>
              <w:t>operational checks</w:t>
            </w:r>
            <w:r w:rsidRPr="00F21D65">
              <w:t xml:space="preserve"> </w:t>
            </w:r>
            <w:r w:rsidRPr="00F21D65">
              <w:rPr>
                <w:rStyle w:val="SpecialBold"/>
              </w:rPr>
              <w:t>may involve</w:t>
            </w:r>
            <w:r w:rsidRPr="00F21D65">
              <w:t>:</w:t>
            </w:r>
          </w:p>
        </w:tc>
        <w:tc>
          <w:tcPr>
            <w:tcW w:w="6110" w:type="dxa"/>
            <w:tcBorders>
              <w:top w:val="nil"/>
              <w:left w:val="nil"/>
              <w:bottom w:val="nil"/>
              <w:right w:val="nil"/>
            </w:tcBorders>
            <w:tcMar>
              <w:top w:w="0" w:type="dxa"/>
              <w:left w:w="62" w:type="dxa"/>
              <w:bottom w:w="0" w:type="dxa"/>
              <w:right w:w="62" w:type="dxa"/>
            </w:tcMar>
          </w:tcPr>
          <w:p w:rsidR="00000000" w:rsidRPr="00F21D65" w:rsidP="00F21D65">
            <w:pPr>
              <w:pStyle w:val="ListBullet"/>
            </w:pPr>
            <w:r w:rsidRPr="00F21D65">
              <w:t>checking log books and maintenance schedule</w:t>
            </w:r>
          </w:p>
          <w:p w:rsidR="00000000" w:rsidRPr="00F21D65" w:rsidP="00F21D65">
            <w:pPr>
              <w:pStyle w:val="ListBullet"/>
            </w:pPr>
            <w:r w:rsidRPr="00F21D65">
              <w:t>cleaning, basic repairs and adjustments</w:t>
            </w:r>
          </w:p>
          <w:p w:rsidR="00000000" w:rsidRPr="00F21D65" w:rsidP="00F21D65">
            <w:pPr>
              <w:pStyle w:val="ListBullet"/>
            </w:pPr>
            <w:r w:rsidRPr="00F21D65">
              <w:t>identification and segregation of unsafe or faulty equipment for repair or replacement</w:t>
            </w:r>
          </w:p>
          <w:p w:rsidR="00000000" w:rsidRPr="00F21D65" w:rsidP="00F21D65">
            <w:pPr>
              <w:pStyle w:val="ListBullet"/>
            </w:pPr>
            <w:r w:rsidRPr="00F21D65">
              <w:t>observing and monitoring noise levels for correct o</w:t>
            </w:r>
            <w:r w:rsidRPr="00F21D65">
              <w:t>peration</w:t>
            </w:r>
          </w:p>
          <w:p w:rsidR="00000000" w:rsidRPr="00F21D65" w:rsidP="00F21D65">
            <w:pPr>
              <w:pStyle w:val="ListBullet"/>
            </w:pPr>
            <w:r w:rsidRPr="00F21D65">
              <w:t>roadworthiness check (age, condition, insurances, licenses and registration)</w:t>
            </w:r>
          </w:p>
          <w:p w:rsidR="00000000" w:rsidP="00F21D65">
            <w:pPr>
              <w:pStyle w:val="ListBullet"/>
              <w:rPr>
                <w:lang w:val="en-NZ"/>
              </w:rPr>
            </w:pPr>
            <w:r w:rsidRPr="00F21D65">
              <w:t>visual checks for wear and tear.</w:t>
            </w:r>
          </w:p>
        </w:tc>
      </w:tr>
      <w:tr w:rsidTr="001D501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21D65">
            <w:pPr>
              <w:pStyle w:val="BodyText"/>
              <w:rPr>
                <w:lang w:val="en-NZ"/>
              </w:rPr>
            </w:pPr>
            <w:r w:rsidRPr="00F21D65">
              <w:rPr>
                <w:rStyle w:val="BoldandItalics"/>
              </w:rPr>
              <w:t>Manufacturer's instructions</w:t>
            </w:r>
            <w:r w:rsidRPr="00F21D65">
              <w:t xml:space="preserve"> </w:t>
            </w:r>
            <w:r w:rsidRPr="00F21D65">
              <w:rPr>
                <w:rStyle w:val="SpecialBold"/>
              </w:rPr>
              <w:t>may be found in</w:t>
            </w:r>
            <w:r w:rsidRPr="00F21D65">
              <w:t>:</w:t>
            </w:r>
          </w:p>
        </w:tc>
        <w:tc>
          <w:tcPr>
            <w:tcW w:w="6110" w:type="dxa"/>
            <w:tcBorders>
              <w:top w:val="nil"/>
              <w:left w:val="nil"/>
              <w:bottom w:val="nil"/>
              <w:right w:val="nil"/>
            </w:tcBorders>
            <w:tcMar>
              <w:top w:w="0" w:type="dxa"/>
              <w:left w:w="62" w:type="dxa"/>
              <w:bottom w:w="0" w:type="dxa"/>
              <w:right w:w="62" w:type="dxa"/>
            </w:tcMar>
          </w:tcPr>
          <w:p w:rsidR="00000000" w:rsidRPr="00F21D65" w:rsidP="00F21D65">
            <w:pPr>
              <w:pStyle w:val="ListBullet"/>
            </w:pPr>
            <w:r w:rsidRPr="00F21D65">
              <w:t>operator's manual</w:t>
            </w:r>
          </w:p>
          <w:p w:rsidR="00000000" w:rsidRPr="00F21D65" w:rsidP="00F21D65">
            <w:pPr>
              <w:pStyle w:val="ListBullet"/>
            </w:pPr>
            <w:r w:rsidRPr="00F21D65">
              <w:t>plans and diagrams</w:t>
            </w:r>
          </w:p>
          <w:p w:rsidR="00000000" w:rsidRPr="00F21D65" w:rsidP="00F21D65">
            <w:pPr>
              <w:pStyle w:val="ListBullet"/>
            </w:pPr>
            <w:r w:rsidRPr="00F21D65">
              <w:t>printed instruction leaflets</w:t>
            </w:r>
          </w:p>
          <w:p w:rsidR="00000000" w:rsidRPr="00F21D65" w:rsidP="00F21D65">
            <w:pPr>
              <w:pStyle w:val="ListBullet"/>
            </w:pPr>
            <w:r w:rsidRPr="00F21D65">
              <w:t>vehicle</w:t>
            </w:r>
          </w:p>
          <w:p w:rsidR="00000000" w:rsidRPr="00F21D65" w:rsidP="00F21D65">
            <w:pPr>
              <w:pStyle w:val="ListBullet"/>
            </w:pPr>
            <w:r w:rsidRPr="00F21D65">
              <w:t>vehicle specific</w:t>
            </w:r>
            <w:r w:rsidRPr="00F21D65">
              <w:t>ations</w:t>
            </w:r>
          </w:p>
          <w:p w:rsidR="00000000" w:rsidP="00F21D65">
            <w:pPr>
              <w:pStyle w:val="ListBullet"/>
              <w:rPr>
                <w:lang w:val="en-NZ"/>
              </w:rPr>
            </w:pPr>
            <w:r w:rsidRPr="00F21D65">
              <w:t>warranty documents.</w:t>
            </w:r>
          </w:p>
        </w:tc>
      </w:tr>
      <w:tr w:rsidTr="001D501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21D65">
            <w:pPr>
              <w:pStyle w:val="BodyText"/>
              <w:rPr>
                <w:lang w:val="en-NZ"/>
              </w:rPr>
            </w:pPr>
            <w:r w:rsidRPr="00F21D65">
              <w:rPr>
                <w:rStyle w:val="BoldandItalics"/>
              </w:rPr>
              <w:t>Occupational Health and Safety</w:t>
            </w:r>
            <w:r w:rsidRPr="00F21D65">
              <w:t xml:space="preserve"> (</w:t>
            </w:r>
            <w:r w:rsidRPr="00F21D65">
              <w:rPr>
                <w:rStyle w:val="BoldandItalics"/>
              </w:rPr>
              <w:t>OHS</w:t>
            </w:r>
            <w:r w:rsidRPr="00F21D65">
              <w:t xml:space="preserve">) </w:t>
            </w:r>
            <w:r w:rsidRPr="00F21D65">
              <w:rPr>
                <w:rStyle w:val="BoldandItalics"/>
              </w:rPr>
              <w:t>requirements may relate to</w:t>
            </w:r>
            <w:r w:rsidRPr="00F21D65">
              <w:t>:</w:t>
            </w:r>
          </w:p>
        </w:tc>
        <w:tc>
          <w:tcPr>
            <w:tcW w:w="6110" w:type="dxa"/>
            <w:tcBorders>
              <w:top w:val="nil"/>
              <w:left w:val="nil"/>
              <w:bottom w:val="nil"/>
              <w:right w:val="nil"/>
            </w:tcBorders>
            <w:tcMar>
              <w:top w:w="0" w:type="dxa"/>
              <w:left w:w="62" w:type="dxa"/>
              <w:bottom w:w="0" w:type="dxa"/>
              <w:right w:w="62" w:type="dxa"/>
            </w:tcMar>
          </w:tcPr>
          <w:p w:rsidR="00000000" w:rsidRPr="00F21D65" w:rsidP="00F21D65">
            <w:pPr>
              <w:pStyle w:val="ListBullet"/>
            </w:pPr>
            <w:r w:rsidRPr="00F21D65">
              <w:t>potential hazards or risks</w:t>
            </w:r>
          </w:p>
          <w:p w:rsidR="00000000" w:rsidP="00F21D65">
            <w:pPr>
              <w:pStyle w:val="ListBullet"/>
              <w:rPr>
                <w:lang w:val="en-NZ"/>
              </w:rPr>
            </w:pPr>
            <w:r w:rsidRPr="00F21D65">
              <w:t>safety of self and others.</w:t>
            </w:r>
          </w:p>
        </w:tc>
      </w:tr>
      <w:tr w:rsidTr="001D501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21D65">
            <w:pPr>
              <w:pStyle w:val="BodyText"/>
              <w:rPr>
                <w:lang w:val="en-NZ"/>
              </w:rPr>
            </w:pPr>
            <w:r w:rsidRPr="00F21D65">
              <w:rPr>
                <w:rStyle w:val="BoldandItalics"/>
              </w:rPr>
              <w:t>Consumables and spares</w:t>
            </w:r>
            <w:r w:rsidRPr="00F21D65">
              <w:t xml:space="preserve"> </w:t>
            </w:r>
            <w:r w:rsidRPr="00F21D65">
              <w:rPr>
                <w:rStyle w:val="SpecialBold"/>
              </w:rPr>
              <w:t>may include</w:t>
            </w:r>
            <w:r w:rsidRPr="00F21D65">
              <w:t>:</w:t>
            </w:r>
          </w:p>
        </w:tc>
        <w:tc>
          <w:tcPr>
            <w:tcW w:w="6110" w:type="dxa"/>
            <w:tcBorders>
              <w:top w:val="nil"/>
              <w:left w:val="nil"/>
              <w:bottom w:val="nil"/>
              <w:right w:val="nil"/>
            </w:tcBorders>
            <w:tcMar>
              <w:top w:w="0" w:type="dxa"/>
              <w:left w:w="62" w:type="dxa"/>
              <w:bottom w:w="0" w:type="dxa"/>
              <w:right w:w="62" w:type="dxa"/>
            </w:tcMar>
          </w:tcPr>
          <w:p w:rsidR="00000000" w:rsidRPr="00F21D65" w:rsidP="00F21D65">
            <w:pPr>
              <w:pStyle w:val="ListBullet"/>
            </w:pPr>
            <w:r w:rsidRPr="00F21D65">
              <w:t>brake fluid</w:t>
            </w:r>
          </w:p>
          <w:p w:rsidR="00000000" w:rsidRPr="00F21D65" w:rsidP="00F21D65">
            <w:pPr>
              <w:pStyle w:val="ListBullet"/>
            </w:pPr>
            <w:r w:rsidRPr="00F21D65">
              <w:t>fuel</w:t>
            </w:r>
          </w:p>
          <w:p w:rsidR="00000000" w:rsidRPr="00F21D65" w:rsidP="00F21D65">
            <w:pPr>
              <w:pStyle w:val="ListBullet"/>
            </w:pPr>
            <w:r w:rsidRPr="00F21D65">
              <w:t>spare tyre</w:t>
            </w:r>
          </w:p>
          <w:p w:rsidR="00000000" w:rsidP="00F21D65">
            <w:pPr>
              <w:pStyle w:val="ListBullet"/>
              <w:rPr>
                <w:lang w:val="en-NZ"/>
              </w:rPr>
            </w:pPr>
            <w:r w:rsidRPr="00F21D65">
              <w:t>water.</w:t>
            </w:r>
          </w:p>
        </w:tc>
      </w:tr>
      <w:tr w:rsidTr="001D501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21D65">
            <w:pPr>
              <w:pStyle w:val="BodyText"/>
              <w:rPr>
                <w:lang w:val="en-NZ"/>
              </w:rPr>
            </w:pPr>
            <w:r w:rsidRPr="00F21D65">
              <w:rPr>
                <w:rStyle w:val="BoldandItalics"/>
              </w:rPr>
              <w:t>Suitability of vehicle</w:t>
            </w:r>
            <w:r w:rsidRPr="00F21D65">
              <w:t xml:space="preserve"> </w:t>
            </w:r>
            <w:r w:rsidRPr="00F21D65">
              <w:rPr>
                <w:rStyle w:val="SpecialBold"/>
              </w:rPr>
              <w:t>may relate to</w:t>
            </w:r>
            <w:r w:rsidRPr="00F21D65">
              <w:t>:</w:t>
            </w:r>
          </w:p>
        </w:tc>
        <w:tc>
          <w:tcPr>
            <w:tcW w:w="6110" w:type="dxa"/>
            <w:tcBorders>
              <w:top w:val="nil"/>
              <w:left w:val="nil"/>
              <w:bottom w:val="nil"/>
              <w:right w:val="nil"/>
            </w:tcBorders>
            <w:tcMar>
              <w:top w:w="0" w:type="dxa"/>
              <w:left w:w="62" w:type="dxa"/>
              <w:bottom w:w="0" w:type="dxa"/>
              <w:right w:w="62" w:type="dxa"/>
            </w:tcMar>
          </w:tcPr>
          <w:p w:rsidR="00000000" w:rsidRPr="00F21D65" w:rsidP="00F21D65">
            <w:pPr>
              <w:pStyle w:val="ListBullet"/>
            </w:pPr>
            <w:r w:rsidRPr="00F21D65">
              <w:t>curtains</w:t>
            </w:r>
          </w:p>
          <w:p w:rsidR="00000000" w:rsidRPr="00F21D65" w:rsidP="00F21D65">
            <w:pPr>
              <w:pStyle w:val="ListBullet"/>
            </w:pPr>
            <w:r w:rsidRPr="00F21D65">
              <w:t>number plates</w:t>
            </w:r>
          </w:p>
          <w:p w:rsidR="00000000" w:rsidRPr="00F21D65" w:rsidP="00F21D65">
            <w:pPr>
              <w:pStyle w:val="ListBullet"/>
            </w:pPr>
            <w:r w:rsidRPr="00F21D65">
              <w:t>paint colour</w:t>
            </w:r>
          </w:p>
          <w:p w:rsidR="00000000" w:rsidRPr="00F21D65" w:rsidP="00F21D65">
            <w:pPr>
              <w:pStyle w:val="ListBullet"/>
            </w:pPr>
            <w:r w:rsidRPr="00F21D65">
              <w:t>paint style</w:t>
            </w:r>
          </w:p>
          <w:p w:rsidR="00000000" w:rsidRPr="00F21D65" w:rsidP="00F21D65">
            <w:pPr>
              <w:pStyle w:val="ListBullet"/>
            </w:pPr>
            <w:r w:rsidRPr="00F21D65">
              <w:t>radio antennas</w:t>
            </w:r>
          </w:p>
          <w:p w:rsidR="00000000" w:rsidRPr="00F21D65" w:rsidP="00F21D65">
            <w:pPr>
              <w:pStyle w:val="ListBullet"/>
            </w:pPr>
            <w:r w:rsidRPr="00F21D65">
              <w:t>roof racks</w:t>
            </w:r>
          </w:p>
          <w:p w:rsidR="00000000" w:rsidRPr="00F21D65" w:rsidP="00F21D65">
            <w:pPr>
              <w:pStyle w:val="ListBullet"/>
            </w:pPr>
            <w:r w:rsidRPr="00F21D65">
              <w:t>sporting and tradesmen accessories</w:t>
            </w:r>
          </w:p>
          <w:p w:rsidR="00000000" w:rsidRPr="00F21D65" w:rsidP="00F21D65">
            <w:pPr>
              <w:pStyle w:val="ListBullet"/>
            </w:pPr>
            <w:r w:rsidRPr="00F21D65">
              <w:t>wheel covers</w:t>
            </w:r>
          </w:p>
          <w:p w:rsidR="00000000" w:rsidP="00F21D65">
            <w:pPr>
              <w:pStyle w:val="ListBullet"/>
              <w:rPr>
                <w:lang w:val="en-NZ"/>
              </w:rPr>
            </w:pPr>
            <w:r w:rsidRPr="00F21D65">
              <w:t>window tinting.</w:t>
            </w:r>
          </w:p>
        </w:tc>
      </w:tr>
      <w:tr w:rsidTr="001D501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21D65">
            <w:pPr>
              <w:pStyle w:val="BodyText"/>
              <w:rPr>
                <w:lang w:val="en-NZ"/>
              </w:rPr>
            </w:pPr>
            <w:r w:rsidRPr="00F21D65">
              <w:rPr>
                <w:rStyle w:val="BoldandItalics"/>
              </w:rPr>
              <w:t>Surveillance</w:t>
            </w:r>
            <w:r w:rsidRPr="00F21D65">
              <w:t xml:space="preserve"> </w:t>
            </w:r>
            <w:r w:rsidRPr="00F21D65">
              <w:rPr>
                <w:rStyle w:val="SpecialBold"/>
              </w:rPr>
              <w:t>may be</w:t>
            </w:r>
            <w:r w:rsidRPr="00F21D65">
              <w:t>:</w:t>
            </w:r>
          </w:p>
        </w:tc>
        <w:tc>
          <w:tcPr>
            <w:tcW w:w="6110" w:type="dxa"/>
            <w:tcBorders>
              <w:top w:val="nil"/>
              <w:left w:val="nil"/>
              <w:bottom w:val="nil"/>
              <w:right w:val="nil"/>
            </w:tcBorders>
            <w:tcMar>
              <w:top w:w="0" w:type="dxa"/>
              <w:left w:w="62" w:type="dxa"/>
              <w:bottom w:w="0" w:type="dxa"/>
              <w:right w:w="62" w:type="dxa"/>
            </w:tcMar>
          </w:tcPr>
          <w:p w:rsidR="00000000" w:rsidRPr="00F21D65" w:rsidP="00F21D65">
            <w:pPr>
              <w:pStyle w:val="ListBullet"/>
            </w:pPr>
            <w:r w:rsidRPr="00F21D65">
              <w:t>covert</w:t>
            </w:r>
          </w:p>
          <w:p w:rsidR="00000000" w:rsidRPr="00F21D65" w:rsidP="00F21D65">
            <w:pPr>
              <w:pStyle w:val="ListBullet"/>
            </w:pPr>
            <w:r w:rsidRPr="00F21D65">
              <w:t>mobile</w:t>
            </w:r>
          </w:p>
          <w:p w:rsidR="00000000" w:rsidRPr="00F21D65" w:rsidP="00F21D65">
            <w:pPr>
              <w:pStyle w:val="ListBullet"/>
            </w:pPr>
            <w:r w:rsidRPr="00F21D65">
              <w:t xml:space="preserve">overt </w:t>
            </w:r>
          </w:p>
          <w:p w:rsidR="00000000" w:rsidP="00F21D65">
            <w:pPr>
              <w:pStyle w:val="ListBullet"/>
              <w:rPr>
                <w:lang w:val="en-NZ"/>
              </w:rPr>
            </w:pPr>
            <w:r w:rsidRPr="00F21D65">
              <w:t>static.</w:t>
            </w:r>
          </w:p>
        </w:tc>
      </w:tr>
      <w:tr w:rsidTr="001D501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21D65">
            <w:pPr>
              <w:pStyle w:val="BodyText"/>
              <w:rPr>
                <w:lang w:val="en-NZ"/>
              </w:rPr>
            </w:pPr>
            <w:r w:rsidRPr="00F21D65">
              <w:rPr>
                <w:rStyle w:val="BoldandItalics"/>
              </w:rPr>
              <w:t>Surveillance equipment</w:t>
            </w:r>
            <w:r w:rsidRPr="00F21D65">
              <w:t xml:space="preserve"> </w:t>
            </w:r>
            <w:r w:rsidRPr="00F21D65">
              <w:rPr>
                <w:rStyle w:val="SpecialBold"/>
              </w:rPr>
              <w:t>may include</w:t>
            </w:r>
            <w:r w:rsidRPr="00F21D65">
              <w:t>:</w:t>
            </w:r>
          </w:p>
        </w:tc>
        <w:tc>
          <w:tcPr>
            <w:tcW w:w="6110" w:type="dxa"/>
            <w:tcBorders>
              <w:top w:val="nil"/>
              <w:left w:val="nil"/>
              <w:bottom w:val="nil"/>
              <w:right w:val="nil"/>
            </w:tcBorders>
            <w:tcMar>
              <w:top w:w="0" w:type="dxa"/>
              <w:left w:w="62" w:type="dxa"/>
              <w:bottom w:w="0" w:type="dxa"/>
              <w:right w:w="62" w:type="dxa"/>
            </w:tcMar>
          </w:tcPr>
          <w:p w:rsidR="00000000" w:rsidRPr="00F21D65" w:rsidP="00F21D65">
            <w:pPr>
              <w:pStyle w:val="ListBullet"/>
            </w:pPr>
            <w:r w:rsidRPr="00F21D65">
              <w:t>35mm camera</w:t>
            </w:r>
          </w:p>
          <w:p w:rsidR="00000000" w:rsidRPr="00F21D65" w:rsidP="00F21D65">
            <w:pPr>
              <w:pStyle w:val="ListBullet"/>
            </w:pPr>
            <w:r w:rsidRPr="00F21D65">
              <w:t>binoculars</w:t>
            </w:r>
          </w:p>
          <w:p w:rsidR="00000000" w:rsidRPr="00F21D65" w:rsidP="00F21D65">
            <w:pPr>
              <w:pStyle w:val="ListBullet"/>
            </w:pPr>
            <w:r w:rsidRPr="00F21D65">
              <w:t>diary, note pads and pens</w:t>
            </w:r>
          </w:p>
          <w:p w:rsidR="00000000" w:rsidRPr="00F21D65" w:rsidP="00F21D65">
            <w:pPr>
              <w:pStyle w:val="ListBullet"/>
            </w:pPr>
            <w:r w:rsidRPr="00F21D65">
              <w:t>guise, torch, mirrors</w:t>
            </w:r>
          </w:p>
          <w:p w:rsidR="00000000" w:rsidRPr="00F21D65" w:rsidP="00F21D65">
            <w:pPr>
              <w:pStyle w:val="ListBullet"/>
            </w:pPr>
            <w:r w:rsidRPr="00F21D65">
              <w:t>measuring tape</w:t>
            </w:r>
          </w:p>
          <w:p w:rsidR="00000000" w:rsidRPr="00F21D65" w:rsidP="00F21D65">
            <w:pPr>
              <w:pStyle w:val="ListBullet"/>
            </w:pPr>
            <w:r w:rsidRPr="00F21D65">
              <w:t>mobile phone</w:t>
            </w:r>
          </w:p>
          <w:p w:rsidR="00000000" w:rsidRPr="00F21D65" w:rsidP="00F21D65">
            <w:pPr>
              <w:pStyle w:val="ListBullet"/>
            </w:pPr>
            <w:r w:rsidRPr="00F21D65">
              <w:t>night vision equipment</w:t>
            </w:r>
          </w:p>
          <w:p w:rsidR="00000000" w:rsidRPr="00F21D65" w:rsidP="00F21D65">
            <w:pPr>
              <w:pStyle w:val="ListBullet"/>
            </w:pPr>
            <w:r w:rsidRPr="00F21D65">
              <w:t>personal hygiene aids</w:t>
            </w:r>
          </w:p>
          <w:p w:rsidR="00000000" w:rsidRPr="00F21D65" w:rsidP="00F21D65">
            <w:pPr>
              <w:pStyle w:val="ListBullet"/>
            </w:pPr>
            <w:r w:rsidRPr="00F21D65">
              <w:t>telephone directories, maps, street directories</w:t>
            </w:r>
          </w:p>
          <w:p w:rsidR="00000000" w:rsidRPr="00F21D65" w:rsidP="00F21D65">
            <w:pPr>
              <w:pStyle w:val="ListBullet"/>
            </w:pPr>
            <w:r w:rsidRPr="00F21D65">
              <w:t>telephoto lens</w:t>
            </w:r>
          </w:p>
          <w:p w:rsidR="00000000" w:rsidRPr="00F21D65" w:rsidP="00F21D65">
            <w:pPr>
              <w:pStyle w:val="ListBullet"/>
            </w:pPr>
            <w:r w:rsidRPr="00F21D65">
              <w:t>tripod</w:t>
            </w:r>
          </w:p>
          <w:p w:rsidR="00000000" w:rsidRPr="00F21D65" w:rsidP="00F21D65">
            <w:pPr>
              <w:pStyle w:val="ListBullet"/>
            </w:pPr>
            <w:r w:rsidRPr="00F21D65">
              <w:t>video camera</w:t>
            </w:r>
          </w:p>
          <w:p w:rsidR="00000000" w:rsidP="00F21D65">
            <w:pPr>
              <w:pStyle w:val="ListBullet"/>
              <w:rPr>
                <w:lang w:val="en-NZ"/>
              </w:rPr>
            </w:pPr>
            <w:r w:rsidRPr="00F21D65">
              <w:t>voice recorders.</w:t>
            </w:r>
          </w:p>
        </w:tc>
      </w:tr>
      <w:tr w:rsidTr="001D501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21D65">
            <w:pPr>
              <w:pStyle w:val="BodyText"/>
              <w:rPr>
                <w:lang w:val="en-NZ"/>
              </w:rPr>
            </w:pPr>
            <w:r w:rsidRPr="00F21D65">
              <w:rPr>
                <w:rStyle w:val="BoldandItalics"/>
              </w:rPr>
              <w:t>Stores</w:t>
            </w:r>
            <w:r w:rsidRPr="00F21D65">
              <w:t xml:space="preserve"> </w:t>
            </w:r>
            <w:r w:rsidRPr="00F21D65">
              <w:rPr>
                <w:rStyle w:val="SpecialBold"/>
              </w:rPr>
              <w:t>may include</w:t>
            </w:r>
            <w:r w:rsidRPr="00F21D65">
              <w:t>:</w:t>
            </w:r>
          </w:p>
        </w:tc>
        <w:tc>
          <w:tcPr>
            <w:tcW w:w="6110" w:type="dxa"/>
            <w:tcBorders>
              <w:top w:val="nil"/>
              <w:left w:val="nil"/>
              <w:bottom w:val="nil"/>
              <w:right w:val="nil"/>
            </w:tcBorders>
            <w:tcMar>
              <w:top w:w="0" w:type="dxa"/>
              <w:left w:w="62" w:type="dxa"/>
              <w:bottom w:w="0" w:type="dxa"/>
              <w:right w:w="62" w:type="dxa"/>
            </w:tcMar>
          </w:tcPr>
          <w:p w:rsidR="00000000" w:rsidRPr="00F21D65" w:rsidP="00F21D65">
            <w:pPr>
              <w:pStyle w:val="ListBullet"/>
            </w:pPr>
            <w:r w:rsidRPr="00F21D65">
              <w:t>changes of clothing</w:t>
            </w:r>
          </w:p>
          <w:p w:rsidR="00000000" w:rsidRPr="00F21D65" w:rsidP="00F21D65">
            <w:pPr>
              <w:pStyle w:val="ListBullet"/>
            </w:pPr>
            <w:r w:rsidRPr="00F21D65">
              <w:t>disguises</w:t>
            </w:r>
          </w:p>
          <w:p w:rsidR="00000000" w:rsidRPr="00F21D65" w:rsidP="00F21D65">
            <w:pPr>
              <w:pStyle w:val="ListBullet"/>
            </w:pPr>
            <w:r w:rsidRPr="00F21D65">
              <w:t>electrical adaptation</w:t>
            </w:r>
          </w:p>
          <w:p w:rsidR="00000000" w:rsidRPr="00F21D65" w:rsidP="00F21D65">
            <w:pPr>
              <w:pStyle w:val="ListBullet"/>
            </w:pPr>
            <w:r w:rsidRPr="00F21D65">
              <w:t>food and water</w:t>
            </w:r>
          </w:p>
          <w:p w:rsidR="00000000" w:rsidRPr="00F21D65" w:rsidP="00F21D65">
            <w:pPr>
              <w:pStyle w:val="ListBullet"/>
            </w:pPr>
            <w:r w:rsidRPr="00F21D65">
              <w:t>open tool box</w:t>
            </w:r>
          </w:p>
          <w:p w:rsidR="00000000" w:rsidRPr="00F21D65" w:rsidP="00F21D65">
            <w:pPr>
              <w:pStyle w:val="ListBullet"/>
            </w:pPr>
            <w:r w:rsidRPr="00F21D65">
              <w:t>personal protective equipment</w:t>
            </w:r>
          </w:p>
          <w:p w:rsidR="00000000" w:rsidRPr="00F21D65" w:rsidP="00F21D65">
            <w:pPr>
              <w:pStyle w:val="ListBullet"/>
            </w:pPr>
            <w:r w:rsidRPr="00F21D65">
              <w:t>props (books and magazines, salespersons samples, sporting gear)</w:t>
            </w:r>
          </w:p>
          <w:p w:rsidR="00000000" w:rsidRPr="00F21D65" w:rsidP="00F21D65">
            <w:pPr>
              <w:pStyle w:val="ListBullet"/>
            </w:pPr>
            <w:r w:rsidRPr="00F21D65">
              <w:t>repair equipment</w:t>
            </w:r>
          </w:p>
          <w:p w:rsidR="00000000" w:rsidRPr="00F21D65" w:rsidP="00F21D65">
            <w:pPr>
              <w:pStyle w:val="ListBullet"/>
            </w:pPr>
            <w:r w:rsidRPr="00F21D65">
              <w:t>toilet fittings.</w:t>
            </w:r>
          </w:p>
        </w:tc>
      </w:tr>
    </w:tbl>
    <w:p w:rsidR="001D5014" w:rsidP="00F21D65">
      <w:pPr>
        <w:pStyle w:val="BodyText"/>
      </w:pPr>
    </w:p>
    <w:p w:rsidR="001D5014" w:rsidP="00F21D65">
      <w:pPr>
        <w:pStyle w:val="BodyText"/>
      </w:pPr>
    </w:p>
    <w:p w:rsidR="00000000" w:rsidRPr="00F21D65" w:rsidP="00F21D65">
      <w:pPr>
        <w:pStyle w:val="Heading1"/>
      </w:pPr>
      <w:bookmarkStart w:id="12" w:name="O_201944"/>
      <w:bookmarkEnd w:id="12"/>
      <w:r w:rsidRPr="00F21D65">
        <w:t>Unit Sector(s)</w:t>
      </w:r>
    </w:p>
    <w:tbl>
      <w:tblPr>
        <w:tblW w:w="0" w:type="auto"/>
        <w:tblLayout w:type="fixed"/>
        <w:tblCellMar>
          <w:left w:w="62" w:type="dxa"/>
          <w:right w:w="62" w:type="dxa"/>
        </w:tblCellMar>
        <w:tblLook w:val="0000"/>
      </w:tblPr>
      <w:tblGrid>
        <w:gridCol w:w="2391"/>
        <w:gridCol w:w="6131"/>
      </w:tblGrid>
      <w:tr w:rsidTr="001D5014">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F21D65">
            <w:pPr>
              <w:pStyle w:val="BodyText"/>
              <w:rPr>
                <w:lang w:val="en-NZ"/>
              </w:rPr>
            </w:pPr>
            <w:r w:rsidRPr="00F21D65">
              <w:rPr>
                <w:rStyle w:val="SpecialBold"/>
              </w:rPr>
              <w:t>Unit sect</w:t>
            </w:r>
            <w:r w:rsidRPr="00F21D65">
              <w:rPr>
                <w:rStyle w:val="SpecialBold"/>
              </w:rPr>
              <w:t>or</w:t>
            </w:r>
          </w:p>
        </w:tc>
        <w:tc>
          <w:tcPr>
            <w:tcW w:w="6131" w:type="dxa"/>
            <w:tcBorders>
              <w:top w:val="nil"/>
              <w:left w:val="nil"/>
              <w:bottom w:val="nil"/>
              <w:right w:val="nil"/>
            </w:tcBorders>
            <w:tcMar>
              <w:top w:w="0" w:type="dxa"/>
              <w:left w:w="62" w:type="dxa"/>
              <w:bottom w:w="0" w:type="dxa"/>
              <w:right w:w="62" w:type="dxa"/>
            </w:tcMar>
          </w:tcPr>
          <w:p w:rsidR="00000000" w:rsidRPr="00F21D65" w:rsidP="00F21D65">
            <w:pPr>
              <w:pStyle w:val="BodyText"/>
            </w:pPr>
            <w:r w:rsidRPr="00F21D65">
              <w:t>Security</w:t>
            </w:r>
          </w:p>
        </w:tc>
      </w:tr>
    </w:tbl>
    <w:p w:rsidR="001D5014" w:rsidP="00F21D65">
      <w:pPr>
        <w:pStyle w:val="BodyText"/>
      </w:pPr>
    </w:p>
    <w:p w:rsidR="001D5014" w:rsidP="00F21D65">
      <w:pPr>
        <w:pStyle w:val="BodyText"/>
      </w:pPr>
    </w:p>
    <w:p w:rsidR="00000000" w:rsidRPr="00F21D65" w:rsidP="00F21D65">
      <w:pPr>
        <w:pStyle w:val="Heading1"/>
      </w:pPr>
      <w:bookmarkStart w:id="13" w:name="O_201943"/>
      <w:bookmarkEnd w:id="13"/>
      <w:r w:rsidRPr="00F21D65">
        <w:t>Competency field</w:t>
      </w:r>
    </w:p>
    <w:tbl>
      <w:tblPr>
        <w:tblW w:w="0" w:type="auto"/>
        <w:tblLayout w:type="fixed"/>
        <w:tblCellMar>
          <w:left w:w="62" w:type="dxa"/>
          <w:right w:w="62" w:type="dxa"/>
        </w:tblCellMar>
        <w:tblLook w:val="0000"/>
      </w:tblPr>
      <w:tblGrid>
        <w:gridCol w:w="2450"/>
        <w:gridCol w:w="6072"/>
      </w:tblGrid>
      <w:tr w:rsidTr="001D5014">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F21D65">
            <w:pPr>
              <w:pStyle w:val="BodyText"/>
              <w:rPr>
                <w:lang w:val="en-NZ"/>
              </w:rPr>
            </w:pPr>
            <w:r w:rsidRPr="00F21D65">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F21D65" w:rsidP="00F21D65">
            <w:pPr>
              <w:pStyle w:val="BodyText"/>
            </w:pPr>
            <w:r w:rsidRPr="00F21D65">
              <w:t>Investigative services</w:t>
            </w:r>
          </w:p>
        </w:tc>
      </w:tr>
    </w:tbl>
    <w:p w:rsidR="001D5014" w:rsidP="00F21D65">
      <w:pPr>
        <w:pStyle w:val="BodyText"/>
      </w:pPr>
    </w:p>
    <w:p w:rsidR="001D5014" w:rsidP="00F21D65">
      <w:pPr>
        <w:pStyle w:val="BodyText"/>
      </w:pPr>
    </w:p>
    <w:p w:rsidR="00000000" w:rsidRPr="00F21D65" w:rsidP="00F21D65"/>
    <w:sectPr w:rsidSect="00F21D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D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5014" w:rsidP="001D50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D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014" w:rsidP="00F21D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D5014" w:rsidP="00F21D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D5014" w:rsidP="00F21D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D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5014" w:rsidP="001D501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D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014" w:rsidP="00F21D65">
    <w:pPr>
      <w:pStyle w:val="Header"/>
      <w:framePr w:wrap="around"/>
    </w:pPr>
    <w:r>
      <w:fldChar w:fldCharType="begin"/>
    </w:r>
    <w:r>
      <w:instrText xml:space="preserve"> TITLE   \* MERGEFORMAT </w:instrText>
    </w:r>
    <w:r>
      <w:fldChar w:fldCharType="separate"/>
    </w:r>
    <w:r>
      <w:t>CPPSEC3031A Organise and operate a surveillance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D5014" w:rsidP="00F21D6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0C60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0CFC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724C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1D6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1D65"/>
    <w:pPr>
      <w:spacing w:before="360" w:after="60"/>
      <w:outlineLvl w:val="0"/>
    </w:pPr>
    <w:rPr>
      <w:sz w:val="32"/>
    </w:rPr>
  </w:style>
  <w:style w:type="paragraph" w:styleId="Heading2">
    <w:name w:val="heading 2"/>
    <w:basedOn w:val="HeadingBase"/>
    <w:next w:val="BodyText"/>
    <w:link w:val="Heading2Char"/>
    <w:qFormat/>
    <w:rsid w:val="00F21D65"/>
    <w:pPr>
      <w:keepLines/>
      <w:spacing w:before="240" w:after="120"/>
      <w:outlineLvl w:val="1"/>
    </w:pPr>
    <w:rPr>
      <w:sz w:val="28"/>
      <w:szCs w:val="40"/>
    </w:rPr>
  </w:style>
  <w:style w:type="paragraph" w:styleId="Heading3">
    <w:name w:val="heading 3"/>
    <w:basedOn w:val="HeadingBase"/>
    <w:next w:val="BodyText"/>
    <w:link w:val="Heading3Char"/>
    <w:qFormat/>
    <w:rsid w:val="00F21D65"/>
    <w:pPr>
      <w:spacing w:before="180" w:after="120"/>
      <w:outlineLvl w:val="2"/>
    </w:pPr>
    <w:rPr>
      <w:spacing w:val="-10"/>
      <w:kern w:val="32"/>
    </w:rPr>
  </w:style>
  <w:style w:type="paragraph" w:styleId="Heading4">
    <w:name w:val="heading 4"/>
    <w:basedOn w:val="HeadingBase"/>
    <w:next w:val="BodyText"/>
    <w:link w:val="Heading4Char"/>
    <w:qFormat/>
    <w:rsid w:val="00F21D65"/>
    <w:pPr>
      <w:spacing w:before="160" w:after="120"/>
      <w:outlineLvl w:val="3"/>
    </w:pPr>
    <w:rPr>
      <w:sz w:val="22"/>
    </w:rPr>
  </w:style>
  <w:style w:type="paragraph" w:styleId="Heading5">
    <w:name w:val="heading 5"/>
    <w:basedOn w:val="HeadingBase"/>
    <w:next w:val="Normal"/>
    <w:link w:val="Heading5Char"/>
    <w:qFormat/>
    <w:rsid w:val="00F21D65"/>
    <w:pPr>
      <w:spacing w:before="80"/>
      <w:outlineLvl w:val="4"/>
    </w:pPr>
    <w:rPr>
      <w:color w:val="918585"/>
      <w:sz w:val="20"/>
    </w:rPr>
  </w:style>
  <w:style w:type="paragraph" w:styleId="Heading6">
    <w:name w:val="heading 6"/>
    <w:basedOn w:val="HeadingBase"/>
    <w:next w:val="Normal"/>
    <w:link w:val="Heading6Char"/>
    <w:qFormat/>
    <w:rsid w:val="00F21D65"/>
    <w:pPr>
      <w:spacing w:before="60"/>
      <w:outlineLvl w:val="5"/>
    </w:pPr>
    <w:rPr>
      <w:color w:val="918585"/>
      <w:sz w:val="20"/>
    </w:rPr>
  </w:style>
  <w:style w:type="paragraph" w:styleId="Heading7">
    <w:name w:val="heading 7"/>
    <w:basedOn w:val="Normal"/>
    <w:next w:val="Normal"/>
    <w:link w:val="Heading7Char"/>
    <w:qFormat/>
    <w:rsid w:val="00F21D65"/>
    <w:pPr>
      <w:ind w:left="720"/>
      <w:outlineLvl w:val="6"/>
    </w:pPr>
    <w:rPr>
      <w:i/>
    </w:rPr>
  </w:style>
  <w:style w:type="paragraph" w:styleId="Heading8">
    <w:name w:val="heading 8"/>
    <w:basedOn w:val="Normal"/>
    <w:next w:val="Normal"/>
    <w:link w:val="Heading8Char"/>
    <w:qFormat/>
    <w:rsid w:val="00F21D65"/>
    <w:pPr>
      <w:ind w:left="720"/>
      <w:outlineLvl w:val="7"/>
    </w:pPr>
    <w:rPr>
      <w:i/>
    </w:rPr>
  </w:style>
  <w:style w:type="paragraph" w:styleId="Heading9">
    <w:name w:val="heading 9"/>
    <w:basedOn w:val="Normal"/>
    <w:next w:val="Normal"/>
    <w:link w:val="Heading9Char"/>
    <w:qFormat/>
    <w:rsid w:val="00F21D65"/>
    <w:pPr>
      <w:ind w:left="720"/>
      <w:outlineLvl w:val="8"/>
    </w:pPr>
    <w:rPr>
      <w:i/>
    </w:rPr>
  </w:style>
  <w:style w:type="character" w:default="1" w:styleId="DefaultParagraphFont">
    <w:name w:val="Default Paragraph Font"/>
    <w:uiPriority w:val="1"/>
    <w:unhideWhenUsed/>
    <w:rsid w:val="00F21D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1D65"/>
  </w:style>
  <w:style w:type="character" w:customStyle="1" w:styleId="Heading1Char">
    <w:name w:val="Heading 1 Char"/>
    <w:basedOn w:val="DefaultParagraphFont"/>
    <w:link w:val="Heading1"/>
    <w:rsid w:val="00F21D65"/>
    <w:rPr>
      <w:rFonts w:ascii="Times New Roman" w:eastAsia="Times New Roman" w:hAnsi="Times New Roman" w:cs="Times New Roman"/>
      <w:b/>
      <w:sz w:val="32"/>
      <w:szCs w:val="20"/>
      <w:lang w:eastAsia="en-US"/>
    </w:rPr>
  </w:style>
  <w:style w:type="paragraph" w:styleId="BodyText">
    <w:name w:val="Body Text"/>
    <w:basedOn w:val="Normal"/>
    <w:link w:val="BodyTextChar"/>
    <w:rsid w:val="00F21D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1D65"/>
    <w:rPr>
      <w:rFonts w:ascii="Times New Roman" w:eastAsia="Times New Roman" w:hAnsi="Times New Roman" w:cs="Times New Roman"/>
      <w:sz w:val="24"/>
      <w:lang w:val="en-US" w:eastAsia="en-US"/>
    </w:rPr>
  </w:style>
  <w:style w:type="paragraph" w:styleId="Footer">
    <w:name w:val="footer"/>
    <w:basedOn w:val="Normal"/>
    <w:link w:val="FooterChar"/>
    <w:rsid w:val="00F21D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1D65"/>
    <w:rPr>
      <w:rFonts w:ascii="Times New Roman" w:eastAsia="Times New Roman" w:hAnsi="Times New Roman" w:cs="Times New Roman"/>
      <w:sz w:val="16"/>
      <w:lang w:val="en-US" w:eastAsia="en-US"/>
    </w:rPr>
  </w:style>
  <w:style w:type="paragraph" w:styleId="List">
    <w:name w:val="List"/>
    <w:basedOn w:val="BodyText"/>
    <w:next w:val="BodyText"/>
    <w:rsid w:val="00F21D65"/>
    <w:pPr>
      <w:tabs>
        <w:tab w:val="left" w:pos="340"/>
      </w:tabs>
      <w:spacing w:before="60" w:after="60"/>
      <w:ind w:left="340" w:hanging="340"/>
    </w:pPr>
  </w:style>
  <w:style w:type="paragraph" w:styleId="ListBullet">
    <w:name w:val="List Bullet"/>
    <w:basedOn w:val="List"/>
    <w:rsid w:val="00F21D65"/>
    <w:pPr>
      <w:numPr>
        <w:numId w:val="13"/>
      </w:numPr>
      <w:tabs>
        <w:tab w:val="clear" w:pos="340"/>
      </w:tabs>
      <w:spacing w:before="40" w:after="40"/>
    </w:pPr>
  </w:style>
  <w:style w:type="character" w:customStyle="1" w:styleId="SpecialBold">
    <w:name w:val="Special Bold"/>
    <w:basedOn w:val="DefaultParagraphFont"/>
    <w:rsid w:val="00F21D65"/>
    <w:rPr>
      <w:b/>
      <w:spacing w:val="0"/>
    </w:rPr>
  </w:style>
  <w:style w:type="paragraph" w:styleId="ListBullet2">
    <w:name w:val="List Bullet 2"/>
    <w:basedOn w:val="List2"/>
    <w:rsid w:val="00F21D65"/>
    <w:pPr>
      <w:numPr>
        <w:numId w:val="14"/>
      </w:numPr>
      <w:tabs>
        <w:tab w:val="clear" w:pos="680"/>
      </w:tabs>
    </w:pPr>
  </w:style>
  <w:style w:type="paragraph" w:styleId="Header">
    <w:name w:val="header"/>
    <w:basedOn w:val="Normal"/>
    <w:link w:val="HeaderChar"/>
    <w:rsid w:val="00F21D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1D6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21D65"/>
    <w:pPr>
      <w:spacing w:before="240" w:after="120"/>
      <w:outlineLvl w:val="0"/>
    </w:pPr>
    <w:rPr>
      <w:rFonts w:ascii="Times New Roman" w:hAnsi="Times New Roman"/>
      <w:b/>
      <w:sz w:val="28"/>
    </w:rPr>
  </w:style>
  <w:style w:type="paragraph" w:customStyle="1" w:styleId="AllowPageBreak">
    <w:name w:val="AllowPageBreak"/>
    <w:rsid w:val="00F21D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21D65"/>
    <w:rPr>
      <w:b/>
      <w:i/>
      <w:u w:val="none"/>
    </w:rPr>
  </w:style>
  <w:style w:type="character" w:customStyle="1" w:styleId="Heading2Char">
    <w:name w:val="Heading 2 Char"/>
    <w:basedOn w:val="DefaultParagraphFont"/>
    <w:link w:val="Heading2"/>
    <w:rsid w:val="00F21D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1D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1D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1D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1D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1D6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1D6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1D65"/>
    <w:rPr>
      <w:rFonts w:ascii="Courier New" w:eastAsia="Times New Roman" w:hAnsi="Courier New" w:cs="Times New Roman"/>
      <w:i/>
      <w:szCs w:val="20"/>
      <w:lang w:val="en-US" w:eastAsia="en-US"/>
    </w:rPr>
  </w:style>
  <w:style w:type="paragraph" w:customStyle="1" w:styleId="HeadingBase">
    <w:name w:val="Heading Base"/>
    <w:rsid w:val="00F21D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1D65"/>
    <w:pPr>
      <w:tabs>
        <w:tab w:val="right" w:leader="dot" w:pos="9072"/>
      </w:tabs>
      <w:ind w:left="567"/>
    </w:pPr>
    <w:rPr>
      <w:szCs w:val="22"/>
    </w:rPr>
  </w:style>
  <w:style w:type="paragraph" w:customStyle="1" w:styleId="TOCBase">
    <w:name w:val="TOC Base"/>
    <w:rsid w:val="00F21D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1D65"/>
    <w:pPr>
      <w:tabs>
        <w:tab w:val="right" w:leader="dot" w:pos="9072"/>
      </w:tabs>
      <w:spacing w:before="40" w:after="40"/>
      <w:ind w:left="284"/>
    </w:pPr>
    <w:rPr>
      <w:rFonts w:ascii="Times New Roman" w:hAnsi="Times New Roman"/>
    </w:rPr>
  </w:style>
  <w:style w:type="paragraph" w:styleId="TOC1">
    <w:name w:val="toc 1"/>
    <w:basedOn w:val="TOCBase"/>
    <w:next w:val="Normal"/>
    <w:rsid w:val="00F21D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1D65"/>
    <w:pPr>
      <w:spacing w:before="5040"/>
      <w:jc w:val="center"/>
    </w:pPr>
    <w:rPr>
      <w:sz w:val="48"/>
      <w:szCs w:val="72"/>
      <w:lang w:val="en-US"/>
    </w:rPr>
  </w:style>
  <w:style w:type="character" w:customStyle="1" w:styleId="TitleChar">
    <w:name w:val="Title Char"/>
    <w:basedOn w:val="DefaultParagraphFont"/>
    <w:link w:val="Title"/>
    <w:rsid w:val="00F21D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1D65"/>
    <w:pPr>
      <w:tabs>
        <w:tab w:val="left" w:pos="3600"/>
        <w:tab w:val="left" w:pos="3958"/>
      </w:tabs>
    </w:pPr>
  </w:style>
  <w:style w:type="paragraph" w:customStyle="1" w:styleId="Note">
    <w:name w:val="Note"/>
    <w:basedOn w:val="BodyText"/>
    <w:rsid w:val="00F21D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1D65"/>
    <w:pPr>
      <w:framePr w:wrap="auto" w:hAnchor="text" w:y="6049"/>
    </w:pPr>
    <w:rPr>
      <w:color w:val="000000"/>
      <w:sz w:val="40"/>
    </w:rPr>
  </w:style>
  <w:style w:type="paragraph" w:customStyle="1" w:styleId="TOCTitle">
    <w:name w:val="TOCTitle"/>
    <w:basedOn w:val="Heading1"/>
    <w:rsid w:val="00F21D65"/>
    <w:pPr>
      <w:spacing w:after="240"/>
      <w:jc w:val="center"/>
      <w:outlineLvl w:val="9"/>
    </w:pPr>
    <w:rPr>
      <w:caps/>
    </w:rPr>
  </w:style>
  <w:style w:type="paragraph" w:customStyle="1" w:styleId="Version">
    <w:name w:val="Version"/>
    <w:rsid w:val="00F21D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1D65"/>
    <w:pPr>
      <w:keepNext w:val="0"/>
      <w:tabs>
        <w:tab w:val="right" w:pos="4176"/>
      </w:tabs>
      <w:ind w:left="198" w:hanging="198"/>
    </w:pPr>
    <w:rPr>
      <w:rFonts w:ascii="Garamond" w:hAnsi="Garamond"/>
    </w:rPr>
  </w:style>
  <w:style w:type="paragraph" w:styleId="IndexHeading">
    <w:name w:val="index heading"/>
    <w:basedOn w:val="Normal"/>
    <w:next w:val="Index1"/>
    <w:semiHidden/>
    <w:rsid w:val="00F21D65"/>
    <w:pPr>
      <w:spacing w:before="120" w:after="120"/>
    </w:pPr>
    <w:rPr>
      <w:rFonts w:ascii="Arial" w:hAnsi="Arial"/>
      <w:b/>
      <w:color w:val="918585"/>
      <w:sz w:val="24"/>
    </w:rPr>
  </w:style>
  <w:style w:type="paragraph" w:customStyle="1" w:styleId="Chapter">
    <w:name w:val="Chapter"/>
    <w:basedOn w:val="Normal"/>
    <w:rsid w:val="00F21D65"/>
    <w:pPr>
      <w:spacing w:before="240"/>
    </w:pPr>
    <w:rPr>
      <w:rFonts w:ascii="Times New Roman" w:hAnsi="Times New Roman"/>
      <w:smallCaps/>
      <w:spacing w:val="80"/>
      <w:sz w:val="28"/>
    </w:rPr>
  </w:style>
  <w:style w:type="paragraph" w:customStyle="1" w:styleId="InChapter">
    <w:name w:val="InChapter"/>
    <w:basedOn w:val="Heading3"/>
    <w:rsid w:val="00F21D65"/>
    <w:pPr>
      <w:spacing w:after="240"/>
      <w:outlineLvl w:val="9"/>
    </w:pPr>
    <w:rPr>
      <w:noProof/>
    </w:rPr>
  </w:style>
  <w:style w:type="paragraph" w:styleId="Index2">
    <w:name w:val="index 2"/>
    <w:basedOn w:val="Normal"/>
    <w:next w:val="Normal"/>
    <w:semiHidden/>
    <w:rsid w:val="00F21D65"/>
    <w:pPr>
      <w:tabs>
        <w:tab w:val="right" w:pos="4176"/>
      </w:tabs>
      <w:ind w:left="568" w:hanging="284"/>
    </w:pPr>
    <w:rPr>
      <w:rFonts w:ascii="Garamond" w:hAnsi="Garamond"/>
    </w:rPr>
  </w:style>
  <w:style w:type="paragraph" w:customStyle="1" w:styleId="Byline">
    <w:name w:val="Byline"/>
    <w:rsid w:val="00F21D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1D65"/>
    <w:pPr>
      <w:tabs>
        <w:tab w:val="clear" w:pos="3600"/>
        <w:tab w:val="clear" w:pos="3958"/>
      </w:tabs>
      <w:jc w:val="right"/>
    </w:pPr>
  </w:style>
  <w:style w:type="character" w:styleId="Emphasis">
    <w:name w:val="Emphasis"/>
    <w:basedOn w:val="DefaultParagraphFont"/>
    <w:qFormat/>
    <w:rsid w:val="00F21D65"/>
    <w:rPr>
      <w:i/>
    </w:rPr>
  </w:style>
  <w:style w:type="paragraph" w:styleId="Caption">
    <w:name w:val="caption"/>
    <w:basedOn w:val="BodyText"/>
    <w:next w:val="Normal"/>
    <w:qFormat/>
    <w:rsid w:val="00F21D65"/>
    <w:pPr>
      <w:framePr w:w="2268" w:hSpace="181" w:vSpace="181" w:wrap="around" w:vAnchor="text" w:hAnchor="page" w:x="1135" w:y="285" w:anchorLock="1"/>
    </w:pPr>
    <w:rPr>
      <w:i/>
    </w:rPr>
  </w:style>
  <w:style w:type="paragraph" w:customStyle="1" w:styleId="MiniTOCTitle">
    <w:name w:val="MiniTOCTitle"/>
    <w:basedOn w:val="Heading4"/>
    <w:rsid w:val="00F21D65"/>
    <w:pPr>
      <w:spacing w:before="240"/>
      <w:outlineLvl w:val="9"/>
    </w:pPr>
    <w:rPr>
      <w:noProof/>
      <w:sz w:val="24"/>
    </w:rPr>
  </w:style>
  <w:style w:type="paragraph" w:customStyle="1" w:styleId="MiniTOCItem">
    <w:name w:val="MiniTOCItem"/>
    <w:basedOn w:val="ListBullet"/>
    <w:rsid w:val="00F21D65"/>
    <w:pPr>
      <w:numPr>
        <w:numId w:val="0"/>
      </w:numPr>
      <w:tabs>
        <w:tab w:val="right" w:leader="dot" w:pos="6521"/>
      </w:tabs>
      <w:spacing w:before="0" w:after="0"/>
    </w:pPr>
  </w:style>
  <w:style w:type="paragraph" w:customStyle="1" w:styleId="TOFTitle">
    <w:name w:val="TOFTitle"/>
    <w:basedOn w:val="TOCTitle"/>
    <w:rsid w:val="00F21D65"/>
  </w:style>
  <w:style w:type="paragraph" w:styleId="TableofFigures">
    <w:name w:val="table of figures"/>
    <w:basedOn w:val="Normal"/>
    <w:next w:val="Normal"/>
    <w:semiHidden/>
    <w:rsid w:val="00F21D65"/>
    <w:pPr>
      <w:tabs>
        <w:tab w:val="right" w:leader="dot" w:pos="9072"/>
      </w:tabs>
      <w:ind w:left="970" w:hanging="403"/>
    </w:pPr>
    <w:rPr>
      <w:rFonts w:ascii="Times New Roman" w:hAnsi="Times New Roman"/>
      <w:b/>
    </w:rPr>
  </w:style>
  <w:style w:type="paragraph" w:styleId="ListNumber">
    <w:name w:val="List Number"/>
    <w:basedOn w:val="List"/>
    <w:rsid w:val="00F21D65"/>
    <w:pPr>
      <w:numPr>
        <w:numId w:val="11"/>
      </w:numPr>
    </w:pPr>
  </w:style>
  <w:style w:type="character" w:customStyle="1" w:styleId="WingdingSymbols">
    <w:name w:val="Wingding Symbols"/>
    <w:rsid w:val="00F21D65"/>
    <w:rPr>
      <w:rFonts w:ascii="Wingdings" w:hAnsi="Wingdings"/>
    </w:rPr>
  </w:style>
  <w:style w:type="paragraph" w:customStyle="1" w:styleId="TableHeading">
    <w:name w:val="Table Heading"/>
    <w:basedOn w:val="HeadingBase"/>
    <w:rsid w:val="00F21D65"/>
    <w:pPr>
      <w:keepLines/>
      <w:pBdr>
        <w:bottom w:val="single" w:sz="6" w:space="1" w:color="918585"/>
      </w:pBdr>
      <w:spacing w:before="240"/>
    </w:pPr>
  </w:style>
  <w:style w:type="character" w:customStyle="1" w:styleId="HotSpot">
    <w:name w:val="HotSpot"/>
    <w:rsid w:val="00F21D65"/>
    <w:rPr>
      <w:color w:val="0033CC"/>
      <w:u w:val="none"/>
    </w:rPr>
  </w:style>
  <w:style w:type="paragraph" w:customStyle="1" w:styleId="BodyTextRight">
    <w:name w:val="Body Text Right"/>
    <w:basedOn w:val="BodyText"/>
    <w:rsid w:val="00F21D65"/>
    <w:pPr>
      <w:spacing w:before="0" w:after="0"/>
      <w:jc w:val="right"/>
    </w:pPr>
  </w:style>
  <w:style w:type="paragraph" w:styleId="Index3">
    <w:name w:val="index 3"/>
    <w:basedOn w:val="ListNumber2"/>
    <w:next w:val="Normal"/>
    <w:semiHidden/>
    <w:rsid w:val="00F21D65"/>
    <w:pPr>
      <w:numPr>
        <w:numId w:val="0"/>
      </w:numPr>
      <w:tabs>
        <w:tab w:val="right" w:leader="dot" w:pos="4176"/>
      </w:tabs>
    </w:pPr>
  </w:style>
  <w:style w:type="paragraph" w:styleId="ListNumber2">
    <w:name w:val="List Number 2"/>
    <w:basedOn w:val="List2"/>
    <w:rsid w:val="00F21D65"/>
    <w:pPr>
      <w:numPr>
        <w:numId w:val="10"/>
      </w:numPr>
      <w:tabs>
        <w:tab w:val="clear" w:pos="1060"/>
      </w:tabs>
    </w:pPr>
  </w:style>
  <w:style w:type="paragraph" w:customStyle="1" w:styleId="MarginNote">
    <w:name w:val="Margin Note"/>
    <w:basedOn w:val="BodyText"/>
    <w:rsid w:val="00F21D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1D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1D6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1D65"/>
    <w:rPr>
      <w:sz w:val="32"/>
    </w:rPr>
  </w:style>
  <w:style w:type="paragraph" w:customStyle="1" w:styleId="HeadingProcedure">
    <w:name w:val="Heading Procedure"/>
    <w:basedOn w:val="HeadingBase"/>
    <w:next w:val="Normal"/>
    <w:rsid w:val="00F21D65"/>
    <w:pPr>
      <w:tabs>
        <w:tab w:val="left" w:pos="0"/>
      </w:tabs>
      <w:spacing w:before="120" w:after="60"/>
    </w:pPr>
    <w:rPr>
      <w:i/>
      <w:color w:val="918585"/>
      <w:sz w:val="22"/>
    </w:rPr>
  </w:style>
  <w:style w:type="paragraph" w:customStyle="1" w:styleId="TableBodyText">
    <w:name w:val="Table Body Text"/>
    <w:basedOn w:val="BodyText"/>
    <w:rsid w:val="00F21D65"/>
    <w:pPr>
      <w:spacing w:before="60" w:after="60"/>
    </w:pPr>
  </w:style>
  <w:style w:type="paragraph" w:styleId="ListContinue">
    <w:name w:val="List Continue"/>
    <w:basedOn w:val="List"/>
    <w:rsid w:val="00F21D65"/>
    <w:pPr>
      <w:ind w:firstLine="0"/>
    </w:pPr>
  </w:style>
  <w:style w:type="paragraph" w:customStyle="1" w:styleId="ListNote">
    <w:name w:val="List Note"/>
    <w:basedOn w:val="List"/>
    <w:rsid w:val="00F21D65"/>
    <w:pPr>
      <w:pBdr>
        <w:top w:val="single" w:sz="6" w:space="2" w:color="918585"/>
        <w:bottom w:val="single" w:sz="6" w:space="2" w:color="918585"/>
      </w:pBdr>
      <w:tabs>
        <w:tab w:val="left" w:pos="1021"/>
      </w:tabs>
      <w:ind w:firstLine="0"/>
    </w:pPr>
  </w:style>
  <w:style w:type="paragraph" w:customStyle="1" w:styleId="Warning">
    <w:name w:val="Warning"/>
    <w:basedOn w:val="BodyText"/>
    <w:rsid w:val="00F21D65"/>
    <w:pPr>
      <w:shd w:val="clear" w:color="auto" w:fill="D9D9D9"/>
      <w:tabs>
        <w:tab w:val="left" w:pos="992"/>
      </w:tabs>
      <w:ind w:left="119" w:right="119"/>
    </w:pPr>
    <w:rPr>
      <w:sz w:val="20"/>
    </w:rPr>
  </w:style>
  <w:style w:type="paragraph" w:customStyle="1" w:styleId="MarginIcons">
    <w:name w:val="Margin Icons"/>
    <w:basedOn w:val="BodyText"/>
    <w:rsid w:val="00F21D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1D65"/>
    <w:rPr>
      <w:rFonts w:ascii="Courier New" w:hAnsi="Courier New"/>
    </w:rPr>
  </w:style>
  <w:style w:type="paragraph" w:customStyle="1" w:styleId="NoteBullet">
    <w:name w:val="Note Bullet"/>
    <w:basedOn w:val="Note"/>
    <w:rsid w:val="00F21D65"/>
    <w:pPr>
      <w:tabs>
        <w:tab w:val="clear" w:pos="680"/>
      </w:tabs>
      <w:spacing w:before="60" w:after="60"/>
    </w:pPr>
  </w:style>
  <w:style w:type="paragraph" w:customStyle="1" w:styleId="SubHeading2">
    <w:name w:val="SubHeading2"/>
    <w:basedOn w:val="HeadingBase"/>
    <w:rsid w:val="00F21D65"/>
    <w:pPr>
      <w:spacing w:before="240" w:after="60"/>
    </w:pPr>
    <w:rPr>
      <w:sz w:val="20"/>
    </w:rPr>
  </w:style>
  <w:style w:type="paragraph" w:customStyle="1" w:styleId="SubHeading1">
    <w:name w:val="SubHeading1"/>
    <w:basedOn w:val="HeadingBase"/>
    <w:rsid w:val="00F21D65"/>
    <w:pPr>
      <w:spacing w:before="240" w:after="60"/>
    </w:pPr>
    <w:rPr>
      <w:color w:val="918585"/>
      <w:sz w:val="22"/>
    </w:rPr>
  </w:style>
  <w:style w:type="paragraph" w:customStyle="1" w:styleId="SideHeading">
    <w:name w:val="Side Heading"/>
    <w:basedOn w:val="HeadingBase"/>
    <w:rsid w:val="00F21D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1D65"/>
    <w:pPr>
      <w:numPr>
        <w:numId w:val="12"/>
      </w:numPr>
    </w:pPr>
  </w:style>
  <w:style w:type="paragraph" w:styleId="PlainText">
    <w:name w:val="Plain Text"/>
    <w:basedOn w:val="Normal"/>
    <w:link w:val="PlainTextChar"/>
    <w:rsid w:val="00F21D65"/>
    <w:rPr>
      <w:sz w:val="20"/>
    </w:rPr>
  </w:style>
  <w:style w:type="character" w:customStyle="1" w:styleId="PlainTextChar">
    <w:name w:val="Plain Text Char"/>
    <w:basedOn w:val="DefaultParagraphFont"/>
    <w:link w:val="PlainText"/>
    <w:rsid w:val="00F21D6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21D65"/>
    <w:rPr>
      <w:b/>
      <w:smallCaps/>
    </w:rPr>
  </w:style>
  <w:style w:type="paragraph" w:customStyle="1" w:styleId="TableListNumber">
    <w:name w:val="Table List Number"/>
    <w:basedOn w:val="ListNumber"/>
    <w:rsid w:val="00F21D65"/>
    <w:pPr>
      <w:numPr>
        <w:numId w:val="0"/>
      </w:numPr>
    </w:pPr>
  </w:style>
  <w:style w:type="paragraph" w:styleId="TOC4">
    <w:name w:val="toc 4"/>
    <w:basedOn w:val="TOCBase"/>
    <w:next w:val="Normal"/>
    <w:semiHidden/>
    <w:rsid w:val="00F21D65"/>
    <w:pPr>
      <w:tabs>
        <w:tab w:val="right" w:leader="dot" w:pos="9071"/>
      </w:tabs>
      <w:ind w:left="1701"/>
    </w:pPr>
  </w:style>
  <w:style w:type="paragraph" w:customStyle="1" w:styleId="ListAlpha">
    <w:name w:val="List Alpha"/>
    <w:basedOn w:val="List"/>
    <w:rsid w:val="00F21D65"/>
    <w:pPr>
      <w:numPr>
        <w:numId w:val="9"/>
      </w:numPr>
    </w:pPr>
  </w:style>
  <w:style w:type="paragraph" w:customStyle="1" w:styleId="ListAlpha2">
    <w:name w:val="List Alpha 2"/>
    <w:basedOn w:val="List2"/>
    <w:rsid w:val="00F21D65"/>
    <w:pPr>
      <w:numPr>
        <w:numId w:val="8"/>
      </w:numPr>
    </w:pPr>
  </w:style>
  <w:style w:type="paragraph" w:styleId="List2">
    <w:name w:val="List 2"/>
    <w:basedOn w:val="BodyText"/>
    <w:rsid w:val="00F21D65"/>
    <w:pPr>
      <w:tabs>
        <w:tab w:val="left" w:pos="680"/>
      </w:tabs>
      <w:spacing w:before="60" w:after="60"/>
      <w:ind w:left="680" w:hanging="340"/>
    </w:pPr>
  </w:style>
  <w:style w:type="paragraph" w:styleId="List3">
    <w:name w:val="List 3"/>
    <w:basedOn w:val="BodyText"/>
    <w:rsid w:val="00F21D65"/>
    <w:pPr>
      <w:tabs>
        <w:tab w:val="left" w:pos="1021"/>
      </w:tabs>
      <w:spacing w:before="60" w:after="60"/>
      <w:ind w:left="1020" w:hanging="340"/>
    </w:pPr>
  </w:style>
  <w:style w:type="paragraph" w:styleId="List4">
    <w:name w:val="List 4"/>
    <w:basedOn w:val="BodyText"/>
    <w:rsid w:val="00F21D65"/>
    <w:pPr>
      <w:tabs>
        <w:tab w:val="left" w:pos="1361"/>
      </w:tabs>
      <w:spacing w:before="60" w:after="60"/>
      <w:ind w:left="1361" w:hanging="340"/>
    </w:pPr>
  </w:style>
  <w:style w:type="paragraph" w:styleId="List5">
    <w:name w:val="List 5"/>
    <w:basedOn w:val="BodyText"/>
    <w:rsid w:val="00F21D65"/>
    <w:pPr>
      <w:tabs>
        <w:tab w:val="left" w:pos="1701"/>
      </w:tabs>
      <w:spacing w:before="60" w:after="60"/>
      <w:ind w:left="1701" w:hanging="340"/>
    </w:pPr>
  </w:style>
  <w:style w:type="paragraph" w:styleId="ListBullet3">
    <w:name w:val="List Bullet 3"/>
    <w:basedOn w:val="List3"/>
    <w:rsid w:val="00F21D65"/>
    <w:pPr>
      <w:numPr>
        <w:numId w:val="15"/>
      </w:numPr>
      <w:tabs>
        <w:tab w:val="clear" w:pos="1021"/>
      </w:tabs>
      <w:ind w:left="1037" w:hanging="357"/>
    </w:pPr>
  </w:style>
  <w:style w:type="paragraph" w:styleId="ListBullet4">
    <w:name w:val="List Bullet 4"/>
    <w:basedOn w:val="List4"/>
    <w:rsid w:val="00F21D65"/>
    <w:pPr>
      <w:numPr>
        <w:numId w:val="3"/>
      </w:numPr>
    </w:pPr>
  </w:style>
  <w:style w:type="paragraph" w:styleId="ListBullet5">
    <w:name w:val="List Bullet 5"/>
    <w:basedOn w:val="List5"/>
    <w:rsid w:val="00F21D65"/>
    <w:pPr>
      <w:numPr>
        <w:numId w:val="4"/>
      </w:numPr>
    </w:pPr>
  </w:style>
  <w:style w:type="paragraph" w:styleId="ListContinue2">
    <w:name w:val="List Continue 2"/>
    <w:basedOn w:val="List2"/>
    <w:rsid w:val="00F21D65"/>
    <w:pPr>
      <w:ind w:firstLine="0"/>
    </w:pPr>
  </w:style>
  <w:style w:type="paragraph" w:styleId="ListContinue3">
    <w:name w:val="List Continue 3"/>
    <w:basedOn w:val="List3"/>
    <w:rsid w:val="00F21D65"/>
    <w:pPr>
      <w:ind w:left="1021" w:firstLine="0"/>
    </w:pPr>
  </w:style>
  <w:style w:type="paragraph" w:styleId="ListContinue4">
    <w:name w:val="List Continue 4"/>
    <w:basedOn w:val="List4"/>
    <w:rsid w:val="00F21D65"/>
    <w:pPr>
      <w:ind w:firstLine="0"/>
    </w:pPr>
  </w:style>
  <w:style w:type="paragraph" w:styleId="ListContinue5">
    <w:name w:val="List Continue 5"/>
    <w:basedOn w:val="List5"/>
    <w:rsid w:val="00F21D65"/>
    <w:pPr>
      <w:ind w:firstLine="0"/>
    </w:pPr>
  </w:style>
  <w:style w:type="paragraph" w:styleId="ListNumber3">
    <w:name w:val="List Number 3"/>
    <w:basedOn w:val="List3"/>
    <w:rsid w:val="00F21D65"/>
    <w:pPr>
      <w:numPr>
        <w:numId w:val="5"/>
      </w:numPr>
    </w:pPr>
  </w:style>
  <w:style w:type="paragraph" w:styleId="ListNumber4">
    <w:name w:val="List Number 4"/>
    <w:basedOn w:val="List4"/>
    <w:rsid w:val="00F21D65"/>
    <w:pPr>
      <w:numPr>
        <w:numId w:val="6"/>
      </w:numPr>
    </w:pPr>
  </w:style>
  <w:style w:type="paragraph" w:styleId="ListNumber5">
    <w:name w:val="List Number 5"/>
    <w:basedOn w:val="List5"/>
    <w:rsid w:val="00F21D65"/>
    <w:pPr>
      <w:numPr>
        <w:numId w:val="7"/>
      </w:numPr>
    </w:pPr>
  </w:style>
  <w:style w:type="paragraph" w:styleId="BlockText">
    <w:name w:val="Block Text"/>
    <w:basedOn w:val="Normal"/>
    <w:rsid w:val="00F21D65"/>
    <w:pPr>
      <w:spacing w:after="120"/>
      <w:ind w:left="1440" w:right="1440"/>
    </w:pPr>
  </w:style>
  <w:style w:type="character" w:customStyle="1" w:styleId="Subscript">
    <w:name w:val="Subscript"/>
    <w:basedOn w:val="DefaultParagraphFont"/>
    <w:rsid w:val="00F21D65"/>
    <w:rPr>
      <w:sz w:val="16"/>
      <w:vertAlign w:val="subscript"/>
    </w:rPr>
  </w:style>
  <w:style w:type="character" w:customStyle="1" w:styleId="Superscript">
    <w:name w:val="Superscript"/>
    <w:basedOn w:val="DefaultParagraphFont"/>
    <w:rsid w:val="00F21D65"/>
    <w:rPr>
      <w:sz w:val="16"/>
      <w:vertAlign w:val="superscript"/>
    </w:rPr>
  </w:style>
  <w:style w:type="character" w:customStyle="1" w:styleId="Symbols">
    <w:name w:val="Symbols"/>
    <w:basedOn w:val="DefaultParagraphFont"/>
    <w:rsid w:val="00F21D65"/>
    <w:rPr>
      <w:rFonts w:ascii="Symbol" w:hAnsi="Symbol"/>
    </w:rPr>
  </w:style>
  <w:style w:type="character" w:customStyle="1" w:styleId="MenuOptions">
    <w:name w:val="Menu Options"/>
    <w:basedOn w:val="DefaultParagraphFont"/>
    <w:rsid w:val="00F21D65"/>
    <w:rPr>
      <w:rFonts w:ascii="Arial Narrow" w:hAnsi="Arial Narrow"/>
      <w:smallCaps/>
    </w:rPr>
  </w:style>
  <w:style w:type="character" w:customStyle="1" w:styleId="Buttons">
    <w:name w:val="Buttons"/>
    <w:basedOn w:val="DefaultParagraphFont"/>
    <w:rsid w:val="00F21D65"/>
    <w:rPr>
      <w:b/>
    </w:rPr>
  </w:style>
  <w:style w:type="character" w:customStyle="1" w:styleId="Underlined">
    <w:name w:val="Underlined"/>
    <w:basedOn w:val="DefaultParagraphFont"/>
    <w:rsid w:val="00F21D65"/>
    <w:rPr>
      <w:u w:val="single"/>
    </w:rPr>
  </w:style>
  <w:style w:type="paragraph" w:customStyle="1" w:styleId="TableBodyTextRight">
    <w:name w:val="Table Body Text Right"/>
    <w:basedOn w:val="TableBodyText"/>
    <w:rsid w:val="00F21D65"/>
    <w:pPr>
      <w:widowControl w:val="0"/>
      <w:autoSpaceDE w:val="0"/>
      <w:autoSpaceDN w:val="0"/>
      <w:adjustRightInd w:val="0"/>
      <w:jc w:val="right"/>
    </w:pPr>
    <w:rPr>
      <w:rFonts w:cs="Arial"/>
      <w:szCs w:val="18"/>
    </w:rPr>
  </w:style>
  <w:style w:type="paragraph" w:customStyle="1" w:styleId="CopyrightText">
    <w:name w:val="Copyright Text"/>
    <w:basedOn w:val="BodyText"/>
    <w:rsid w:val="00F21D65"/>
    <w:rPr>
      <w:sz w:val="18"/>
    </w:rPr>
  </w:style>
  <w:style w:type="paragraph" w:customStyle="1" w:styleId="BodySmallRight">
    <w:name w:val="Body Small Right"/>
    <w:basedOn w:val="BodyTextRight"/>
    <w:rsid w:val="00F21D65"/>
    <w:rPr>
      <w:sz w:val="18"/>
      <w:szCs w:val="18"/>
    </w:rPr>
  </w:style>
  <w:style w:type="paragraph" w:customStyle="1" w:styleId="MarginEdition">
    <w:name w:val="Margin Edition"/>
    <w:basedOn w:val="MarginNote"/>
    <w:rsid w:val="00F21D65"/>
    <w:pPr>
      <w:spacing w:before="0" w:after="0"/>
    </w:pPr>
    <w:rPr>
      <w:rFonts w:ascii="Times New Roman" w:hAnsi="Times New Roman"/>
      <w:color w:val="999999"/>
    </w:rPr>
  </w:style>
  <w:style w:type="paragraph" w:customStyle="1" w:styleId="Spacer">
    <w:name w:val="Spacer"/>
    <w:basedOn w:val="Normal"/>
    <w:rsid w:val="00F21D65"/>
    <w:rPr>
      <w:sz w:val="2"/>
      <w:szCs w:val="2"/>
    </w:rPr>
  </w:style>
  <w:style w:type="character" w:customStyle="1" w:styleId="Small">
    <w:name w:val="Small"/>
    <w:basedOn w:val="DefaultParagraphFont"/>
    <w:rsid w:val="00F21D65"/>
    <w:rPr>
      <w:sz w:val="16"/>
    </w:rPr>
  </w:style>
  <w:style w:type="paragraph" w:customStyle="1" w:styleId="WideTable">
    <w:name w:val="Wide Table"/>
    <w:basedOn w:val="Normal"/>
    <w:rsid w:val="00F21D65"/>
    <w:pPr>
      <w:ind w:left="-1418"/>
    </w:pPr>
    <w:rPr>
      <w:sz w:val="2"/>
      <w:szCs w:val="2"/>
    </w:rPr>
  </w:style>
  <w:style w:type="character" w:styleId="PageNumber">
    <w:name w:val="page number"/>
    <w:basedOn w:val="DefaultParagraphFont"/>
    <w:rsid w:val="00F21D65"/>
  </w:style>
  <w:style w:type="paragraph" w:styleId="Quote">
    <w:name w:val="Quote"/>
    <w:basedOn w:val="Heading1"/>
    <w:link w:val="QuoteChar"/>
    <w:qFormat/>
    <w:rsid w:val="00F21D65"/>
    <w:rPr>
      <w:b w:val="0"/>
      <w:sz w:val="72"/>
      <w:szCs w:val="72"/>
      <w:lang w:val="en-NZ"/>
    </w:rPr>
  </w:style>
  <w:style w:type="character" w:customStyle="1" w:styleId="QuoteChar">
    <w:name w:val="Quote Char"/>
    <w:basedOn w:val="DefaultParagraphFont"/>
    <w:link w:val="Quote"/>
    <w:rsid w:val="00F21D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1D65"/>
    <w:pPr>
      <w:pageBreakBefore/>
    </w:pPr>
  </w:style>
  <w:style w:type="paragraph" w:customStyle="1" w:styleId="Border">
    <w:name w:val="Border"/>
    <w:basedOn w:val="Normal"/>
    <w:qFormat/>
    <w:rsid w:val="00F21D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1D65"/>
    <w:rPr>
      <w:b/>
      <w:bCs/>
      <w:i/>
      <w:iCs/>
      <w:color w:val="auto"/>
    </w:rPr>
  </w:style>
  <w:style w:type="paragraph" w:styleId="IntenseQuote">
    <w:name w:val="Intense Quote"/>
    <w:basedOn w:val="Normal"/>
    <w:next w:val="Normal"/>
    <w:link w:val="IntenseQuoteChar"/>
    <w:uiPriority w:val="30"/>
    <w:qFormat/>
    <w:rsid w:val="00F21D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1D6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21D65"/>
    <w:rPr>
      <w:smallCaps/>
      <w:color w:val="auto"/>
      <w:u w:val="single"/>
    </w:rPr>
  </w:style>
  <w:style w:type="character" w:styleId="IntenseReference">
    <w:name w:val="Intense Reference"/>
    <w:basedOn w:val="DefaultParagraphFont"/>
    <w:uiPriority w:val="32"/>
    <w:qFormat/>
    <w:rsid w:val="00F21D65"/>
    <w:rPr>
      <w:b/>
      <w:bCs/>
      <w:smallCaps/>
      <w:color w:val="auto"/>
      <w:spacing w:val="5"/>
      <w:u w:val="single"/>
    </w:rPr>
  </w:style>
  <w:style w:type="paragraph" w:customStyle="1" w:styleId="2ColumnHeading">
    <w:name w:val="2Column Heading"/>
    <w:basedOn w:val="BodyText"/>
    <w:qFormat/>
    <w:rsid w:val="00F21D65"/>
    <w:pPr>
      <w:spacing w:after="60"/>
      <w:ind w:left="-2268"/>
    </w:pPr>
    <w:rPr>
      <w:b/>
    </w:rPr>
  </w:style>
  <w:style w:type="paragraph" w:customStyle="1" w:styleId="Heading1TOC">
    <w:name w:val="Heading1 TOC"/>
    <w:basedOn w:val="Normal"/>
    <w:qFormat/>
    <w:rsid w:val="00F21D65"/>
    <w:pPr>
      <w:spacing w:before="240" w:after="120"/>
    </w:pPr>
    <w:rPr>
      <w:rFonts w:ascii="Times New Roman" w:hAnsi="Times New Roman"/>
      <w:b/>
      <w:sz w:val="32"/>
    </w:rPr>
  </w:style>
  <w:style w:type="paragraph" w:customStyle="1" w:styleId="Heading2TOC">
    <w:name w:val="Heading2 TOC"/>
    <w:basedOn w:val="Normal"/>
    <w:qFormat/>
    <w:rsid w:val="00F21D65"/>
    <w:pPr>
      <w:spacing w:before="240" w:after="60"/>
    </w:pPr>
    <w:rPr>
      <w:rFonts w:ascii="Times New Roman" w:hAnsi="Times New Roman"/>
      <w:b/>
      <w:sz w:val="28"/>
    </w:rPr>
  </w:style>
  <w:style w:type="character" w:customStyle="1" w:styleId="Underline">
    <w:name w:val="Underline"/>
    <w:basedOn w:val="DefaultParagraphFont"/>
    <w:qFormat/>
    <w:rsid w:val="00F21D65"/>
    <w:rPr>
      <w:u w:val="single"/>
    </w:rPr>
  </w:style>
  <w:style w:type="paragraph" w:styleId="BalloonText">
    <w:name w:val="Balloon Text"/>
    <w:basedOn w:val="Normal"/>
    <w:link w:val="BalloonTextChar"/>
    <w:rsid w:val="00F21D65"/>
    <w:rPr>
      <w:rFonts w:ascii="Tahoma" w:hAnsi="Tahoma" w:cs="Tahoma"/>
      <w:sz w:val="16"/>
      <w:szCs w:val="16"/>
    </w:rPr>
  </w:style>
  <w:style w:type="character" w:customStyle="1" w:styleId="BalloonTextChar">
    <w:name w:val="Balloon Text Char"/>
    <w:basedOn w:val="DefaultParagraphFont"/>
    <w:link w:val="BalloonText"/>
    <w:rsid w:val="00F21D6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1D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1D6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1522</Words>
  <Characters>10051</Characters>
  <Application>Microsoft Office Word</Application>
  <DocSecurity>0</DocSecurity>
  <Lines>354</Lines>
  <Paragraphs>222</Paragraphs>
  <ScaleCrop>false</ScaleCrop>
  <Company>Author-it Software Corporation Ltd.</Company>
  <LinksUpToDate>false</LinksUpToDate>
  <CharactersWithSpaces>11507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CPPSEC3031A Organise and operate a surveillance vehicle</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2012-05-26T06:22:00Z</dcterms:created>
  <dcterms:modified xsi:type="dcterms:W3CDTF">2012-05-26T06:22:00Z</dcterms:modified>
</cp:coreProperties>
</file>