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73FD" w:rsidP="00B073FD">
      <w:pPr>
        <w:pStyle w:val="Title"/>
      </w:pPr>
      <w:r>
        <w:fldChar w:fldCharType="begin"/>
      </w:r>
      <w:r>
        <w:instrText xml:space="preserve"> TITLE   \* MERGEFORMAT </w:instrText>
      </w:r>
      <w:r>
        <w:fldChar w:fldCharType="separate"/>
      </w:r>
      <w:r>
        <w:t>CPPSEC3019A Operate specialised security equipment</w:t>
      </w:r>
      <w:r>
        <w:fldChar w:fldCharType="end"/>
      </w:r>
    </w:p>
    <w:p w:rsidR="00B073FD" w:rsidP="00B073FD">
      <w:pPr>
        <w:pStyle w:val="Version"/>
        <w:sectPr w:rsidSect="00F713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1330" w:rsidP="00F71330">
      <w:pPr>
        <w:pStyle w:val="SuperHeading"/>
      </w:pPr>
      <w:r w:rsidRPr="00F71330">
        <w:t>CPPSEC3019A Operate specialised security equipment</w:t>
      </w:r>
    </w:p>
    <w:p w:rsidR="00000000" w:rsidRPr="00F71330" w:rsidP="00F71330">
      <w:pPr>
        <w:pStyle w:val="Heading1"/>
      </w:pPr>
      <w:bookmarkStart w:id="1" w:name="O_270217"/>
      <w:bookmarkEnd w:id="1"/>
      <w:r w:rsidRPr="00F71330">
        <w:t>Modification History</w:t>
      </w:r>
    </w:p>
    <w:p w:rsidR="00000000" w:rsidRPr="00F71330" w:rsidP="00F71330">
      <w:pPr>
        <w:pStyle w:val="BodyText"/>
      </w:pPr>
      <w:r w:rsidRPr="00F71330">
        <w:t>Not Applicable</w:t>
      </w:r>
    </w:p>
    <w:p w:rsidR="00000000" w:rsidRPr="00F71330" w:rsidP="00F71330">
      <w:pPr>
        <w:pStyle w:val="AllowPageBreak"/>
      </w:pPr>
    </w:p>
    <w:p w:rsidR="00000000" w:rsidRPr="00F71330" w:rsidP="00F71330">
      <w:pPr>
        <w:pStyle w:val="Heading1"/>
      </w:pPr>
      <w:bookmarkStart w:id="2" w:name="O_201880"/>
      <w:bookmarkEnd w:id="2"/>
      <w:r w:rsidRPr="00F71330">
        <w:t>Unit Descriptor</w:t>
      </w:r>
    </w:p>
    <w:tbl>
      <w:tblPr>
        <w:tblW w:w="0" w:type="auto"/>
        <w:tblLayout w:type="fixed"/>
        <w:tblCellMar>
          <w:left w:w="62" w:type="dxa"/>
          <w:right w:w="62" w:type="dxa"/>
        </w:tblCellMar>
        <w:tblLook w:val="0000"/>
      </w:tblPr>
      <w:tblGrid>
        <w:gridCol w:w="2391"/>
        <w:gridCol w:w="6131"/>
      </w:tblGrid>
      <w:tr w:rsidTr="00B073FD">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F71330">
            <w:pPr>
              <w:pStyle w:val="BodyText"/>
              <w:rPr>
                <w:lang w:val="en-NZ"/>
              </w:rPr>
            </w:pPr>
            <w:r w:rsidRPr="00F71330">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F71330" w:rsidP="00F71330">
            <w:pPr>
              <w:pStyle w:val="BodyText"/>
            </w:pPr>
            <w:r w:rsidRPr="00F71330">
              <w:t xml:space="preserve">This unit of competency specifies the outcomes required to operate a range of specialised equipment </w:t>
            </w:r>
            <w:r w:rsidRPr="00F71330">
              <w:t>in a security context.  It requires the ability to employ safe work practices to prepare and use specialised security equipment to carry out designated tasks.  Competency also requires an ability to monitor operational effectiveness, diagnose faults and ma</w:t>
            </w:r>
            <w:r w:rsidRPr="00F71330">
              <w:t xml:space="preserve">lfunctions, and maintain accurate records.  </w:t>
            </w:r>
          </w:p>
          <w:p w:rsidR="00000000" w:rsidRPr="00F71330" w:rsidP="00F71330">
            <w:pPr>
              <w:pStyle w:val="BodyText"/>
            </w:pPr>
            <w:r w:rsidRPr="00F71330">
              <w:t>This unit may form part of the licensing requirements for persons who operate specialised security equipment in those states and territories where these are regulated activities</w:t>
            </w:r>
          </w:p>
        </w:tc>
      </w:tr>
    </w:tbl>
    <w:p w:rsidR="00B073FD" w:rsidP="00F71330">
      <w:pPr>
        <w:pStyle w:val="BodyText"/>
      </w:pPr>
    </w:p>
    <w:p w:rsidR="00B073FD" w:rsidP="00F71330">
      <w:pPr>
        <w:pStyle w:val="BodyText"/>
      </w:pPr>
    </w:p>
    <w:p w:rsidR="00000000" w:rsidRPr="00F71330" w:rsidP="00F71330">
      <w:pPr>
        <w:pStyle w:val="Heading1"/>
      </w:pPr>
      <w:bookmarkStart w:id="3" w:name="O_201882"/>
      <w:bookmarkEnd w:id="3"/>
      <w:r w:rsidRPr="00F71330">
        <w:t>Application of the Unit</w:t>
      </w:r>
    </w:p>
    <w:tbl>
      <w:tblPr>
        <w:tblW w:w="0" w:type="auto"/>
        <w:tblLayout w:type="fixed"/>
        <w:tblCellMar>
          <w:left w:w="62" w:type="dxa"/>
          <w:right w:w="62" w:type="dxa"/>
        </w:tblCellMar>
        <w:tblLook w:val="0000"/>
      </w:tblPr>
      <w:tblGrid>
        <w:gridCol w:w="2391"/>
        <w:gridCol w:w="6131"/>
      </w:tblGrid>
      <w:tr w:rsidTr="00B073FD">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F71330">
            <w:pPr>
              <w:pStyle w:val="BodyText"/>
              <w:rPr>
                <w:lang w:val="en-NZ"/>
              </w:rPr>
            </w:pPr>
            <w:r w:rsidRPr="00F71330">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F71330" w:rsidP="00F71330">
            <w:pPr>
              <w:pStyle w:val="BodyText"/>
            </w:pPr>
            <w:r w:rsidRPr="00F71330">
              <w:t xml:space="preserve">This unit of competency has wide application in the security industry in those roles which involve the use of specialised security equipment. Competency requires legal and operational knowledge applicable to </w:t>
            </w:r>
            <w:r w:rsidRPr="00F71330">
              <w:t>relevant sectors of the security industry. The knowledge and skills described in this unit are to be applied within relevant legislative and organisational guidelines.</w:t>
            </w:r>
          </w:p>
        </w:tc>
      </w:tr>
    </w:tbl>
    <w:p w:rsidR="00B073FD" w:rsidP="00F71330">
      <w:pPr>
        <w:pStyle w:val="BodyText"/>
      </w:pPr>
    </w:p>
    <w:p w:rsidR="00B073FD" w:rsidP="00F71330">
      <w:pPr>
        <w:pStyle w:val="BodyText"/>
      </w:pPr>
    </w:p>
    <w:p w:rsidR="00000000" w:rsidRPr="00F71330" w:rsidP="00F71330">
      <w:pPr>
        <w:pStyle w:val="Heading1"/>
      </w:pPr>
      <w:bookmarkStart w:id="4" w:name="O_278477"/>
      <w:bookmarkEnd w:id="4"/>
      <w:r w:rsidRPr="00F71330">
        <w:t>Licensing/Regulatory Information</w:t>
      </w:r>
    </w:p>
    <w:p w:rsidR="00000000" w:rsidRPr="00F71330" w:rsidP="00F71330">
      <w:pPr>
        <w:pStyle w:val="BodyText"/>
      </w:pPr>
      <w:r w:rsidRPr="00F71330">
        <w:t>Refer to Unit Descriptor</w:t>
      </w:r>
    </w:p>
    <w:p w:rsidR="00000000" w:rsidRPr="00F71330" w:rsidP="00F71330">
      <w:pPr>
        <w:pStyle w:val="AllowPageBreak"/>
      </w:pPr>
    </w:p>
    <w:p w:rsidR="00000000" w:rsidRPr="00F71330" w:rsidP="00F71330">
      <w:pPr>
        <w:pStyle w:val="Heading1"/>
      </w:pPr>
      <w:bookmarkStart w:id="5" w:name="O_283598"/>
      <w:bookmarkEnd w:id="5"/>
      <w:r w:rsidRPr="00F71330">
        <w:t>Pre-Requisites</w:t>
      </w:r>
    </w:p>
    <w:p w:rsidR="00000000" w:rsidRPr="00F71330" w:rsidP="00F71330">
      <w:pPr>
        <w:pStyle w:val="BodyText"/>
      </w:pPr>
      <w:r w:rsidRPr="00F71330">
        <w:t>Not Applicable</w:t>
      </w:r>
    </w:p>
    <w:p w:rsidR="00000000" w:rsidRPr="00F71330" w:rsidP="00F71330">
      <w:pPr>
        <w:pStyle w:val="AllowPageBreak"/>
      </w:pPr>
    </w:p>
    <w:p w:rsidR="00000000" w:rsidRPr="00F71330" w:rsidP="00F71330">
      <w:pPr>
        <w:pStyle w:val="Heading1"/>
      </w:pPr>
      <w:bookmarkStart w:id="6" w:name="O_201881"/>
      <w:bookmarkEnd w:id="6"/>
      <w:r w:rsidRPr="00F71330">
        <w:t>Employability Skills Information</w:t>
      </w:r>
    </w:p>
    <w:tbl>
      <w:tblPr>
        <w:tblW w:w="0" w:type="auto"/>
        <w:tblLayout w:type="fixed"/>
        <w:tblCellMar>
          <w:left w:w="62" w:type="dxa"/>
          <w:right w:w="62" w:type="dxa"/>
        </w:tblCellMar>
        <w:tblLook w:val="0000"/>
      </w:tblPr>
      <w:tblGrid>
        <w:gridCol w:w="2624"/>
        <w:gridCol w:w="5898"/>
      </w:tblGrid>
      <w:tr w:rsidTr="00B073FD">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F71330">
            <w:pPr>
              <w:pStyle w:val="BodyText"/>
              <w:rPr>
                <w:lang w:val="en-NZ"/>
              </w:rPr>
            </w:pPr>
            <w:r w:rsidRPr="00F71330">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F71330" w:rsidP="00F71330">
            <w:pPr>
              <w:pStyle w:val="BodyText"/>
            </w:pPr>
            <w:r w:rsidRPr="00F71330">
              <w:t>This unit contains employability skills.</w:t>
            </w:r>
          </w:p>
        </w:tc>
      </w:tr>
    </w:tbl>
    <w:p w:rsidR="00B073FD" w:rsidP="00F71330">
      <w:pPr>
        <w:pStyle w:val="BodyText"/>
      </w:pPr>
    </w:p>
    <w:p w:rsidR="00B073FD" w:rsidP="00F71330">
      <w:pPr>
        <w:pStyle w:val="BodyText"/>
      </w:pPr>
    </w:p>
    <w:p w:rsidR="00000000" w:rsidRPr="00F71330" w:rsidP="00F71330">
      <w:pPr>
        <w:pStyle w:val="Heading1"/>
      </w:pPr>
      <w:bookmarkStart w:id="7" w:name="O_288263"/>
      <w:bookmarkEnd w:id="7"/>
      <w:r w:rsidRPr="00F71330">
        <w:t>Elements and Performance Criteria Pre-Content</w:t>
      </w:r>
    </w:p>
    <w:tbl>
      <w:tblPr>
        <w:tblW w:w="0" w:type="auto"/>
        <w:tblLayout w:type="fixed"/>
        <w:tblCellMar>
          <w:left w:w="62" w:type="dxa"/>
          <w:right w:w="62" w:type="dxa"/>
        </w:tblCellMar>
        <w:tblLook w:val="0000"/>
      </w:tblPr>
      <w:tblGrid>
        <w:gridCol w:w="2412"/>
        <w:gridCol w:w="6110"/>
      </w:tblGrid>
      <w:tr w:rsidTr="00B073F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71330">
            <w:pPr>
              <w:pStyle w:val="BodyText"/>
              <w:rPr>
                <w:lang w:val="en-NZ"/>
              </w:rPr>
            </w:pPr>
            <w:r w:rsidRPr="00F71330">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F71330" w:rsidP="00F71330">
            <w:pPr>
              <w:pStyle w:val="BodyText"/>
            </w:pPr>
            <w:r w:rsidRPr="00F71330">
              <w:t xml:space="preserve">Performance criteria describe the required performance needed to demonstrate achievement of the element. Where </w:t>
            </w:r>
            <w:r w:rsidRPr="00F71330">
              <w:rPr>
                <w:rStyle w:val="BoldandItalics"/>
              </w:rPr>
              <w:t>bold italicised</w:t>
            </w:r>
            <w:r w:rsidRPr="00F71330">
              <w:t xml:space="preserve"> text is used, further information is detailed in the required s</w:t>
            </w:r>
            <w:r w:rsidRPr="00F71330">
              <w:t>kills and knowledge section and/or the range statement. Assessment of performance is to be consistent with the evidence guide.</w:t>
            </w:r>
          </w:p>
        </w:tc>
      </w:tr>
    </w:tbl>
    <w:p w:rsidR="00000000" w:rsidRPr="00F71330" w:rsidP="00F71330">
      <w:pPr>
        <w:pStyle w:val="BodyText"/>
      </w:pPr>
    </w:p>
    <w:p w:rsidR="00000000" w:rsidRPr="00F71330" w:rsidP="00F71330">
      <w:pPr>
        <w:pStyle w:val="AllowPageBreak"/>
      </w:pPr>
    </w:p>
    <w:p w:rsidR="00000000" w:rsidRPr="00F71330" w:rsidP="00F71330">
      <w:pPr>
        <w:pStyle w:val="Heading1"/>
      </w:pPr>
      <w:bookmarkStart w:id="8" w:name="O_234930"/>
      <w:bookmarkEnd w:id="8"/>
      <w:r w:rsidRPr="00F71330">
        <w:t>Elements and Performance Criteria</w:t>
      </w:r>
    </w:p>
    <w:tbl>
      <w:tblPr>
        <w:tblW w:w="0" w:type="auto"/>
        <w:tblLayout w:type="fixed"/>
        <w:tblCellMar>
          <w:left w:w="62" w:type="dxa"/>
          <w:right w:w="62" w:type="dxa"/>
        </w:tblCellMar>
        <w:tblLook w:val="0000"/>
      </w:tblPr>
      <w:tblGrid>
        <w:gridCol w:w="2412"/>
        <w:gridCol w:w="6110"/>
      </w:tblGrid>
      <w:tr w:rsidTr="00B073FD">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F71330" w:rsidP="00F71330">
            <w:pPr>
              <w:pStyle w:val="List"/>
            </w:pPr>
            <w:r w:rsidRPr="00F71330">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F71330">
            <w:pPr>
              <w:pStyle w:val="List"/>
              <w:rPr>
                <w:lang w:val="en-NZ"/>
              </w:rPr>
            </w:pPr>
            <w:r w:rsidRPr="00F71330">
              <w:rPr>
                <w:rStyle w:val="SpecialBold"/>
              </w:rPr>
              <w:t>PERFORMANCE CRITERIA</w:t>
            </w:r>
          </w:p>
        </w:tc>
      </w:tr>
      <w:tr w:rsidTr="00B073F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71330">
            <w:pPr>
              <w:pStyle w:val="List"/>
              <w:rPr>
                <w:lang w:val="en-NZ"/>
              </w:rPr>
            </w:pPr>
            <w:r w:rsidRPr="00F71330">
              <w:rPr>
                <w:rStyle w:val="SpecialBold"/>
              </w:rPr>
              <w:t>1</w:t>
            </w:r>
            <w:r w:rsidRPr="00F71330">
              <w:tab/>
            </w:r>
            <w:r w:rsidRPr="00F71330">
              <w:rPr>
                <w:rStyle w:val="SpecialBold"/>
              </w:rPr>
              <w:t>Select and prepare specialised equipment for use</w:t>
            </w:r>
            <w:r w:rsidRPr="00F71330">
              <w:t>.</w:t>
            </w:r>
          </w:p>
        </w:tc>
        <w:tc>
          <w:tcPr>
            <w:tcW w:w="6110" w:type="dxa"/>
            <w:tcBorders>
              <w:top w:val="nil"/>
              <w:left w:val="nil"/>
              <w:bottom w:val="nil"/>
              <w:right w:val="nil"/>
            </w:tcBorders>
            <w:tcMar>
              <w:top w:w="0" w:type="dxa"/>
              <w:left w:w="62" w:type="dxa"/>
              <w:bottom w:w="0" w:type="dxa"/>
              <w:right w:w="62" w:type="dxa"/>
            </w:tcMar>
          </w:tcPr>
          <w:p w:rsidR="00000000" w:rsidRPr="00F71330" w:rsidP="00F71330">
            <w:pPr>
              <w:pStyle w:val="List"/>
            </w:pPr>
            <w:r w:rsidRPr="00F71330">
              <w:t>1.1</w:t>
            </w:r>
            <w:r w:rsidRPr="00F71330">
              <w:tab/>
              <w:t xml:space="preserve">Applicable provisions of </w:t>
            </w:r>
            <w:r w:rsidRPr="00F71330">
              <w:rPr>
                <w:rStyle w:val="BoldandItalics"/>
              </w:rPr>
              <w:t>legislative</w:t>
            </w:r>
            <w:r w:rsidRPr="00F71330">
              <w:t xml:space="preserve"> and </w:t>
            </w:r>
            <w:r w:rsidRPr="00F71330">
              <w:rPr>
                <w:rStyle w:val="BoldandItalics"/>
              </w:rPr>
              <w:t>organisational requirements</w:t>
            </w:r>
            <w:r w:rsidRPr="00F71330">
              <w:t xml:space="preserve"> relevant to operating </w:t>
            </w:r>
            <w:r w:rsidRPr="00F71330">
              <w:rPr>
                <w:rStyle w:val="BoldandItalics"/>
              </w:rPr>
              <w:t>specialised security equipment</w:t>
            </w:r>
            <w:r w:rsidRPr="00F71330">
              <w:t xml:space="preserve"> are identified and complied with.</w:t>
            </w:r>
          </w:p>
          <w:p w:rsidR="00000000" w:rsidRPr="00F71330" w:rsidP="00F71330">
            <w:pPr>
              <w:pStyle w:val="List"/>
            </w:pPr>
            <w:r w:rsidRPr="00F71330">
              <w:t>1.2</w:t>
            </w:r>
            <w:r w:rsidRPr="00F71330">
              <w:tab/>
              <w:t>Specialised security equipment required to</w:t>
            </w:r>
            <w:r w:rsidRPr="00F71330">
              <w:t xml:space="preserve"> complete work tasks is selected in accordance with </w:t>
            </w:r>
            <w:r w:rsidRPr="00F71330">
              <w:rPr>
                <w:rStyle w:val="BoldandItalics"/>
              </w:rPr>
              <w:t>assignment instructions</w:t>
            </w:r>
            <w:r w:rsidRPr="00F71330">
              <w:t>.</w:t>
            </w:r>
          </w:p>
          <w:p w:rsidR="00000000" w:rsidRPr="00F71330" w:rsidP="00F71330">
            <w:pPr>
              <w:pStyle w:val="List"/>
            </w:pPr>
            <w:r w:rsidRPr="00F71330">
              <w:t>1.3</w:t>
            </w:r>
            <w:r w:rsidRPr="00F71330">
              <w:tab/>
            </w:r>
            <w:r w:rsidRPr="00F71330">
              <w:rPr>
                <w:rStyle w:val="BoldandItalics"/>
              </w:rPr>
              <w:t>Routine pre</w:t>
            </w:r>
            <w:r w:rsidRPr="00F71330">
              <w:t>-</w:t>
            </w:r>
            <w:r w:rsidRPr="00F71330">
              <w:rPr>
                <w:rStyle w:val="BoldandItalics"/>
              </w:rPr>
              <w:t>operational checks</w:t>
            </w:r>
            <w:r w:rsidRPr="00F71330">
              <w:t xml:space="preserve"> are carried out in accordance with manufacturer's instructions.</w:t>
            </w:r>
          </w:p>
          <w:p w:rsidR="00000000" w:rsidRPr="00F71330" w:rsidP="00F71330">
            <w:pPr>
              <w:pStyle w:val="List"/>
            </w:pPr>
            <w:r w:rsidRPr="00F71330">
              <w:t>1.4</w:t>
            </w:r>
            <w:r w:rsidRPr="00F71330">
              <w:tab/>
              <w:t>Faulty or damaged equipment is identified and reported in accordance with or</w:t>
            </w:r>
            <w:r w:rsidRPr="00F71330">
              <w:t xml:space="preserve">ganisational procedures. </w:t>
            </w:r>
          </w:p>
          <w:p w:rsidR="00000000" w:rsidP="00F71330">
            <w:pPr>
              <w:pStyle w:val="List"/>
              <w:rPr>
                <w:lang w:val="en-NZ"/>
              </w:rPr>
            </w:pPr>
            <w:r w:rsidRPr="00F71330">
              <w:t>1.5</w:t>
            </w:r>
            <w:r w:rsidRPr="00F71330">
              <w:tab/>
              <w:t>Appropriate licensing and certification requirements are identified and complied with prior to and during the operation of specialised security equipment.</w:t>
            </w:r>
          </w:p>
        </w:tc>
      </w:tr>
      <w:tr w:rsidTr="00B073F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71330">
            <w:pPr>
              <w:pStyle w:val="List"/>
              <w:rPr>
                <w:lang w:val="en-NZ"/>
              </w:rPr>
            </w:pPr>
            <w:r w:rsidRPr="00F71330">
              <w:rPr>
                <w:rStyle w:val="SpecialBold"/>
              </w:rPr>
              <w:t>2</w:t>
            </w:r>
            <w:r w:rsidRPr="00F71330">
              <w:tab/>
            </w:r>
            <w:r w:rsidRPr="00F71330">
              <w:rPr>
                <w:rStyle w:val="SpecialBold"/>
              </w:rPr>
              <w:t>Operate specialised equipment</w:t>
            </w:r>
            <w:r w:rsidRPr="00F71330">
              <w:t>.</w:t>
            </w:r>
          </w:p>
        </w:tc>
        <w:tc>
          <w:tcPr>
            <w:tcW w:w="6110" w:type="dxa"/>
            <w:tcBorders>
              <w:top w:val="nil"/>
              <w:left w:val="nil"/>
              <w:bottom w:val="nil"/>
              <w:right w:val="nil"/>
            </w:tcBorders>
            <w:tcMar>
              <w:top w:w="0" w:type="dxa"/>
              <w:left w:w="62" w:type="dxa"/>
              <w:bottom w:w="0" w:type="dxa"/>
              <w:right w:w="62" w:type="dxa"/>
            </w:tcMar>
          </w:tcPr>
          <w:p w:rsidR="00000000" w:rsidRPr="00F71330" w:rsidP="00F71330">
            <w:pPr>
              <w:pStyle w:val="List"/>
            </w:pPr>
            <w:r w:rsidRPr="00F71330">
              <w:t>2.1</w:t>
            </w:r>
            <w:r w:rsidRPr="00F71330">
              <w:tab/>
              <w:t xml:space="preserve">Potential and existing risks and </w:t>
            </w:r>
            <w:r w:rsidRPr="00F71330">
              <w:t>hazards in the workplace are identified and controlled in accordance with Occupational Health and Safety (OHS) guidelines.</w:t>
            </w:r>
          </w:p>
          <w:p w:rsidR="00000000" w:rsidRPr="00F71330" w:rsidP="00F71330">
            <w:pPr>
              <w:pStyle w:val="List"/>
            </w:pPr>
            <w:r w:rsidRPr="00F71330">
              <w:t>2.2</w:t>
            </w:r>
            <w:r w:rsidRPr="00F71330">
              <w:tab/>
              <w:t xml:space="preserve">Suitable </w:t>
            </w:r>
            <w:r w:rsidRPr="00F71330">
              <w:rPr>
                <w:rStyle w:val="BoldandItalics"/>
              </w:rPr>
              <w:t>personal protection equipment</w:t>
            </w:r>
            <w:r w:rsidRPr="00F71330">
              <w:t xml:space="preserve"> is selected, used and maintained in accordance with OHS guidelines. </w:t>
            </w:r>
          </w:p>
          <w:p w:rsidR="00000000" w:rsidRPr="00F71330" w:rsidP="00F71330">
            <w:pPr>
              <w:pStyle w:val="List"/>
            </w:pPr>
            <w:r w:rsidRPr="00F71330">
              <w:t>2.3</w:t>
            </w:r>
            <w:r w:rsidRPr="00F71330">
              <w:tab/>
              <w:t>Specialised secur</w:t>
            </w:r>
            <w:r w:rsidRPr="00F71330">
              <w:t>ity equipment is operated in a safe and controlled manner in accordance with manufacturer's instructions.</w:t>
            </w:r>
          </w:p>
          <w:p w:rsidR="00000000" w:rsidP="00F71330">
            <w:pPr>
              <w:pStyle w:val="List"/>
              <w:rPr>
                <w:lang w:val="en-NZ"/>
              </w:rPr>
            </w:pPr>
            <w:r w:rsidRPr="00F71330">
              <w:t>2.4</w:t>
            </w:r>
            <w:r w:rsidRPr="00F71330">
              <w:tab/>
              <w:t>Specialised security equipment is operated for its specified purpose in accordance with assignment instructions.</w:t>
            </w:r>
          </w:p>
        </w:tc>
      </w:tr>
      <w:tr w:rsidTr="00B073F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71330">
            <w:pPr>
              <w:pStyle w:val="List"/>
              <w:rPr>
                <w:lang w:val="en-NZ"/>
              </w:rPr>
            </w:pPr>
            <w:r w:rsidRPr="00F71330">
              <w:rPr>
                <w:rStyle w:val="SpecialBold"/>
              </w:rPr>
              <w:t>3</w:t>
            </w:r>
            <w:r w:rsidRPr="00F71330">
              <w:tab/>
            </w:r>
            <w:r w:rsidRPr="00F71330">
              <w:rPr>
                <w:rStyle w:val="SpecialBold"/>
              </w:rPr>
              <w:t>Maintain specialised equipment</w:t>
            </w:r>
            <w:r w:rsidRPr="00F71330">
              <w:rPr>
                <w:rStyle w:val="SpecialBold"/>
              </w:rPr>
              <w:t xml:space="preserve"> and resources</w:t>
            </w:r>
            <w:r w:rsidRPr="00F71330">
              <w:t>.</w:t>
            </w:r>
          </w:p>
        </w:tc>
        <w:tc>
          <w:tcPr>
            <w:tcW w:w="6110" w:type="dxa"/>
            <w:tcBorders>
              <w:top w:val="nil"/>
              <w:left w:val="nil"/>
              <w:bottom w:val="nil"/>
              <w:right w:val="nil"/>
            </w:tcBorders>
            <w:tcMar>
              <w:top w:w="0" w:type="dxa"/>
              <w:left w:w="62" w:type="dxa"/>
              <w:bottom w:w="0" w:type="dxa"/>
              <w:right w:w="62" w:type="dxa"/>
            </w:tcMar>
          </w:tcPr>
          <w:p w:rsidR="00000000" w:rsidRPr="00F71330" w:rsidP="00F71330">
            <w:pPr>
              <w:pStyle w:val="List"/>
            </w:pPr>
            <w:r w:rsidRPr="00F71330">
              <w:t>3.1</w:t>
            </w:r>
            <w:r w:rsidRPr="00F71330">
              <w:tab/>
              <w:t>Cleaning and maintenance of specialised security equipment is carried out in accordance with manufacturer's instructions.</w:t>
            </w:r>
          </w:p>
          <w:p w:rsidR="00000000" w:rsidRPr="00F71330" w:rsidP="00F71330">
            <w:pPr>
              <w:pStyle w:val="List"/>
            </w:pPr>
            <w:r w:rsidRPr="00F71330">
              <w:t>3.2</w:t>
            </w:r>
            <w:r w:rsidRPr="00F71330">
              <w:tab/>
              <w:t>Complex faults or repair requirements outside area of responsibility or competence are reported for specialist</w:t>
            </w:r>
            <w:r w:rsidRPr="00F71330">
              <w:t xml:space="preserve"> advice in accordance with organisational procedures.</w:t>
            </w:r>
          </w:p>
          <w:p w:rsidR="00000000" w:rsidRPr="00F71330" w:rsidP="00F71330">
            <w:pPr>
              <w:pStyle w:val="List"/>
            </w:pPr>
            <w:r w:rsidRPr="00F71330">
              <w:t>3.3</w:t>
            </w:r>
            <w:r w:rsidRPr="00F71330">
              <w:tab/>
              <w:t>Specialised security equipment is stored in accordance with manufacturer's instructions and organisational procedures.</w:t>
            </w:r>
          </w:p>
          <w:p w:rsidR="00000000" w:rsidRPr="00F71330" w:rsidP="00F71330">
            <w:pPr>
              <w:pStyle w:val="List"/>
            </w:pPr>
            <w:r w:rsidRPr="00F71330">
              <w:t>3.4</w:t>
            </w:r>
            <w:r w:rsidRPr="00F71330">
              <w:tab/>
              <w:t xml:space="preserve">Relevant </w:t>
            </w:r>
            <w:r w:rsidRPr="00F71330">
              <w:rPr>
                <w:rStyle w:val="BoldandItalics"/>
              </w:rPr>
              <w:t>documentation</w:t>
            </w:r>
            <w:r w:rsidRPr="00F71330">
              <w:t xml:space="preserve"> is completed and securely maintained in accordance with organisational procedures. </w:t>
            </w:r>
          </w:p>
        </w:tc>
      </w:tr>
    </w:tbl>
    <w:p w:rsidR="00B073FD" w:rsidP="00F71330">
      <w:pPr>
        <w:pStyle w:val="BodyText"/>
      </w:pPr>
    </w:p>
    <w:p w:rsidR="00B073FD" w:rsidP="00F71330">
      <w:pPr>
        <w:pStyle w:val="BodyText"/>
      </w:pPr>
    </w:p>
    <w:p w:rsidR="00000000" w:rsidRPr="00F71330" w:rsidP="00F71330">
      <w:pPr>
        <w:pStyle w:val="Heading1"/>
      </w:pPr>
      <w:bookmarkStart w:id="9" w:name="O_258880"/>
      <w:bookmarkEnd w:id="9"/>
      <w:r w:rsidRPr="00F71330">
        <w:t>Required Skills and Knowledge</w:t>
      </w:r>
    </w:p>
    <w:tbl>
      <w:tblPr>
        <w:tblW w:w="0" w:type="auto"/>
        <w:tblLayout w:type="fixed"/>
        <w:tblCellMar>
          <w:left w:w="62" w:type="dxa"/>
          <w:right w:w="62" w:type="dxa"/>
        </w:tblCellMar>
        <w:tblLook w:val="0000"/>
      </w:tblPr>
      <w:tblGrid>
        <w:gridCol w:w="8522"/>
      </w:tblGrid>
      <w:tr w:rsidTr="00B073F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71330">
            <w:pPr>
              <w:pStyle w:val="BodyText"/>
              <w:rPr>
                <w:lang w:val="en-NZ"/>
              </w:rPr>
            </w:pPr>
            <w:r w:rsidRPr="00F71330">
              <w:rPr>
                <w:rStyle w:val="SpecialBold"/>
              </w:rPr>
              <w:t>REQUIRED SKILLS AND KNOWLEDGE</w:t>
            </w:r>
          </w:p>
        </w:tc>
      </w:tr>
      <w:tr w:rsidTr="00B073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1330">
            <w:pPr>
              <w:pStyle w:val="BodyText"/>
              <w:rPr>
                <w:lang w:val="en-NZ"/>
              </w:rPr>
            </w:pPr>
            <w:r w:rsidRPr="00F71330">
              <w:t>This section describes the skills and knowledge and their level required for this unit.</w:t>
            </w:r>
          </w:p>
        </w:tc>
      </w:tr>
      <w:tr w:rsidTr="00B073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1330">
            <w:pPr>
              <w:pStyle w:val="BodyText"/>
              <w:rPr>
                <w:lang w:val="en-NZ"/>
              </w:rPr>
            </w:pPr>
            <w:r w:rsidRPr="00F71330">
              <w:rPr>
                <w:rStyle w:val="SpecialBold"/>
              </w:rPr>
              <w:t>Required skills</w:t>
            </w:r>
          </w:p>
        </w:tc>
      </w:tr>
      <w:tr w:rsidTr="00B073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71330" w:rsidP="00F71330">
            <w:pPr>
              <w:pStyle w:val="ListBullet"/>
            </w:pPr>
            <w:r w:rsidRPr="00F71330">
              <w:t xml:space="preserve">apply safe workplace practices and procedures </w:t>
            </w:r>
          </w:p>
          <w:p w:rsidR="00000000" w:rsidRPr="00F71330" w:rsidP="00F71330">
            <w:pPr>
              <w:pStyle w:val="ListBullet"/>
            </w:pPr>
            <w:r w:rsidRPr="00F71330">
              <w:t xml:space="preserve">carry out routine maintenance </w:t>
            </w:r>
          </w:p>
          <w:p w:rsidR="00000000" w:rsidRPr="00F71330" w:rsidP="00F71330">
            <w:pPr>
              <w:pStyle w:val="ListBullet"/>
            </w:pPr>
            <w:r w:rsidRPr="00F71330">
              <w:t>clean and maintain a safe workplace environment</w:t>
            </w:r>
          </w:p>
          <w:p w:rsidR="00000000" w:rsidRPr="00F71330" w:rsidP="00F71330">
            <w:pPr>
              <w:pStyle w:val="ListBullet"/>
            </w:pPr>
            <w:r w:rsidRPr="00F71330">
              <w:t>communicate effectively with people from different social, cultural and ethnic backgrounds and of varying physic</w:t>
            </w:r>
            <w:r w:rsidRPr="00F71330">
              <w:t xml:space="preserve">al and mental abilities </w:t>
            </w:r>
          </w:p>
          <w:p w:rsidR="00000000" w:rsidRPr="00F71330" w:rsidP="00F71330">
            <w:pPr>
              <w:pStyle w:val="ListBullet"/>
            </w:pPr>
            <w:r w:rsidRPr="00F71330">
              <w:t>complete documentation and maintain records</w:t>
            </w:r>
          </w:p>
          <w:p w:rsidR="00000000" w:rsidRPr="00F71330" w:rsidP="00F71330">
            <w:pPr>
              <w:pStyle w:val="ListBullet"/>
            </w:pPr>
            <w:r w:rsidRPr="00F71330">
              <w:t>conduct pre-operational checks</w:t>
            </w:r>
          </w:p>
          <w:p w:rsidR="00000000" w:rsidRPr="00F71330" w:rsidP="00F71330">
            <w:pPr>
              <w:pStyle w:val="ListBullet"/>
            </w:pPr>
            <w:r w:rsidRPr="00F71330">
              <w:t>identify and control workplace hazards and risks</w:t>
            </w:r>
          </w:p>
          <w:p w:rsidR="00000000" w:rsidRPr="00F71330" w:rsidP="00F71330">
            <w:pPr>
              <w:pStyle w:val="ListBullet"/>
            </w:pPr>
            <w:r w:rsidRPr="00F71330">
              <w:t>identify faults and determine appropriate repair or replacement action</w:t>
            </w:r>
          </w:p>
          <w:p w:rsidR="00000000" w:rsidRPr="00F71330" w:rsidP="00F71330">
            <w:pPr>
              <w:pStyle w:val="ListBullet"/>
            </w:pPr>
            <w:r w:rsidRPr="00F71330">
              <w:t>observe ergonomic and conservation r</w:t>
            </w:r>
            <w:r w:rsidRPr="00F71330">
              <w:t>equirements relevant to the operation of equipment</w:t>
            </w:r>
          </w:p>
          <w:p w:rsidR="00000000" w:rsidRPr="00F71330" w:rsidP="00F71330">
            <w:pPr>
              <w:pStyle w:val="ListBullet"/>
            </w:pPr>
            <w:r w:rsidRPr="00F71330">
              <w:t>obtain relevant licensing or certification</w:t>
            </w:r>
          </w:p>
          <w:p w:rsidR="00000000" w:rsidRPr="00F71330" w:rsidP="00F71330">
            <w:pPr>
              <w:pStyle w:val="ListBullet"/>
            </w:pPr>
            <w:r w:rsidRPr="00F71330">
              <w:t>operate a range of communication and business equipment</w:t>
            </w:r>
          </w:p>
          <w:p w:rsidR="00000000" w:rsidRPr="00F71330" w:rsidP="00F71330">
            <w:pPr>
              <w:pStyle w:val="ListBullet"/>
            </w:pPr>
            <w:r w:rsidRPr="00F71330">
              <w:t>operate a range of specialised equipment</w:t>
            </w:r>
          </w:p>
          <w:p w:rsidR="00000000" w:rsidRPr="00F71330" w:rsidP="00F71330">
            <w:pPr>
              <w:pStyle w:val="ListBullet"/>
            </w:pPr>
            <w:r w:rsidRPr="00F71330">
              <w:t>prepare documentation and maintain records</w:t>
            </w:r>
          </w:p>
          <w:p w:rsidR="00000000" w:rsidP="00F71330">
            <w:pPr>
              <w:pStyle w:val="ListBullet"/>
              <w:rPr>
                <w:lang w:val="en-NZ"/>
              </w:rPr>
            </w:pPr>
            <w:r w:rsidRPr="00F71330">
              <w:t>read, interpret and analyse technical information.</w:t>
            </w:r>
          </w:p>
        </w:tc>
      </w:tr>
      <w:tr w:rsidTr="00B073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1330">
            <w:pPr>
              <w:pStyle w:val="BodyText"/>
              <w:rPr>
                <w:lang w:val="en-NZ"/>
              </w:rPr>
            </w:pPr>
            <w:r w:rsidRPr="00F71330">
              <w:rPr>
                <w:rStyle w:val="SpecialBold"/>
              </w:rPr>
              <w:t>Required knowledge</w:t>
            </w:r>
          </w:p>
        </w:tc>
      </w:tr>
      <w:tr w:rsidTr="00B073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71330" w:rsidP="00F71330">
            <w:pPr>
              <w:pStyle w:val="ListBullet"/>
            </w:pPr>
            <w:r w:rsidRPr="00F71330">
              <w:t xml:space="preserve">common and complex specialised equipment faults </w:t>
            </w:r>
          </w:p>
          <w:p w:rsidR="00000000" w:rsidRPr="00F71330" w:rsidP="00F71330">
            <w:pPr>
              <w:pStyle w:val="ListBullet"/>
            </w:pPr>
            <w:r w:rsidRPr="00F71330">
              <w:t>emergency procedures</w:t>
            </w:r>
          </w:p>
          <w:p w:rsidR="00000000" w:rsidRPr="00F71330" w:rsidP="00F71330">
            <w:pPr>
              <w:pStyle w:val="ListBullet"/>
            </w:pPr>
            <w:r w:rsidRPr="00F71330">
              <w:t>environmental and waste disposal procedures</w:t>
            </w:r>
          </w:p>
          <w:p w:rsidR="00000000" w:rsidRPr="00F71330" w:rsidP="00F71330">
            <w:pPr>
              <w:pStyle w:val="ListBullet"/>
            </w:pPr>
            <w:r w:rsidRPr="00F71330">
              <w:t>features and functions of a range of business and communication equip</w:t>
            </w:r>
            <w:r w:rsidRPr="00F71330">
              <w:t>ment</w:t>
            </w:r>
          </w:p>
          <w:p w:rsidR="00000000" w:rsidRPr="00F71330" w:rsidP="00F71330">
            <w:pPr>
              <w:pStyle w:val="ListBullet"/>
            </w:pPr>
            <w:r w:rsidRPr="00F71330">
              <w:t>licensing requirements for the operation of equipment</w:t>
            </w:r>
          </w:p>
          <w:p w:rsidR="00000000" w:rsidRPr="00F71330" w:rsidP="00F71330">
            <w:pPr>
              <w:pStyle w:val="ListBullet"/>
            </w:pPr>
            <w:r w:rsidRPr="00F71330">
              <w:t>maintenance procedures</w:t>
            </w:r>
          </w:p>
          <w:p w:rsidR="00000000" w:rsidRPr="00F71330" w:rsidP="00F71330">
            <w:pPr>
              <w:pStyle w:val="ListBullet"/>
            </w:pPr>
            <w:r w:rsidRPr="00F71330">
              <w:t xml:space="preserve">operational principles, functions and limitations of a range of specialised equipment </w:t>
            </w:r>
          </w:p>
          <w:p w:rsidR="00000000" w:rsidRPr="00F71330" w:rsidP="00F71330">
            <w:pPr>
              <w:pStyle w:val="ListBullet"/>
            </w:pPr>
            <w:r w:rsidRPr="00F71330">
              <w:t>pre-operational checking functions and procedures</w:t>
            </w:r>
          </w:p>
          <w:p w:rsidR="00000000" w:rsidRPr="00F71330" w:rsidP="00F71330">
            <w:pPr>
              <w:pStyle w:val="ListBullet"/>
            </w:pPr>
            <w:r w:rsidRPr="00F71330">
              <w:t>procedures to access manufacturer's s</w:t>
            </w:r>
            <w:r w:rsidRPr="00F71330">
              <w:t>pecifications and other information relevant to the operation of specialised security equipment</w:t>
            </w:r>
          </w:p>
          <w:p w:rsidR="00000000" w:rsidRPr="00F71330" w:rsidP="00F71330">
            <w:pPr>
              <w:pStyle w:val="ListBullet"/>
            </w:pPr>
            <w:r w:rsidRPr="00F71330">
              <w:t xml:space="preserve">reporting and documentation requirements and processes </w:t>
            </w:r>
          </w:p>
          <w:p w:rsidR="00000000" w:rsidRPr="00F71330" w:rsidP="00F71330">
            <w:pPr>
              <w:pStyle w:val="ListBullet"/>
            </w:pPr>
            <w:r w:rsidRPr="00F71330">
              <w:t>requirements for the securing and storage of specialised equipment and materials</w:t>
            </w:r>
          </w:p>
          <w:p w:rsidR="00000000" w:rsidRPr="00F71330" w:rsidP="00F71330">
            <w:pPr>
              <w:pStyle w:val="ListBullet"/>
            </w:pPr>
            <w:r w:rsidRPr="00F71330">
              <w:t>routine maintenance procedures and repair techniques</w:t>
            </w:r>
          </w:p>
          <w:p w:rsidR="00000000" w:rsidRPr="00F71330" w:rsidP="00F71330">
            <w:pPr>
              <w:pStyle w:val="ListBullet"/>
            </w:pPr>
            <w:r w:rsidRPr="00F71330">
              <w:t>safe workplace procedures relevant to the operation of basic security equipment</w:t>
            </w:r>
          </w:p>
          <w:p w:rsidR="00000000" w:rsidRPr="00F71330" w:rsidP="00F71330">
            <w:pPr>
              <w:pStyle w:val="ListBullet"/>
            </w:pPr>
            <w:r w:rsidRPr="00F71330">
              <w:t>workplace procedures for obtaining and storing tools, equipment and materials.</w:t>
            </w:r>
          </w:p>
        </w:tc>
      </w:tr>
    </w:tbl>
    <w:p w:rsidR="00B073FD" w:rsidP="00F71330">
      <w:pPr>
        <w:pStyle w:val="BodyText"/>
      </w:pPr>
    </w:p>
    <w:p w:rsidR="00B073FD" w:rsidP="00F71330">
      <w:pPr>
        <w:pStyle w:val="BodyText"/>
      </w:pPr>
    </w:p>
    <w:p w:rsidR="00000000" w:rsidRPr="00F71330" w:rsidP="00F71330">
      <w:pPr>
        <w:pStyle w:val="Heading1"/>
      </w:pPr>
      <w:bookmarkStart w:id="10" w:name="O_242914"/>
      <w:bookmarkEnd w:id="10"/>
      <w:r w:rsidRPr="00F71330">
        <w:t>Evidence Guide</w:t>
      </w:r>
    </w:p>
    <w:tbl>
      <w:tblPr>
        <w:tblW w:w="9287" w:type="dxa"/>
        <w:tblLayout w:type="fixed"/>
        <w:tblCellMar>
          <w:left w:w="62" w:type="dxa"/>
          <w:right w:w="62" w:type="dxa"/>
        </w:tblCellMar>
        <w:tblLook w:val="0000"/>
      </w:tblPr>
      <w:tblGrid>
        <w:gridCol w:w="2621"/>
        <w:gridCol w:w="6659"/>
        <w:gridCol w:w="7"/>
      </w:tblGrid>
      <w:tr w:rsidTr="00B073FD">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71330">
            <w:pPr>
              <w:pStyle w:val="BodyText"/>
              <w:rPr>
                <w:lang w:val="en-NZ"/>
              </w:rPr>
            </w:pPr>
            <w:r w:rsidRPr="00F71330">
              <w:rPr>
                <w:rStyle w:val="SpecialBold"/>
              </w:rPr>
              <w:t>EVIDENCE GUIDE</w:t>
            </w:r>
          </w:p>
        </w:tc>
      </w:tr>
      <w:tr w:rsidTr="00B073FD">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71330">
            <w:pPr>
              <w:pStyle w:val="BodyText"/>
              <w:rPr>
                <w:lang w:val="en-NZ"/>
              </w:rPr>
            </w:pPr>
            <w:r w:rsidRPr="00F71330">
              <w:t>The evidence guide provides advice on assessment and must be read in conjunction with the performance criteria, required skills and knowledge, range statement and the Assessment Guidelines for the Training Package.</w:t>
            </w:r>
          </w:p>
        </w:tc>
      </w:tr>
      <w:tr w:rsidTr="00B073F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71330">
            <w:pPr>
              <w:pStyle w:val="BodyText"/>
              <w:rPr>
                <w:lang w:val="en-NZ"/>
              </w:rPr>
            </w:pPr>
            <w:r w:rsidRPr="00F71330">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F71330" w:rsidP="00F71330">
            <w:pPr>
              <w:pStyle w:val="BodyText"/>
            </w:pPr>
            <w:r w:rsidRPr="00F71330">
              <w:t>A person who demonstrates competency in this unit must be able to provide evidence of:</w:t>
            </w:r>
          </w:p>
          <w:p w:rsidR="00000000" w:rsidRPr="00F71330" w:rsidP="00F71330">
            <w:pPr>
              <w:pStyle w:val="ListBullet"/>
            </w:pPr>
            <w:r w:rsidRPr="00F71330">
              <w:t>complying with applicable licensing, certification and legislative requirem</w:t>
            </w:r>
            <w:r w:rsidRPr="00F71330">
              <w:t>ents prior and during the operation of specialised security equipment</w:t>
            </w:r>
          </w:p>
          <w:p w:rsidR="00000000" w:rsidRPr="00F71330" w:rsidP="00F71330">
            <w:pPr>
              <w:pStyle w:val="ListBullet"/>
            </w:pPr>
            <w:r w:rsidRPr="00F71330">
              <w:t>correctly cleaning, maintaining and storing specialised equipment and maintaining clear and safe operating areas</w:t>
            </w:r>
          </w:p>
          <w:p w:rsidR="00000000" w:rsidRPr="00F71330" w:rsidP="00F71330">
            <w:pPr>
              <w:pStyle w:val="ListBullet"/>
            </w:pPr>
            <w:r w:rsidRPr="00F71330">
              <w:t xml:space="preserve">preparing workplace documentation in a suitable style and format </w:t>
            </w:r>
          </w:p>
          <w:p w:rsidR="00000000" w:rsidRPr="00F71330" w:rsidP="00F71330">
            <w:pPr>
              <w:pStyle w:val="ListBullet"/>
            </w:pPr>
            <w:r w:rsidRPr="00F71330">
              <w:t>selecti</w:t>
            </w:r>
            <w:r w:rsidRPr="00F71330">
              <w:t>ng and operating specialised security equipment appropriate to assignment requirements</w:t>
            </w:r>
          </w:p>
          <w:p w:rsidR="00000000" w:rsidP="00F71330">
            <w:pPr>
              <w:pStyle w:val="ListBullet"/>
              <w:rPr>
                <w:lang w:val="en-NZ"/>
              </w:rPr>
            </w:pPr>
            <w:r w:rsidRPr="00F71330">
              <w:t>undertaking correct pre-operational checks and routine maintenance tasks and accurately identifying faulty, malfunctioning or damaged equipment.</w:t>
            </w:r>
          </w:p>
        </w:tc>
      </w:tr>
      <w:tr w:rsidTr="00B073F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71330">
            <w:pPr>
              <w:pStyle w:val="BodyText"/>
              <w:rPr>
                <w:lang w:val="en-NZ"/>
              </w:rPr>
            </w:pPr>
            <w:r w:rsidRPr="00F71330">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F71330" w:rsidP="00F71330">
            <w:pPr>
              <w:pStyle w:val="BodyText"/>
            </w:pPr>
            <w:r w:rsidRPr="00F71330">
              <w:t>Context of assessment includes:</w:t>
            </w:r>
          </w:p>
          <w:p w:rsidR="00000000" w:rsidRPr="00F71330" w:rsidP="00F71330">
            <w:pPr>
              <w:pStyle w:val="ListBullet"/>
            </w:pPr>
            <w:r w:rsidRPr="00F71330">
              <w:t>a setting in the workplace or environment that simulates the conditions of performance described in the elements, performance criteria and range statement.</w:t>
            </w:r>
          </w:p>
          <w:p w:rsidR="00000000" w:rsidRPr="00F71330" w:rsidP="00F71330">
            <w:pPr>
              <w:pStyle w:val="BodyText"/>
            </w:pPr>
            <w:r w:rsidRPr="00F71330">
              <w:t>Resource implicati</w:t>
            </w:r>
            <w:r w:rsidRPr="00F71330">
              <w:t>ons for assessment include:</w:t>
            </w:r>
          </w:p>
          <w:p w:rsidR="00000000" w:rsidRPr="00F71330" w:rsidP="00F71330">
            <w:pPr>
              <w:pStyle w:val="ListBullet"/>
            </w:pPr>
            <w:r w:rsidRPr="00F71330">
              <w:t>access to plain English version of relevant statutes and procedures</w:t>
            </w:r>
          </w:p>
          <w:p w:rsidR="00000000" w:rsidRPr="00F71330" w:rsidP="00F71330">
            <w:pPr>
              <w:pStyle w:val="ListBullet"/>
            </w:pPr>
            <w:r w:rsidRPr="00F71330">
              <w:t>access to a registered provider of assessment services</w:t>
            </w:r>
          </w:p>
          <w:p w:rsidR="00000000" w:rsidRPr="00F71330" w:rsidP="00F71330">
            <w:pPr>
              <w:pStyle w:val="ListBullet"/>
            </w:pPr>
            <w:r w:rsidRPr="00F71330">
              <w:t>access to a suitable venue and equipment</w:t>
            </w:r>
          </w:p>
          <w:p w:rsidR="00000000" w:rsidRPr="00F71330" w:rsidP="00F71330">
            <w:pPr>
              <w:pStyle w:val="ListBullet"/>
            </w:pPr>
            <w:r w:rsidRPr="00F71330">
              <w:t>assessment instruments including personal planner and assessmen</w:t>
            </w:r>
            <w:r w:rsidRPr="00F71330">
              <w:t>t record book</w:t>
            </w:r>
          </w:p>
          <w:p w:rsidR="00000000" w:rsidRPr="00F71330" w:rsidP="00F71330">
            <w:pPr>
              <w:pStyle w:val="ListBullet"/>
            </w:pPr>
            <w:r w:rsidRPr="00F71330">
              <w:t>work schedules, organisational policies and duty statements.</w:t>
            </w:r>
          </w:p>
          <w:p w:rsidR="00000000" w:rsidP="00F71330">
            <w:pPr>
              <w:pStyle w:val="BodyText"/>
              <w:rPr>
                <w:lang w:val="en-NZ"/>
              </w:rPr>
            </w:pPr>
            <w:r w:rsidRPr="00F71330">
              <w:t>Reasonable adjustments must be made to assessment processes where required for people with disabilities. This could include access to modified equipment and other physical resources</w:t>
            </w:r>
            <w:r w:rsidRPr="00F71330">
              <w:t>, and the provision of appropriate assessment support.</w:t>
            </w:r>
          </w:p>
        </w:tc>
      </w:tr>
      <w:tr w:rsidTr="00B073F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71330">
            <w:pPr>
              <w:pStyle w:val="BodyText"/>
              <w:rPr>
                <w:lang w:val="en-NZ"/>
              </w:rPr>
            </w:pPr>
            <w:r w:rsidRPr="00F71330">
              <w:rPr>
                <w:rStyle w:val="SpecialBold"/>
              </w:rPr>
              <w:t>Method of assessment</w:t>
            </w:r>
            <w:r w:rsidRPr="00F71330">
              <w:t xml:space="preserve"> </w:t>
            </w:r>
          </w:p>
        </w:tc>
        <w:tc>
          <w:tcPr>
            <w:tcW w:w="6659" w:type="dxa"/>
            <w:tcBorders>
              <w:top w:val="nil"/>
              <w:left w:val="nil"/>
              <w:bottom w:val="nil"/>
              <w:right w:val="nil"/>
            </w:tcBorders>
            <w:tcMar>
              <w:top w:w="0" w:type="dxa"/>
              <w:left w:w="62" w:type="dxa"/>
              <w:bottom w:w="0" w:type="dxa"/>
              <w:right w:w="62" w:type="dxa"/>
            </w:tcMar>
          </w:tcPr>
          <w:p w:rsidR="00000000" w:rsidRPr="00F71330" w:rsidP="00F71330">
            <w:pPr>
              <w:pStyle w:val="BodyText"/>
            </w:pPr>
            <w:r w:rsidRPr="00F71330">
              <w:t>This unit of competency could be assessed using the following methods of assessment:</w:t>
            </w:r>
          </w:p>
          <w:p w:rsidR="00000000" w:rsidRPr="00F71330" w:rsidP="00F71330">
            <w:pPr>
              <w:pStyle w:val="ListBullet"/>
            </w:pPr>
            <w:r w:rsidRPr="00F71330">
              <w:t>observation of processes and procedures</w:t>
            </w:r>
          </w:p>
          <w:p w:rsidR="00000000" w:rsidP="00F71330">
            <w:pPr>
              <w:pStyle w:val="ListBullet"/>
              <w:rPr>
                <w:lang w:val="en-NZ"/>
              </w:rPr>
            </w:pPr>
            <w:r w:rsidRPr="00F71330">
              <w:t>questioning of underpinning knowledge and skills.</w:t>
            </w:r>
          </w:p>
        </w:tc>
      </w:tr>
      <w:tr w:rsidTr="00B073F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71330">
            <w:pPr>
              <w:pStyle w:val="BodyText"/>
              <w:rPr>
                <w:lang w:val="en-NZ"/>
              </w:rPr>
            </w:pPr>
            <w:r w:rsidRPr="00F71330">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F71330" w:rsidP="00F71330">
            <w:pPr>
              <w:pStyle w:val="BodyText"/>
            </w:pPr>
            <w:r w:rsidRPr="00F71330">
              <w:t xml:space="preserve">Assessment processes and techniques must be culturally appropriate and suitable to the language, literacy and numeracy capacity of the candidate and the competency being assessed. In all cases where practical assessment </w:t>
            </w:r>
            <w:r w:rsidRPr="00F71330">
              <w:t>is used, it should be combined with targeted questioning to assess the underpinning knowledge.</w:t>
            </w:r>
          </w:p>
          <w:p w:rsidR="00000000" w:rsidRPr="00F71330" w:rsidP="00F71330">
            <w:pPr>
              <w:pStyle w:val="BodyText"/>
            </w:pPr>
            <w:r w:rsidRPr="00F71330">
              <w:t>Oral questioning or written assessment may be used to assess underpinning knowledge. In assessment situations where the candidate is offered a choice between ora</w:t>
            </w:r>
            <w:r w:rsidRPr="00F71330">
              <w:t>l questioning and written assessment, questions are to be identical.</w:t>
            </w:r>
          </w:p>
          <w:p w:rsidR="00000000" w:rsidRPr="00F71330" w:rsidP="00F71330">
            <w:pPr>
              <w:pStyle w:val="BodyText"/>
            </w:pPr>
            <w:r w:rsidRPr="00F71330">
              <w:t>Supplementary evidence may be obtained from relevant authenticated correspondence from existing supervisors, team leaders or specialist training staff.</w:t>
            </w:r>
          </w:p>
        </w:tc>
      </w:tr>
    </w:tbl>
    <w:p w:rsidR="00B073FD" w:rsidP="00F71330">
      <w:pPr>
        <w:pStyle w:val="BodyText"/>
      </w:pPr>
    </w:p>
    <w:p w:rsidR="00B073FD" w:rsidP="00F71330">
      <w:pPr>
        <w:pStyle w:val="BodyText"/>
      </w:pPr>
    </w:p>
    <w:p w:rsidR="00000000" w:rsidRPr="00F71330" w:rsidP="00F71330">
      <w:pPr>
        <w:pStyle w:val="Heading1"/>
      </w:pPr>
      <w:bookmarkStart w:id="11" w:name="O_250897"/>
      <w:bookmarkEnd w:id="11"/>
      <w:r w:rsidRPr="00F71330">
        <w:t>Range Statem</w:t>
      </w:r>
      <w:r w:rsidRPr="00F71330">
        <w:t>ent</w:t>
      </w:r>
    </w:p>
    <w:tbl>
      <w:tblPr>
        <w:tblW w:w="0" w:type="auto"/>
        <w:tblLayout w:type="fixed"/>
        <w:tblCellMar>
          <w:left w:w="62" w:type="dxa"/>
          <w:right w:w="62" w:type="dxa"/>
        </w:tblCellMar>
        <w:tblLook w:val="0000"/>
      </w:tblPr>
      <w:tblGrid>
        <w:gridCol w:w="2412"/>
        <w:gridCol w:w="6110"/>
      </w:tblGrid>
      <w:tr w:rsidTr="00B073F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71330">
            <w:pPr>
              <w:pStyle w:val="BodyText"/>
              <w:rPr>
                <w:lang w:val="en-NZ"/>
              </w:rPr>
            </w:pPr>
            <w:r w:rsidRPr="00F71330">
              <w:rPr>
                <w:rStyle w:val="SpecialBold"/>
              </w:rPr>
              <w:t>RANGE STATEMENT</w:t>
            </w:r>
          </w:p>
        </w:tc>
      </w:tr>
      <w:tr w:rsidTr="00B073F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71330">
            <w:pPr>
              <w:pStyle w:val="BodyText"/>
              <w:rPr>
                <w:lang w:val="en-NZ"/>
              </w:rPr>
            </w:pPr>
            <w:r w:rsidRPr="00F71330">
              <w:t xml:space="preserve">The range statement relates to the unit of competency as a whole. It allows for different work environments and situations that may affect </w:t>
            </w:r>
            <w:r w:rsidRPr="00F71330">
              <w:t>performance. Bold italicised wording, if used in the performance criteria, is detailed below. Essential operating conditions that may be present with training and assessment (depending on the work situation, needs of the candidate, accessibility of the ite</w:t>
            </w:r>
            <w:r w:rsidRPr="00F71330">
              <w:t>m, and local industry and regional contexts) may also be included.</w:t>
            </w:r>
          </w:p>
        </w:tc>
      </w:tr>
      <w:tr w:rsidTr="00B073F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71330">
            <w:pPr>
              <w:pStyle w:val="BodyText"/>
              <w:rPr>
                <w:lang w:val="en-NZ"/>
              </w:rPr>
            </w:pPr>
            <w:r w:rsidRPr="00F71330">
              <w:rPr>
                <w:rStyle w:val="BoldandItalics"/>
              </w:rPr>
              <w:t>Legislative requirements may relate to</w:t>
            </w:r>
            <w:r w:rsidRPr="00F71330">
              <w:t xml:space="preserve">: </w:t>
            </w:r>
          </w:p>
        </w:tc>
        <w:tc>
          <w:tcPr>
            <w:tcW w:w="6110" w:type="dxa"/>
            <w:tcBorders>
              <w:top w:val="nil"/>
              <w:left w:val="nil"/>
              <w:bottom w:val="nil"/>
              <w:right w:val="nil"/>
            </w:tcBorders>
            <w:tcMar>
              <w:top w:w="0" w:type="dxa"/>
              <w:left w:w="62" w:type="dxa"/>
              <w:bottom w:w="0" w:type="dxa"/>
              <w:right w:w="62" w:type="dxa"/>
            </w:tcMar>
          </w:tcPr>
          <w:p w:rsidR="00000000" w:rsidRPr="00F71330" w:rsidP="00F71330">
            <w:pPr>
              <w:pStyle w:val="ListBullet"/>
            </w:pPr>
            <w:r w:rsidRPr="00F71330">
              <w:t xml:space="preserve">apprehension and powers of arrest </w:t>
            </w:r>
          </w:p>
          <w:p w:rsidR="00000000" w:rsidRPr="00F71330" w:rsidP="00F71330">
            <w:pPr>
              <w:pStyle w:val="ListBullet"/>
            </w:pPr>
            <w:r w:rsidRPr="00F71330">
              <w:t>Australian standards and quality assurance requirements</w:t>
            </w:r>
          </w:p>
          <w:p w:rsidR="00000000" w:rsidRPr="00F71330" w:rsidP="00F71330">
            <w:pPr>
              <w:pStyle w:val="ListBullet"/>
            </w:pPr>
            <w:r w:rsidRPr="00F71330">
              <w:t>counter-terrorism</w:t>
            </w:r>
          </w:p>
          <w:p w:rsidR="00000000" w:rsidRPr="00F71330" w:rsidP="00F71330">
            <w:pPr>
              <w:pStyle w:val="ListBullet"/>
            </w:pPr>
            <w:r w:rsidRPr="00F71330">
              <w:t>crowd control and control of persons</w:t>
            </w:r>
            <w:r w:rsidRPr="00F71330">
              <w:t xml:space="preserve"> under the influence of intoxicating substances</w:t>
            </w:r>
          </w:p>
          <w:p w:rsidR="00000000" w:rsidRPr="00F71330" w:rsidP="00F71330">
            <w:pPr>
              <w:pStyle w:val="ListBullet"/>
            </w:pPr>
            <w:r w:rsidRPr="00F71330">
              <w:t>force continuum, use of force guidelines</w:t>
            </w:r>
          </w:p>
          <w:p w:rsidR="00000000" w:rsidRPr="00F71330" w:rsidP="00F71330">
            <w:pPr>
              <w:pStyle w:val="ListBullet"/>
            </w:pPr>
            <w:r w:rsidRPr="00F71330">
              <w:t>general 'duty of care' responsibilities</w:t>
            </w:r>
          </w:p>
          <w:p w:rsidR="00000000" w:rsidRPr="00F71330" w:rsidP="00F71330">
            <w:pPr>
              <w:pStyle w:val="ListBullet"/>
            </w:pPr>
            <w:r w:rsidRPr="00F71330">
              <w:t>inspection of people and property, and search and seizure of goods</w:t>
            </w:r>
          </w:p>
          <w:p w:rsidR="00000000" w:rsidRPr="00F71330" w:rsidP="00F71330">
            <w:pPr>
              <w:pStyle w:val="ListBullet"/>
            </w:pPr>
            <w:r w:rsidRPr="00F71330">
              <w:t>licensing or certification requirements</w:t>
            </w:r>
          </w:p>
          <w:p w:rsidR="00000000" w:rsidRPr="00F71330" w:rsidP="00F71330">
            <w:pPr>
              <w:pStyle w:val="ListBullet"/>
            </w:pPr>
            <w:r w:rsidRPr="00F71330">
              <w:t>privacy and confidentiality</w:t>
            </w:r>
          </w:p>
          <w:p w:rsidR="00000000" w:rsidRPr="00F71330" w:rsidP="00F71330">
            <w:pPr>
              <w:pStyle w:val="ListBullet"/>
            </w:pPr>
            <w:r w:rsidRPr="00F71330">
              <w:t>relevant commonwealth, state and territory legislation, codes and national standards for:</w:t>
            </w:r>
          </w:p>
          <w:p w:rsidR="00000000" w:rsidRPr="00F71330" w:rsidP="00F71330">
            <w:pPr>
              <w:pStyle w:val="ListBullet2"/>
            </w:pPr>
            <w:r w:rsidRPr="00F71330">
              <w:t>anti-discrimination</w:t>
            </w:r>
          </w:p>
          <w:p w:rsidR="00000000" w:rsidRPr="00F71330" w:rsidP="00F71330">
            <w:pPr>
              <w:pStyle w:val="ListBullet2"/>
            </w:pPr>
            <w:r w:rsidRPr="00F71330">
              <w:t>cultural and ethnic diversity</w:t>
            </w:r>
          </w:p>
          <w:p w:rsidR="00000000" w:rsidRPr="00F71330" w:rsidP="00F71330">
            <w:pPr>
              <w:pStyle w:val="ListBullet2"/>
            </w:pPr>
            <w:r w:rsidRPr="00F71330">
              <w:t>environmental issues</w:t>
            </w:r>
          </w:p>
          <w:p w:rsidR="00000000" w:rsidRPr="00F71330" w:rsidP="00F71330">
            <w:pPr>
              <w:pStyle w:val="ListBullet2"/>
            </w:pPr>
            <w:r w:rsidRPr="00F71330">
              <w:t>equal employment opportunity</w:t>
            </w:r>
          </w:p>
          <w:p w:rsidR="00000000" w:rsidRPr="00F71330" w:rsidP="00F71330">
            <w:pPr>
              <w:pStyle w:val="ListBullet2"/>
            </w:pPr>
            <w:r w:rsidRPr="00F71330">
              <w:t>industrial relations</w:t>
            </w:r>
          </w:p>
          <w:p w:rsidR="00000000" w:rsidRPr="00F71330" w:rsidP="00F71330">
            <w:pPr>
              <w:pStyle w:val="ListBullet2"/>
            </w:pPr>
            <w:r w:rsidRPr="00F71330">
              <w:t>OHS</w:t>
            </w:r>
          </w:p>
          <w:p w:rsidR="00000000" w:rsidRPr="00F71330" w:rsidP="00F71330">
            <w:pPr>
              <w:pStyle w:val="ListBullet"/>
            </w:pPr>
            <w:r w:rsidRPr="00F71330">
              <w:t>relevant in</w:t>
            </w:r>
            <w:r w:rsidRPr="00F71330">
              <w:t xml:space="preserve">dustry codes of practice </w:t>
            </w:r>
          </w:p>
          <w:p w:rsidR="00000000" w:rsidP="00F71330">
            <w:pPr>
              <w:pStyle w:val="ListBullet"/>
              <w:rPr>
                <w:lang w:val="en-NZ"/>
              </w:rPr>
            </w:pPr>
            <w:r w:rsidRPr="00F71330">
              <w:t>trespass and the removal of persons.</w:t>
            </w:r>
          </w:p>
        </w:tc>
      </w:tr>
      <w:tr w:rsidTr="00B073F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71330">
            <w:pPr>
              <w:pStyle w:val="BodyText"/>
              <w:rPr>
                <w:lang w:val="en-NZ"/>
              </w:rPr>
            </w:pPr>
            <w:r w:rsidRPr="00F71330">
              <w:rPr>
                <w:rStyle w:val="BoldandItalics"/>
              </w:rPr>
              <w:t>Organisational requirements may relate to</w:t>
            </w:r>
            <w:r w:rsidRPr="00F71330">
              <w:t>:</w:t>
            </w:r>
          </w:p>
        </w:tc>
        <w:tc>
          <w:tcPr>
            <w:tcW w:w="6110" w:type="dxa"/>
            <w:tcBorders>
              <w:top w:val="nil"/>
              <w:left w:val="nil"/>
              <w:bottom w:val="nil"/>
              <w:right w:val="nil"/>
            </w:tcBorders>
            <w:tcMar>
              <w:top w:w="0" w:type="dxa"/>
              <w:left w:w="62" w:type="dxa"/>
              <w:bottom w:w="0" w:type="dxa"/>
              <w:right w:w="62" w:type="dxa"/>
            </w:tcMar>
          </w:tcPr>
          <w:p w:rsidR="00000000" w:rsidRPr="00F71330" w:rsidP="00F71330">
            <w:pPr>
              <w:pStyle w:val="ListBullet"/>
            </w:pPr>
            <w:r w:rsidRPr="00F71330">
              <w:t>access and equity policies, principles and practices</w:t>
            </w:r>
          </w:p>
          <w:p w:rsidR="00000000" w:rsidRPr="00F71330" w:rsidP="00F71330">
            <w:pPr>
              <w:pStyle w:val="ListBullet"/>
            </w:pPr>
            <w:r w:rsidRPr="00F71330">
              <w:t>business and performance plans</w:t>
            </w:r>
          </w:p>
          <w:p w:rsidR="00000000" w:rsidRPr="00F71330" w:rsidP="00F71330">
            <w:pPr>
              <w:pStyle w:val="ListBullet"/>
            </w:pPr>
            <w:r w:rsidRPr="00F71330">
              <w:t>client service standards</w:t>
            </w:r>
          </w:p>
          <w:p w:rsidR="00000000" w:rsidRPr="00F71330" w:rsidP="00F71330">
            <w:pPr>
              <w:pStyle w:val="ListBullet"/>
            </w:pPr>
            <w:r w:rsidRPr="00F71330">
              <w:t>code of conduct, code of ethics</w:t>
            </w:r>
          </w:p>
          <w:p w:rsidR="00000000" w:rsidRPr="00F71330" w:rsidP="00F71330">
            <w:pPr>
              <w:pStyle w:val="ListBullet"/>
            </w:pPr>
            <w:r w:rsidRPr="00F71330">
              <w:t>communication and reporting procedures</w:t>
            </w:r>
          </w:p>
          <w:p w:rsidR="00000000" w:rsidRPr="00F71330" w:rsidP="00F71330">
            <w:pPr>
              <w:pStyle w:val="ListBullet"/>
            </w:pPr>
            <w:r w:rsidRPr="00F71330">
              <w:t>complaint and dispute resolution procedures</w:t>
            </w:r>
          </w:p>
          <w:p w:rsidR="00000000" w:rsidRPr="00F71330" w:rsidP="00F71330">
            <w:pPr>
              <w:pStyle w:val="ListBullet"/>
            </w:pPr>
            <w:r w:rsidRPr="00F71330">
              <w:t>emergency and evacuation procedures</w:t>
            </w:r>
          </w:p>
          <w:p w:rsidR="00000000" w:rsidRPr="00F71330" w:rsidP="00F71330">
            <w:pPr>
              <w:pStyle w:val="ListBullet"/>
            </w:pPr>
            <w:r w:rsidRPr="00F71330">
              <w:t xml:space="preserve">employer and employee rights and responsibilities </w:t>
            </w:r>
          </w:p>
          <w:p w:rsidR="00000000" w:rsidRPr="00F71330" w:rsidP="00F71330">
            <w:pPr>
              <w:pStyle w:val="ListBullet"/>
            </w:pPr>
            <w:r w:rsidRPr="00F71330">
              <w:t>OHS policies, procedures and programs</w:t>
            </w:r>
          </w:p>
          <w:p w:rsidR="00000000" w:rsidRPr="00F71330" w:rsidP="00F71330">
            <w:pPr>
              <w:pStyle w:val="ListBullet"/>
            </w:pPr>
            <w:r w:rsidRPr="00F71330">
              <w:t xml:space="preserve">own role, responsibility and authority </w:t>
            </w:r>
          </w:p>
          <w:p w:rsidR="00000000" w:rsidRPr="00F71330" w:rsidP="00F71330">
            <w:pPr>
              <w:pStyle w:val="ListBullet"/>
            </w:pPr>
            <w:r w:rsidRPr="00F71330">
              <w:t>personal</w:t>
            </w:r>
            <w:r w:rsidRPr="00F71330">
              <w:t xml:space="preserve"> and professional development</w:t>
            </w:r>
          </w:p>
          <w:p w:rsidR="00000000" w:rsidRPr="00F71330" w:rsidP="00F71330">
            <w:pPr>
              <w:pStyle w:val="ListBullet"/>
            </w:pPr>
            <w:r w:rsidRPr="00F71330">
              <w:t>privacy and confidentiality of information</w:t>
            </w:r>
          </w:p>
          <w:p w:rsidR="00000000" w:rsidRPr="00F71330" w:rsidP="00F71330">
            <w:pPr>
              <w:pStyle w:val="ListBullet"/>
            </w:pPr>
            <w:r w:rsidRPr="00F71330">
              <w:t>quality assurance and continuous improvement processes and standards</w:t>
            </w:r>
          </w:p>
          <w:p w:rsidR="00000000" w:rsidRPr="00F71330" w:rsidP="00F71330">
            <w:pPr>
              <w:pStyle w:val="ListBullet"/>
            </w:pPr>
            <w:r w:rsidRPr="00F71330">
              <w:t>resource parameters and procedures</w:t>
            </w:r>
          </w:p>
          <w:p w:rsidR="00000000" w:rsidRPr="00F71330" w:rsidP="00F71330">
            <w:pPr>
              <w:pStyle w:val="ListBullet"/>
            </w:pPr>
            <w:r w:rsidRPr="00F71330">
              <w:t>roles, functions and responsibilities of security personnel</w:t>
            </w:r>
          </w:p>
          <w:p w:rsidR="00000000" w:rsidP="00F71330">
            <w:pPr>
              <w:pStyle w:val="ListBullet"/>
              <w:rPr>
                <w:lang w:val="en-NZ"/>
              </w:rPr>
            </w:pPr>
            <w:r w:rsidRPr="00F71330">
              <w:t>storage and disposal of information.</w:t>
            </w:r>
          </w:p>
        </w:tc>
      </w:tr>
      <w:tr w:rsidTr="00B073F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71330">
            <w:pPr>
              <w:pStyle w:val="BodyText"/>
              <w:rPr>
                <w:lang w:val="en-NZ"/>
              </w:rPr>
            </w:pPr>
            <w:r w:rsidRPr="00F71330">
              <w:rPr>
                <w:rStyle w:val="BoldandItalics"/>
              </w:rPr>
              <w:t>Specialised security equipment may include</w:t>
            </w:r>
            <w:r w:rsidRPr="00F71330">
              <w:t>:</w:t>
            </w:r>
          </w:p>
        </w:tc>
        <w:tc>
          <w:tcPr>
            <w:tcW w:w="6110" w:type="dxa"/>
            <w:tcBorders>
              <w:top w:val="nil"/>
              <w:left w:val="nil"/>
              <w:bottom w:val="nil"/>
              <w:right w:val="nil"/>
            </w:tcBorders>
            <w:tcMar>
              <w:top w:w="0" w:type="dxa"/>
              <w:left w:w="62" w:type="dxa"/>
              <w:bottom w:w="0" w:type="dxa"/>
              <w:right w:w="62" w:type="dxa"/>
            </w:tcMar>
          </w:tcPr>
          <w:p w:rsidR="00000000" w:rsidRPr="00F71330" w:rsidP="00F71330">
            <w:pPr>
              <w:pStyle w:val="ListBullet"/>
            </w:pPr>
            <w:r w:rsidRPr="00F71330">
              <w:t>audible and visual warning devices</w:t>
            </w:r>
          </w:p>
          <w:p w:rsidR="00000000" w:rsidRPr="00F71330" w:rsidP="00F71330">
            <w:pPr>
              <w:pStyle w:val="ListBullet"/>
            </w:pPr>
            <w:r w:rsidRPr="00F71330">
              <w:t>biometric devices</w:t>
            </w:r>
          </w:p>
          <w:p w:rsidR="00000000" w:rsidRPr="00F71330" w:rsidP="00F71330">
            <w:pPr>
              <w:pStyle w:val="ListBullet"/>
            </w:pPr>
            <w:r w:rsidRPr="00F71330">
              <w:t>cameras, monitors and control equipment</w:t>
            </w:r>
          </w:p>
          <w:p w:rsidR="00000000" w:rsidRPr="00F71330" w:rsidP="00F71330">
            <w:pPr>
              <w:pStyle w:val="ListBullet"/>
            </w:pPr>
            <w:r w:rsidRPr="00F71330">
              <w:t>car alarms</w:t>
            </w:r>
          </w:p>
          <w:p w:rsidR="00000000" w:rsidRPr="00F71330" w:rsidP="00F71330">
            <w:pPr>
              <w:pStyle w:val="ListBullet"/>
            </w:pPr>
            <w:r w:rsidRPr="00F71330">
              <w:t>control panels and intercoms</w:t>
            </w:r>
          </w:p>
          <w:p w:rsidR="00000000" w:rsidRPr="00F71330" w:rsidP="00F71330">
            <w:pPr>
              <w:pStyle w:val="ListBullet"/>
            </w:pPr>
            <w:r w:rsidRPr="00F71330">
              <w:t>detection devices</w:t>
            </w:r>
          </w:p>
          <w:p w:rsidR="00000000" w:rsidRPr="00F71330" w:rsidP="00F71330">
            <w:pPr>
              <w:pStyle w:val="ListBullet"/>
            </w:pPr>
            <w:r w:rsidRPr="00F71330">
              <w:t>electronic and mechani</w:t>
            </w:r>
            <w:r w:rsidRPr="00F71330">
              <w:t xml:space="preserve">cal fire safety and fire locking systems </w:t>
            </w:r>
          </w:p>
          <w:p w:rsidR="00000000" w:rsidRPr="00F71330" w:rsidP="00F71330">
            <w:pPr>
              <w:pStyle w:val="ListBullet"/>
            </w:pPr>
            <w:r w:rsidRPr="00F71330">
              <w:t>electronic readers or recognition controls</w:t>
            </w:r>
          </w:p>
          <w:p w:rsidR="00000000" w:rsidRPr="00F71330" w:rsidP="00F71330">
            <w:pPr>
              <w:pStyle w:val="ListBullet"/>
            </w:pPr>
            <w:r w:rsidRPr="00F71330">
              <w:t>locks and locking systems</w:t>
            </w:r>
          </w:p>
          <w:p w:rsidR="00000000" w:rsidP="00F71330">
            <w:pPr>
              <w:pStyle w:val="ListBullet"/>
              <w:rPr>
                <w:lang w:val="en-NZ"/>
              </w:rPr>
            </w:pPr>
            <w:r w:rsidRPr="00F71330">
              <w:t>wireless equipment.</w:t>
            </w:r>
          </w:p>
        </w:tc>
      </w:tr>
      <w:tr w:rsidTr="00B073F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71330">
            <w:pPr>
              <w:pStyle w:val="BodyText"/>
              <w:rPr>
                <w:lang w:val="en-NZ"/>
              </w:rPr>
            </w:pPr>
            <w:r w:rsidRPr="00F71330">
              <w:rPr>
                <w:rStyle w:val="BoldandItalics"/>
              </w:rPr>
              <w:t>Assignment instructions</w:t>
            </w:r>
            <w:r w:rsidRPr="00F71330">
              <w:t xml:space="preserve"> </w:t>
            </w:r>
            <w:r w:rsidRPr="00F71330">
              <w:rPr>
                <w:rStyle w:val="SpecialBold"/>
              </w:rPr>
              <w:t>may include</w:t>
            </w:r>
            <w:r w:rsidRPr="00F71330">
              <w:t>:</w:t>
            </w:r>
          </w:p>
        </w:tc>
        <w:tc>
          <w:tcPr>
            <w:tcW w:w="6110" w:type="dxa"/>
            <w:tcBorders>
              <w:top w:val="nil"/>
              <w:left w:val="nil"/>
              <w:bottom w:val="nil"/>
              <w:right w:val="nil"/>
            </w:tcBorders>
            <w:tcMar>
              <w:top w:w="0" w:type="dxa"/>
              <w:left w:w="62" w:type="dxa"/>
              <w:bottom w:w="0" w:type="dxa"/>
              <w:right w:w="62" w:type="dxa"/>
            </w:tcMar>
          </w:tcPr>
          <w:p w:rsidR="00000000" w:rsidRPr="00F71330" w:rsidP="00F71330">
            <w:pPr>
              <w:pStyle w:val="ListBullet"/>
            </w:pPr>
            <w:r w:rsidRPr="00F71330">
              <w:t>assignment objectives and timeframes</w:t>
            </w:r>
          </w:p>
          <w:p w:rsidR="00000000" w:rsidRPr="00F71330" w:rsidP="00F71330">
            <w:pPr>
              <w:pStyle w:val="ListBullet"/>
            </w:pPr>
            <w:r w:rsidRPr="00F71330">
              <w:t>maintenance schedules</w:t>
            </w:r>
          </w:p>
          <w:p w:rsidR="00000000" w:rsidRPr="00F71330" w:rsidP="00F71330">
            <w:pPr>
              <w:pStyle w:val="ListBullet"/>
            </w:pPr>
            <w:r w:rsidRPr="00F71330">
              <w:t>personal protective clothing and equipment requirements</w:t>
            </w:r>
          </w:p>
          <w:p w:rsidR="00000000" w:rsidRPr="00F71330" w:rsidP="00F71330">
            <w:pPr>
              <w:pStyle w:val="ListBullet"/>
            </w:pPr>
            <w:r w:rsidRPr="00F71330">
              <w:t>reporting and documentation requirements</w:t>
            </w:r>
          </w:p>
          <w:p w:rsidR="00000000" w:rsidRPr="00F71330" w:rsidP="00F71330">
            <w:pPr>
              <w:pStyle w:val="ListBullet"/>
            </w:pPr>
            <w:r w:rsidRPr="00F71330">
              <w:t>resource and equipment requirements</w:t>
            </w:r>
          </w:p>
          <w:p w:rsidR="00000000" w:rsidRPr="00F71330" w:rsidP="00F71330">
            <w:pPr>
              <w:pStyle w:val="ListBullet"/>
            </w:pPr>
            <w:r w:rsidRPr="00F71330">
              <w:t>specific client requirements</w:t>
            </w:r>
          </w:p>
          <w:p w:rsidR="00000000" w:rsidRPr="00F71330" w:rsidP="00F71330">
            <w:pPr>
              <w:pStyle w:val="ListBullet"/>
            </w:pPr>
            <w:r w:rsidRPr="00F71330">
              <w:t>work schedules</w:t>
            </w:r>
          </w:p>
          <w:p w:rsidR="00000000" w:rsidP="00F71330">
            <w:pPr>
              <w:pStyle w:val="ListBullet"/>
              <w:rPr>
                <w:lang w:val="en-NZ"/>
              </w:rPr>
            </w:pPr>
            <w:r w:rsidRPr="00F71330">
              <w:t>work tasks and procedures.</w:t>
            </w:r>
          </w:p>
        </w:tc>
      </w:tr>
      <w:tr w:rsidTr="00B073F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71330">
            <w:pPr>
              <w:pStyle w:val="BodyText"/>
              <w:rPr>
                <w:lang w:val="en-NZ"/>
              </w:rPr>
            </w:pPr>
            <w:r w:rsidRPr="00F71330">
              <w:rPr>
                <w:rStyle w:val="BoldandItalics"/>
              </w:rPr>
              <w:t>Routine pre</w:t>
            </w:r>
            <w:r w:rsidRPr="00F71330">
              <w:t>-</w:t>
            </w:r>
            <w:r w:rsidRPr="00F71330">
              <w:rPr>
                <w:rStyle w:val="BoldandItalics"/>
              </w:rPr>
              <w:t>operational checks</w:t>
            </w:r>
            <w:r w:rsidRPr="00F71330">
              <w:t xml:space="preserve"> </w:t>
            </w:r>
            <w:r w:rsidRPr="00F71330">
              <w:rPr>
                <w:rStyle w:val="SpecialBold"/>
              </w:rPr>
              <w:t>may include</w:t>
            </w:r>
            <w:r w:rsidRPr="00F71330">
              <w:t>:</w:t>
            </w:r>
          </w:p>
        </w:tc>
        <w:tc>
          <w:tcPr>
            <w:tcW w:w="6110" w:type="dxa"/>
            <w:tcBorders>
              <w:top w:val="nil"/>
              <w:left w:val="nil"/>
              <w:bottom w:val="nil"/>
              <w:right w:val="nil"/>
            </w:tcBorders>
            <w:tcMar>
              <w:top w:w="0" w:type="dxa"/>
              <w:left w:w="62" w:type="dxa"/>
              <w:bottom w:w="0" w:type="dxa"/>
              <w:right w:w="62" w:type="dxa"/>
            </w:tcMar>
          </w:tcPr>
          <w:p w:rsidR="00000000" w:rsidRPr="00F71330" w:rsidP="00F71330">
            <w:pPr>
              <w:pStyle w:val="ListBullet"/>
            </w:pPr>
            <w:r w:rsidRPr="00F71330">
              <w:t>checki</w:t>
            </w:r>
            <w:r w:rsidRPr="00F71330">
              <w:t>ng log books and maintenance schedules</w:t>
            </w:r>
          </w:p>
          <w:p w:rsidR="00000000" w:rsidRPr="00F71330" w:rsidP="00F71330">
            <w:pPr>
              <w:pStyle w:val="ListBullet"/>
            </w:pPr>
            <w:r w:rsidRPr="00F71330">
              <w:t>cleaning, priming, tightening, basic repairs and adjustments</w:t>
            </w:r>
          </w:p>
          <w:p w:rsidR="00000000" w:rsidRPr="00F71330" w:rsidP="00F71330">
            <w:pPr>
              <w:pStyle w:val="ListBullet"/>
            </w:pPr>
            <w:r w:rsidRPr="00F71330">
              <w:t>identification and segregation of unsafe or faulty equipment for repair or replacement observing and monitoring noise levels for correct operation</w:t>
            </w:r>
          </w:p>
          <w:p w:rsidR="00000000" w:rsidP="00F71330">
            <w:pPr>
              <w:pStyle w:val="ListBullet"/>
              <w:rPr>
                <w:lang w:val="en-NZ"/>
              </w:rPr>
            </w:pPr>
            <w:r w:rsidRPr="00F71330">
              <w:t>visual ch</w:t>
            </w:r>
            <w:r w:rsidRPr="00F71330">
              <w:t>ecks for wear and tear.</w:t>
            </w:r>
          </w:p>
        </w:tc>
      </w:tr>
      <w:tr w:rsidTr="00B073F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71330">
            <w:pPr>
              <w:pStyle w:val="BodyText"/>
              <w:rPr>
                <w:lang w:val="en-NZ"/>
              </w:rPr>
            </w:pPr>
            <w:r w:rsidRPr="00F71330">
              <w:rPr>
                <w:rStyle w:val="BoldandItalics"/>
              </w:rPr>
              <w:t>Personal protection equipment</w:t>
            </w:r>
            <w:r w:rsidRPr="00F71330">
              <w:t xml:space="preserve"> </w:t>
            </w:r>
            <w:r w:rsidRPr="00F71330">
              <w:rPr>
                <w:rStyle w:val="SpecialBold"/>
              </w:rPr>
              <w:t>may include</w:t>
            </w:r>
            <w:r w:rsidRPr="00F71330">
              <w:t xml:space="preserve">: </w:t>
            </w:r>
          </w:p>
        </w:tc>
        <w:tc>
          <w:tcPr>
            <w:tcW w:w="6110" w:type="dxa"/>
            <w:tcBorders>
              <w:top w:val="nil"/>
              <w:left w:val="nil"/>
              <w:bottom w:val="nil"/>
              <w:right w:val="nil"/>
            </w:tcBorders>
            <w:tcMar>
              <w:top w:w="0" w:type="dxa"/>
              <w:left w:w="62" w:type="dxa"/>
              <w:bottom w:w="0" w:type="dxa"/>
              <w:right w:w="62" w:type="dxa"/>
            </w:tcMar>
          </w:tcPr>
          <w:p w:rsidR="00000000" w:rsidRPr="00F71330" w:rsidP="00F71330">
            <w:pPr>
              <w:pStyle w:val="ListBullet"/>
            </w:pPr>
            <w:r w:rsidRPr="00F71330">
              <w:t>body armour</w:t>
            </w:r>
          </w:p>
          <w:p w:rsidR="00000000" w:rsidRPr="00F71330" w:rsidP="00F71330">
            <w:pPr>
              <w:pStyle w:val="ListBullet"/>
            </w:pPr>
            <w:r w:rsidRPr="00F71330">
              <w:t>breathing apparatus</w:t>
            </w:r>
          </w:p>
          <w:p w:rsidR="00000000" w:rsidRPr="00F71330" w:rsidP="00F71330">
            <w:pPr>
              <w:pStyle w:val="ListBullet"/>
            </w:pPr>
            <w:r w:rsidRPr="00F71330">
              <w:t>fire extinguisher</w:t>
            </w:r>
          </w:p>
          <w:p w:rsidR="00000000" w:rsidRPr="00F71330" w:rsidP="00F71330">
            <w:pPr>
              <w:pStyle w:val="ListBullet"/>
            </w:pPr>
            <w:r w:rsidRPr="00F71330">
              <w:t>first aid kit</w:t>
            </w:r>
          </w:p>
          <w:p w:rsidR="00000000" w:rsidRPr="00F71330" w:rsidP="00F71330">
            <w:pPr>
              <w:pStyle w:val="ListBullet"/>
            </w:pPr>
            <w:r w:rsidRPr="00F71330">
              <w:t>gloves</w:t>
            </w:r>
          </w:p>
          <w:p w:rsidR="00000000" w:rsidRPr="00F71330" w:rsidP="00F71330">
            <w:pPr>
              <w:pStyle w:val="ListBullet"/>
            </w:pPr>
            <w:r w:rsidRPr="00F71330">
              <w:t>head protection</w:t>
            </w:r>
          </w:p>
          <w:p w:rsidR="00000000" w:rsidRPr="00F71330" w:rsidP="00F71330">
            <w:pPr>
              <w:pStyle w:val="ListBullet"/>
            </w:pPr>
            <w:r w:rsidRPr="00F71330">
              <w:t>knee pads</w:t>
            </w:r>
          </w:p>
          <w:p w:rsidR="00000000" w:rsidRPr="00F71330" w:rsidP="00F71330">
            <w:pPr>
              <w:pStyle w:val="ListBullet"/>
            </w:pPr>
            <w:r w:rsidRPr="00F71330">
              <w:t>masks</w:t>
            </w:r>
          </w:p>
          <w:p w:rsidR="00000000" w:rsidRPr="00F71330" w:rsidP="00F71330">
            <w:pPr>
              <w:pStyle w:val="ListBullet"/>
            </w:pPr>
            <w:r w:rsidRPr="00F71330">
              <w:t>protective shield</w:t>
            </w:r>
          </w:p>
          <w:p w:rsidR="00000000" w:rsidRPr="00F71330" w:rsidP="00F71330">
            <w:pPr>
              <w:pStyle w:val="ListBullet"/>
            </w:pPr>
            <w:r w:rsidRPr="00F71330">
              <w:t>safety boots</w:t>
            </w:r>
          </w:p>
          <w:p w:rsidR="00000000" w:rsidP="00F71330">
            <w:pPr>
              <w:pStyle w:val="ListBullet"/>
              <w:rPr>
                <w:lang w:val="en-NZ"/>
              </w:rPr>
            </w:pPr>
            <w:r w:rsidRPr="00F71330">
              <w:t>safety glasses.</w:t>
            </w:r>
          </w:p>
        </w:tc>
      </w:tr>
      <w:tr w:rsidTr="00B073F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71330">
            <w:pPr>
              <w:pStyle w:val="BodyText"/>
              <w:rPr>
                <w:lang w:val="en-NZ"/>
              </w:rPr>
            </w:pPr>
            <w:r w:rsidRPr="00F71330">
              <w:rPr>
                <w:rStyle w:val="BoldandItalics"/>
              </w:rPr>
              <w:t>Documentation</w:t>
            </w:r>
            <w:r w:rsidRPr="00F71330">
              <w:t xml:space="preserve"> </w:t>
            </w:r>
            <w:r w:rsidRPr="00F71330">
              <w:rPr>
                <w:rStyle w:val="SpecialBold"/>
              </w:rPr>
              <w:t>may include</w:t>
            </w:r>
            <w:r w:rsidRPr="00F71330">
              <w:t>:</w:t>
            </w:r>
          </w:p>
        </w:tc>
        <w:tc>
          <w:tcPr>
            <w:tcW w:w="6110" w:type="dxa"/>
            <w:tcBorders>
              <w:top w:val="nil"/>
              <w:left w:val="nil"/>
              <w:bottom w:val="nil"/>
              <w:right w:val="nil"/>
            </w:tcBorders>
            <w:tcMar>
              <w:top w:w="0" w:type="dxa"/>
              <w:left w:w="62" w:type="dxa"/>
              <w:bottom w:w="0" w:type="dxa"/>
              <w:right w:w="62" w:type="dxa"/>
            </w:tcMar>
          </w:tcPr>
          <w:p w:rsidR="00000000" w:rsidRPr="00F71330" w:rsidP="00F71330">
            <w:pPr>
              <w:pStyle w:val="ListBullet"/>
            </w:pPr>
            <w:r w:rsidRPr="00F71330">
              <w:t>equipment faults and  diagnosis</w:t>
            </w:r>
          </w:p>
          <w:p w:rsidR="00000000" w:rsidRPr="00F71330" w:rsidP="00F71330">
            <w:pPr>
              <w:pStyle w:val="ListBullet"/>
            </w:pPr>
            <w:r w:rsidRPr="00F71330">
              <w:t>materials used, parts and components replaced</w:t>
            </w:r>
          </w:p>
          <w:p w:rsidR="00000000" w:rsidRPr="00F71330" w:rsidP="00F71330">
            <w:pPr>
              <w:pStyle w:val="ListBullet"/>
            </w:pPr>
            <w:r w:rsidRPr="00F71330">
              <w:t>operational reports</w:t>
            </w:r>
          </w:p>
          <w:p w:rsidR="00000000" w:rsidRPr="00F71330" w:rsidP="00F71330">
            <w:pPr>
              <w:pStyle w:val="ListBullet"/>
            </w:pPr>
            <w:r w:rsidRPr="00F71330">
              <w:t>recommended repairs or disposal of equipment</w:t>
            </w:r>
          </w:p>
          <w:p w:rsidR="00000000" w:rsidRPr="00F71330" w:rsidP="00F71330">
            <w:pPr>
              <w:pStyle w:val="ListBullet"/>
            </w:pPr>
            <w:r w:rsidRPr="00F71330">
              <w:t>repairs and  servicing undertaken</w:t>
            </w:r>
          </w:p>
          <w:p w:rsidR="00000000" w:rsidRPr="00F71330" w:rsidP="00F71330">
            <w:pPr>
              <w:pStyle w:val="ListBullet"/>
            </w:pPr>
            <w:r w:rsidRPr="00F71330">
              <w:t>testing and inspection results</w:t>
            </w:r>
          </w:p>
          <w:p w:rsidR="00000000" w:rsidRPr="00F71330" w:rsidP="00F71330">
            <w:pPr>
              <w:pStyle w:val="ListBullet"/>
            </w:pPr>
            <w:r w:rsidRPr="00F71330">
              <w:t>written and electronic reports.</w:t>
            </w:r>
          </w:p>
        </w:tc>
      </w:tr>
    </w:tbl>
    <w:p w:rsidR="00B073FD" w:rsidP="00F71330">
      <w:pPr>
        <w:pStyle w:val="BodyText"/>
      </w:pPr>
    </w:p>
    <w:p w:rsidR="00B073FD" w:rsidP="00F71330">
      <w:pPr>
        <w:pStyle w:val="BodyText"/>
      </w:pPr>
    </w:p>
    <w:p w:rsidR="00000000" w:rsidRPr="00F71330" w:rsidP="00F71330">
      <w:pPr>
        <w:pStyle w:val="Heading1"/>
      </w:pPr>
      <w:bookmarkStart w:id="12" w:name="O_201884"/>
      <w:bookmarkEnd w:id="12"/>
      <w:r w:rsidRPr="00F71330">
        <w:t>Unit Sector(s)</w:t>
      </w:r>
    </w:p>
    <w:tbl>
      <w:tblPr>
        <w:tblW w:w="0" w:type="auto"/>
        <w:tblLayout w:type="fixed"/>
        <w:tblCellMar>
          <w:left w:w="62" w:type="dxa"/>
          <w:right w:w="62" w:type="dxa"/>
        </w:tblCellMar>
        <w:tblLook w:val="0000"/>
      </w:tblPr>
      <w:tblGrid>
        <w:gridCol w:w="2391"/>
        <w:gridCol w:w="6131"/>
      </w:tblGrid>
      <w:tr w:rsidTr="00B073FD">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F71330">
            <w:pPr>
              <w:pStyle w:val="BodyText"/>
              <w:rPr>
                <w:lang w:val="en-NZ"/>
              </w:rPr>
            </w:pPr>
            <w:r w:rsidRPr="00F71330">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F71330" w:rsidP="00F71330">
            <w:pPr>
              <w:pStyle w:val="BodyText"/>
            </w:pPr>
            <w:r w:rsidRPr="00F71330">
              <w:t>Security</w:t>
            </w:r>
          </w:p>
        </w:tc>
      </w:tr>
    </w:tbl>
    <w:p w:rsidR="00B073FD" w:rsidP="00F71330">
      <w:pPr>
        <w:pStyle w:val="BodyText"/>
      </w:pPr>
    </w:p>
    <w:p w:rsidR="00B073FD" w:rsidP="00F71330">
      <w:pPr>
        <w:pStyle w:val="BodyText"/>
      </w:pPr>
    </w:p>
    <w:p w:rsidR="00000000" w:rsidRPr="00F71330" w:rsidP="00F71330">
      <w:pPr>
        <w:pStyle w:val="Heading1"/>
      </w:pPr>
      <w:bookmarkStart w:id="13" w:name="O_201883"/>
      <w:bookmarkEnd w:id="13"/>
      <w:r w:rsidRPr="00F71330">
        <w:t>Competency field</w:t>
      </w:r>
    </w:p>
    <w:tbl>
      <w:tblPr>
        <w:tblW w:w="0" w:type="auto"/>
        <w:tblLayout w:type="fixed"/>
        <w:tblCellMar>
          <w:left w:w="62" w:type="dxa"/>
          <w:right w:w="62" w:type="dxa"/>
        </w:tblCellMar>
        <w:tblLook w:val="0000"/>
      </w:tblPr>
      <w:tblGrid>
        <w:gridCol w:w="2450"/>
        <w:gridCol w:w="6072"/>
      </w:tblGrid>
      <w:tr w:rsidTr="00B073FD">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F71330">
            <w:pPr>
              <w:pStyle w:val="BodyText"/>
              <w:rPr>
                <w:lang w:val="en-NZ"/>
              </w:rPr>
            </w:pPr>
            <w:r w:rsidRPr="00F71330">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F71330" w:rsidP="00F71330">
            <w:pPr>
              <w:pStyle w:val="BodyText"/>
            </w:pPr>
            <w:r w:rsidRPr="00F71330">
              <w:t>Operations</w:t>
            </w:r>
          </w:p>
        </w:tc>
      </w:tr>
    </w:tbl>
    <w:p w:rsidR="00B073FD" w:rsidP="00F71330">
      <w:pPr>
        <w:pStyle w:val="BodyText"/>
      </w:pPr>
    </w:p>
    <w:p w:rsidR="00B073FD" w:rsidP="00F71330">
      <w:pPr>
        <w:pStyle w:val="BodyText"/>
      </w:pPr>
    </w:p>
    <w:p w:rsidR="00000000" w:rsidRPr="00F71330" w:rsidP="00F71330"/>
    <w:sectPr w:rsidSect="00F713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73FD" w:rsidP="00B073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3FD" w:rsidP="00F713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073FD" w:rsidP="00F713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073FD" w:rsidP="00F713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73FD" w:rsidP="00B073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3FD" w:rsidP="00F71330">
    <w:pPr>
      <w:pStyle w:val="Header"/>
      <w:framePr w:wrap="around"/>
    </w:pPr>
    <w:r>
      <w:fldChar w:fldCharType="begin"/>
    </w:r>
    <w:r>
      <w:instrText xml:space="preserve"> TITLE   \* MERGEFORMAT </w:instrText>
    </w:r>
    <w:r>
      <w:fldChar w:fldCharType="separate"/>
    </w:r>
    <w:r>
      <w:t>CPPSEC3019A Operate specialised security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073FD" w:rsidP="00F713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F89F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76DD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6487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3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1330"/>
    <w:pPr>
      <w:spacing w:before="360" w:after="60"/>
      <w:outlineLvl w:val="0"/>
    </w:pPr>
    <w:rPr>
      <w:sz w:val="32"/>
    </w:rPr>
  </w:style>
  <w:style w:type="paragraph" w:styleId="Heading2">
    <w:name w:val="heading 2"/>
    <w:basedOn w:val="HeadingBase"/>
    <w:next w:val="BodyText"/>
    <w:link w:val="Heading2Char"/>
    <w:qFormat/>
    <w:rsid w:val="00F71330"/>
    <w:pPr>
      <w:keepLines/>
      <w:spacing w:before="240" w:after="120"/>
      <w:outlineLvl w:val="1"/>
    </w:pPr>
    <w:rPr>
      <w:sz w:val="28"/>
      <w:szCs w:val="40"/>
    </w:rPr>
  </w:style>
  <w:style w:type="paragraph" w:styleId="Heading3">
    <w:name w:val="heading 3"/>
    <w:basedOn w:val="HeadingBase"/>
    <w:next w:val="BodyText"/>
    <w:link w:val="Heading3Char"/>
    <w:qFormat/>
    <w:rsid w:val="00F71330"/>
    <w:pPr>
      <w:spacing w:before="180" w:after="120"/>
      <w:outlineLvl w:val="2"/>
    </w:pPr>
    <w:rPr>
      <w:spacing w:val="-10"/>
      <w:kern w:val="32"/>
    </w:rPr>
  </w:style>
  <w:style w:type="paragraph" w:styleId="Heading4">
    <w:name w:val="heading 4"/>
    <w:basedOn w:val="HeadingBase"/>
    <w:next w:val="BodyText"/>
    <w:link w:val="Heading4Char"/>
    <w:qFormat/>
    <w:rsid w:val="00F71330"/>
    <w:pPr>
      <w:spacing w:before="160" w:after="120"/>
      <w:outlineLvl w:val="3"/>
    </w:pPr>
    <w:rPr>
      <w:sz w:val="22"/>
    </w:rPr>
  </w:style>
  <w:style w:type="paragraph" w:styleId="Heading5">
    <w:name w:val="heading 5"/>
    <w:basedOn w:val="HeadingBase"/>
    <w:next w:val="Normal"/>
    <w:link w:val="Heading5Char"/>
    <w:qFormat/>
    <w:rsid w:val="00F71330"/>
    <w:pPr>
      <w:spacing w:before="80"/>
      <w:outlineLvl w:val="4"/>
    </w:pPr>
    <w:rPr>
      <w:color w:val="918585"/>
      <w:sz w:val="20"/>
    </w:rPr>
  </w:style>
  <w:style w:type="paragraph" w:styleId="Heading6">
    <w:name w:val="heading 6"/>
    <w:basedOn w:val="HeadingBase"/>
    <w:next w:val="Normal"/>
    <w:link w:val="Heading6Char"/>
    <w:qFormat/>
    <w:rsid w:val="00F71330"/>
    <w:pPr>
      <w:spacing w:before="60"/>
      <w:outlineLvl w:val="5"/>
    </w:pPr>
    <w:rPr>
      <w:color w:val="918585"/>
      <w:sz w:val="20"/>
    </w:rPr>
  </w:style>
  <w:style w:type="paragraph" w:styleId="Heading7">
    <w:name w:val="heading 7"/>
    <w:basedOn w:val="Normal"/>
    <w:next w:val="Normal"/>
    <w:link w:val="Heading7Char"/>
    <w:qFormat/>
    <w:rsid w:val="00F71330"/>
    <w:pPr>
      <w:ind w:left="720"/>
      <w:outlineLvl w:val="6"/>
    </w:pPr>
    <w:rPr>
      <w:i/>
    </w:rPr>
  </w:style>
  <w:style w:type="paragraph" w:styleId="Heading8">
    <w:name w:val="heading 8"/>
    <w:basedOn w:val="Normal"/>
    <w:next w:val="Normal"/>
    <w:link w:val="Heading8Char"/>
    <w:qFormat/>
    <w:rsid w:val="00F71330"/>
    <w:pPr>
      <w:ind w:left="720"/>
      <w:outlineLvl w:val="7"/>
    </w:pPr>
    <w:rPr>
      <w:i/>
    </w:rPr>
  </w:style>
  <w:style w:type="paragraph" w:styleId="Heading9">
    <w:name w:val="heading 9"/>
    <w:basedOn w:val="Normal"/>
    <w:next w:val="Normal"/>
    <w:link w:val="Heading9Char"/>
    <w:qFormat/>
    <w:rsid w:val="00F71330"/>
    <w:pPr>
      <w:ind w:left="720"/>
      <w:outlineLvl w:val="8"/>
    </w:pPr>
    <w:rPr>
      <w:i/>
    </w:rPr>
  </w:style>
  <w:style w:type="character" w:default="1" w:styleId="DefaultParagraphFont">
    <w:name w:val="Default Paragraph Font"/>
    <w:uiPriority w:val="1"/>
    <w:unhideWhenUsed/>
    <w:rsid w:val="00F713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330"/>
  </w:style>
  <w:style w:type="character" w:customStyle="1" w:styleId="Heading1Char">
    <w:name w:val="Heading 1 Char"/>
    <w:basedOn w:val="DefaultParagraphFont"/>
    <w:link w:val="Heading1"/>
    <w:rsid w:val="00F71330"/>
    <w:rPr>
      <w:rFonts w:ascii="Times New Roman" w:eastAsia="Times New Roman" w:hAnsi="Times New Roman" w:cs="Times New Roman"/>
      <w:b/>
      <w:sz w:val="32"/>
      <w:szCs w:val="20"/>
      <w:lang w:eastAsia="en-US"/>
    </w:rPr>
  </w:style>
  <w:style w:type="paragraph" w:styleId="BodyText">
    <w:name w:val="Body Text"/>
    <w:basedOn w:val="Normal"/>
    <w:link w:val="BodyTextChar"/>
    <w:rsid w:val="00F713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1330"/>
    <w:rPr>
      <w:rFonts w:ascii="Times New Roman" w:eastAsia="Times New Roman" w:hAnsi="Times New Roman" w:cs="Times New Roman"/>
      <w:sz w:val="24"/>
      <w:lang w:val="en-US" w:eastAsia="en-US"/>
    </w:rPr>
  </w:style>
  <w:style w:type="paragraph" w:styleId="Footer">
    <w:name w:val="footer"/>
    <w:basedOn w:val="Normal"/>
    <w:link w:val="FooterChar"/>
    <w:rsid w:val="00F713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330"/>
    <w:rPr>
      <w:rFonts w:ascii="Times New Roman" w:eastAsia="Times New Roman" w:hAnsi="Times New Roman" w:cs="Times New Roman"/>
      <w:sz w:val="16"/>
      <w:lang w:val="en-US" w:eastAsia="en-US"/>
    </w:rPr>
  </w:style>
  <w:style w:type="paragraph" w:styleId="List">
    <w:name w:val="List"/>
    <w:basedOn w:val="BodyText"/>
    <w:next w:val="BodyText"/>
    <w:rsid w:val="00F71330"/>
    <w:pPr>
      <w:tabs>
        <w:tab w:val="left" w:pos="340"/>
      </w:tabs>
      <w:spacing w:before="60" w:after="60"/>
      <w:ind w:left="340" w:hanging="340"/>
    </w:pPr>
  </w:style>
  <w:style w:type="paragraph" w:styleId="ListBullet">
    <w:name w:val="List Bullet"/>
    <w:basedOn w:val="List"/>
    <w:rsid w:val="00F71330"/>
    <w:pPr>
      <w:numPr>
        <w:numId w:val="13"/>
      </w:numPr>
      <w:tabs>
        <w:tab w:val="clear" w:pos="340"/>
      </w:tabs>
      <w:spacing w:before="40" w:after="40"/>
    </w:pPr>
  </w:style>
  <w:style w:type="character" w:customStyle="1" w:styleId="SpecialBold">
    <w:name w:val="Special Bold"/>
    <w:basedOn w:val="DefaultParagraphFont"/>
    <w:rsid w:val="00F71330"/>
    <w:rPr>
      <w:b/>
      <w:spacing w:val="0"/>
    </w:rPr>
  </w:style>
  <w:style w:type="paragraph" w:styleId="ListBullet2">
    <w:name w:val="List Bullet 2"/>
    <w:basedOn w:val="List2"/>
    <w:rsid w:val="00F71330"/>
    <w:pPr>
      <w:numPr>
        <w:numId w:val="14"/>
      </w:numPr>
      <w:tabs>
        <w:tab w:val="clear" w:pos="680"/>
      </w:tabs>
    </w:pPr>
  </w:style>
  <w:style w:type="paragraph" w:styleId="Header">
    <w:name w:val="header"/>
    <w:basedOn w:val="Normal"/>
    <w:link w:val="HeaderChar"/>
    <w:rsid w:val="00F713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3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1330"/>
    <w:pPr>
      <w:spacing w:before="240" w:after="120"/>
      <w:outlineLvl w:val="0"/>
    </w:pPr>
    <w:rPr>
      <w:rFonts w:ascii="Times New Roman" w:hAnsi="Times New Roman"/>
      <w:b/>
      <w:sz w:val="28"/>
    </w:rPr>
  </w:style>
  <w:style w:type="paragraph" w:customStyle="1" w:styleId="AllowPageBreak">
    <w:name w:val="AllowPageBreak"/>
    <w:rsid w:val="00F713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1330"/>
    <w:rPr>
      <w:b/>
      <w:i/>
      <w:u w:val="none"/>
    </w:rPr>
  </w:style>
  <w:style w:type="character" w:customStyle="1" w:styleId="Heading2Char">
    <w:name w:val="Heading 2 Char"/>
    <w:basedOn w:val="DefaultParagraphFont"/>
    <w:link w:val="Heading2"/>
    <w:rsid w:val="00F713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3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3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3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3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3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13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1330"/>
    <w:rPr>
      <w:rFonts w:ascii="Courier New" w:eastAsia="Times New Roman" w:hAnsi="Courier New" w:cs="Times New Roman"/>
      <w:i/>
      <w:szCs w:val="20"/>
      <w:lang w:val="en-US" w:eastAsia="en-US"/>
    </w:rPr>
  </w:style>
  <w:style w:type="paragraph" w:customStyle="1" w:styleId="HeadingBase">
    <w:name w:val="Heading Base"/>
    <w:rsid w:val="00F713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330"/>
    <w:pPr>
      <w:tabs>
        <w:tab w:val="right" w:leader="dot" w:pos="9072"/>
      </w:tabs>
      <w:ind w:left="567"/>
    </w:pPr>
    <w:rPr>
      <w:szCs w:val="22"/>
    </w:rPr>
  </w:style>
  <w:style w:type="paragraph" w:customStyle="1" w:styleId="TOCBase">
    <w:name w:val="TOC Base"/>
    <w:rsid w:val="00F713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330"/>
    <w:pPr>
      <w:tabs>
        <w:tab w:val="right" w:leader="dot" w:pos="9072"/>
      </w:tabs>
      <w:spacing w:before="40" w:after="40"/>
      <w:ind w:left="284"/>
    </w:pPr>
    <w:rPr>
      <w:rFonts w:ascii="Times New Roman" w:hAnsi="Times New Roman"/>
    </w:rPr>
  </w:style>
  <w:style w:type="paragraph" w:styleId="TOC1">
    <w:name w:val="toc 1"/>
    <w:basedOn w:val="TOCBase"/>
    <w:next w:val="Normal"/>
    <w:rsid w:val="00F713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1330"/>
    <w:pPr>
      <w:spacing w:before="5040"/>
      <w:jc w:val="center"/>
    </w:pPr>
    <w:rPr>
      <w:sz w:val="48"/>
      <w:szCs w:val="72"/>
      <w:lang w:val="en-US"/>
    </w:rPr>
  </w:style>
  <w:style w:type="character" w:customStyle="1" w:styleId="TitleChar">
    <w:name w:val="Title Char"/>
    <w:basedOn w:val="DefaultParagraphFont"/>
    <w:link w:val="Title"/>
    <w:rsid w:val="00F713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330"/>
    <w:pPr>
      <w:tabs>
        <w:tab w:val="left" w:pos="3600"/>
        <w:tab w:val="left" w:pos="3958"/>
      </w:tabs>
    </w:pPr>
  </w:style>
  <w:style w:type="paragraph" w:customStyle="1" w:styleId="Note">
    <w:name w:val="Note"/>
    <w:basedOn w:val="BodyText"/>
    <w:rsid w:val="00F713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1330"/>
    <w:pPr>
      <w:framePr w:wrap="auto" w:hAnchor="text" w:y="6049"/>
    </w:pPr>
    <w:rPr>
      <w:color w:val="000000"/>
      <w:sz w:val="40"/>
    </w:rPr>
  </w:style>
  <w:style w:type="paragraph" w:customStyle="1" w:styleId="TOCTitle">
    <w:name w:val="TOCTitle"/>
    <w:basedOn w:val="Heading1"/>
    <w:rsid w:val="00F71330"/>
    <w:pPr>
      <w:spacing w:after="240"/>
      <w:jc w:val="center"/>
      <w:outlineLvl w:val="9"/>
    </w:pPr>
    <w:rPr>
      <w:caps/>
    </w:rPr>
  </w:style>
  <w:style w:type="paragraph" w:customStyle="1" w:styleId="Version">
    <w:name w:val="Version"/>
    <w:rsid w:val="00F713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1330"/>
    <w:pPr>
      <w:keepNext w:val="0"/>
      <w:tabs>
        <w:tab w:val="right" w:pos="4176"/>
      </w:tabs>
      <w:ind w:left="198" w:hanging="198"/>
    </w:pPr>
    <w:rPr>
      <w:rFonts w:ascii="Garamond" w:hAnsi="Garamond"/>
    </w:rPr>
  </w:style>
  <w:style w:type="paragraph" w:styleId="IndexHeading">
    <w:name w:val="index heading"/>
    <w:basedOn w:val="Normal"/>
    <w:next w:val="Index1"/>
    <w:semiHidden/>
    <w:rsid w:val="00F71330"/>
    <w:pPr>
      <w:spacing w:before="120" w:after="120"/>
    </w:pPr>
    <w:rPr>
      <w:rFonts w:ascii="Arial" w:hAnsi="Arial"/>
      <w:b/>
      <w:color w:val="918585"/>
      <w:sz w:val="24"/>
    </w:rPr>
  </w:style>
  <w:style w:type="paragraph" w:customStyle="1" w:styleId="Chapter">
    <w:name w:val="Chapter"/>
    <w:basedOn w:val="Normal"/>
    <w:rsid w:val="00F71330"/>
    <w:pPr>
      <w:spacing w:before="240"/>
    </w:pPr>
    <w:rPr>
      <w:rFonts w:ascii="Times New Roman" w:hAnsi="Times New Roman"/>
      <w:smallCaps/>
      <w:spacing w:val="80"/>
      <w:sz w:val="28"/>
    </w:rPr>
  </w:style>
  <w:style w:type="paragraph" w:customStyle="1" w:styleId="InChapter">
    <w:name w:val="InChapter"/>
    <w:basedOn w:val="Heading3"/>
    <w:rsid w:val="00F71330"/>
    <w:pPr>
      <w:spacing w:after="240"/>
      <w:outlineLvl w:val="9"/>
    </w:pPr>
    <w:rPr>
      <w:noProof/>
    </w:rPr>
  </w:style>
  <w:style w:type="paragraph" w:styleId="Index2">
    <w:name w:val="index 2"/>
    <w:basedOn w:val="Normal"/>
    <w:next w:val="Normal"/>
    <w:semiHidden/>
    <w:rsid w:val="00F71330"/>
    <w:pPr>
      <w:tabs>
        <w:tab w:val="right" w:pos="4176"/>
      </w:tabs>
      <w:ind w:left="568" w:hanging="284"/>
    </w:pPr>
    <w:rPr>
      <w:rFonts w:ascii="Garamond" w:hAnsi="Garamond"/>
    </w:rPr>
  </w:style>
  <w:style w:type="paragraph" w:customStyle="1" w:styleId="Byline">
    <w:name w:val="Byline"/>
    <w:rsid w:val="00F713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330"/>
    <w:pPr>
      <w:tabs>
        <w:tab w:val="clear" w:pos="3600"/>
        <w:tab w:val="clear" w:pos="3958"/>
      </w:tabs>
      <w:jc w:val="right"/>
    </w:pPr>
  </w:style>
  <w:style w:type="character" w:styleId="Emphasis">
    <w:name w:val="Emphasis"/>
    <w:basedOn w:val="DefaultParagraphFont"/>
    <w:qFormat/>
    <w:rsid w:val="00F71330"/>
    <w:rPr>
      <w:i/>
    </w:rPr>
  </w:style>
  <w:style w:type="paragraph" w:styleId="Caption">
    <w:name w:val="caption"/>
    <w:basedOn w:val="BodyText"/>
    <w:next w:val="Normal"/>
    <w:qFormat/>
    <w:rsid w:val="00F71330"/>
    <w:pPr>
      <w:framePr w:w="2268" w:hSpace="181" w:vSpace="181" w:wrap="around" w:vAnchor="text" w:hAnchor="page" w:x="1135" w:y="285" w:anchorLock="1"/>
    </w:pPr>
    <w:rPr>
      <w:i/>
    </w:rPr>
  </w:style>
  <w:style w:type="paragraph" w:customStyle="1" w:styleId="MiniTOCTitle">
    <w:name w:val="MiniTOCTitle"/>
    <w:basedOn w:val="Heading4"/>
    <w:rsid w:val="00F71330"/>
    <w:pPr>
      <w:spacing w:before="240"/>
      <w:outlineLvl w:val="9"/>
    </w:pPr>
    <w:rPr>
      <w:noProof/>
      <w:sz w:val="24"/>
    </w:rPr>
  </w:style>
  <w:style w:type="paragraph" w:customStyle="1" w:styleId="MiniTOCItem">
    <w:name w:val="MiniTOCItem"/>
    <w:basedOn w:val="ListBullet"/>
    <w:rsid w:val="00F71330"/>
    <w:pPr>
      <w:numPr>
        <w:numId w:val="0"/>
      </w:numPr>
      <w:tabs>
        <w:tab w:val="right" w:leader="dot" w:pos="6521"/>
      </w:tabs>
      <w:spacing w:before="0" w:after="0"/>
    </w:pPr>
  </w:style>
  <w:style w:type="paragraph" w:customStyle="1" w:styleId="TOFTitle">
    <w:name w:val="TOFTitle"/>
    <w:basedOn w:val="TOCTitle"/>
    <w:rsid w:val="00F71330"/>
  </w:style>
  <w:style w:type="paragraph" w:styleId="TableofFigures">
    <w:name w:val="table of figures"/>
    <w:basedOn w:val="Normal"/>
    <w:next w:val="Normal"/>
    <w:semiHidden/>
    <w:rsid w:val="00F71330"/>
    <w:pPr>
      <w:tabs>
        <w:tab w:val="right" w:leader="dot" w:pos="9072"/>
      </w:tabs>
      <w:ind w:left="970" w:hanging="403"/>
    </w:pPr>
    <w:rPr>
      <w:rFonts w:ascii="Times New Roman" w:hAnsi="Times New Roman"/>
      <w:b/>
    </w:rPr>
  </w:style>
  <w:style w:type="paragraph" w:styleId="ListNumber">
    <w:name w:val="List Number"/>
    <w:basedOn w:val="List"/>
    <w:rsid w:val="00F71330"/>
    <w:pPr>
      <w:numPr>
        <w:numId w:val="11"/>
      </w:numPr>
    </w:pPr>
  </w:style>
  <w:style w:type="character" w:customStyle="1" w:styleId="WingdingSymbols">
    <w:name w:val="Wingding Symbols"/>
    <w:rsid w:val="00F71330"/>
    <w:rPr>
      <w:rFonts w:ascii="Wingdings" w:hAnsi="Wingdings"/>
    </w:rPr>
  </w:style>
  <w:style w:type="paragraph" w:customStyle="1" w:styleId="TableHeading">
    <w:name w:val="Table Heading"/>
    <w:basedOn w:val="HeadingBase"/>
    <w:rsid w:val="00F71330"/>
    <w:pPr>
      <w:keepLines/>
      <w:pBdr>
        <w:bottom w:val="single" w:sz="6" w:space="1" w:color="918585"/>
      </w:pBdr>
      <w:spacing w:before="240"/>
    </w:pPr>
  </w:style>
  <w:style w:type="character" w:customStyle="1" w:styleId="HotSpot">
    <w:name w:val="HotSpot"/>
    <w:rsid w:val="00F71330"/>
    <w:rPr>
      <w:color w:val="0033CC"/>
      <w:u w:val="none"/>
    </w:rPr>
  </w:style>
  <w:style w:type="paragraph" w:customStyle="1" w:styleId="BodyTextRight">
    <w:name w:val="Body Text Right"/>
    <w:basedOn w:val="BodyText"/>
    <w:rsid w:val="00F71330"/>
    <w:pPr>
      <w:spacing w:before="0" w:after="0"/>
      <w:jc w:val="right"/>
    </w:pPr>
  </w:style>
  <w:style w:type="paragraph" w:styleId="Index3">
    <w:name w:val="index 3"/>
    <w:basedOn w:val="ListNumber2"/>
    <w:next w:val="Normal"/>
    <w:semiHidden/>
    <w:rsid w:val="00F71330"/>
    <w:pPr>
      <w:numPr>
        <w:numId w:val="0"/>
      </w:numPr>
      <w:tabs>
        <w:tab w:val="right" w:leader="dot" w:pos="4176"/>
      </w:tabs>
    </w:pPr>
  </w:style>
  <w:style w:type="paragraph" w:styleId="ListNumber2">
    <w:name w:val="List Number 2"/>
    <w:basedOn w:val="List2"/>
    <w:rsid w:val="00F71330"/>
    <w:pPr>
      <w:numPr>
        <w:numId w:val="10"/>
      </w:numPr>
      <w:tabs>
        <w:tab w:val="clear" w:pos="1060"/>
      </w:tabs>
    </w:pPr>
  </w:style>
  <w:style w:type="paragraph" w:customStyle="1" w:styleId="MarginNote">
    <w:name w:val="Margin Note"/>
    <w:basedOn w:val="BodyText"/>
    <w:rsid w:val="00F713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3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3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1330"/>
    <w:rPr>
      <w:sz w:val="32"/>
    </w:rPr>
  </w:style>
  <w:style w:type="paragraph" w:customStyle="1" w:styleId="HeadingProcedure">
    <w:name w:val="Heading Procedure"/>
    <w:basedOn w:val="HeadingBase"/>
    <w:next w:val="Normal"/>
    <w:rsid w:val="00F71330"/>
    <w:pPr>
      <w:tabs>
        <w:tab w:val="left" w:pos="0"/>
      </w:tabs>
      <w:spacing w:before="120" w:after="60"/>
    </w:pPr>
    <w:rPr>
      <w:i/>
      <w:color w:val="918585"/>
      <w:sz w:val="22"/>
    </w:rPr>
  </w:style>
  <w:style w:type="paragraph" w:customStyle="1" w:styleId="TableBodyText">
    <w:name w:val="Table Body Text"/>
    <w:basedOn w:val="BodyText"/>
    <w:rsid w:val="00F71330"/>
    <w:pPr>
      <w:spacing w:before="60" w:after="60"/>
    </w:pPr>
  </w:style>
  <w:style w:type="paragraph" w:styleId="ListContinue">
    <w:name w:val="List Continue"/>
    <w:basedOn w:val="List"/>
    <w:rsid w:val="00F71330"/>
    <w:pPr>
      <w:ind w:firstLine="0"/>
    </w:pPr>
  </w:style>
  <w:style w:type="paragraph" w:customStyle="1" w:styleId="ListNote">
    <w:name w:val="List Note"/>
    <w:basedOn w:val="List"/>
    <w:rsid w:val="00F71330"/>
    <w:pPr>
      <w:pBdr>
        <w:top w:val="single" w:sz="6" w:space="2" w:color="918585"/>
        <w:bottom w:val="single" w:sz="6" w:space="2" w:color="918585"/>
      </w:pBdr>
      <w:tabs>
        <w:tab w:val="left" w:pos="1021"/>
      </w:tabs>
      <w:ind w:firstLine="0"/>
    </w:pPr>
  </w:style>
  <w:style w:type="paragraph" w:customStyle="1" w:styleId="Warning">
    <w:name w:val="Warning"/>
    <w:basedOn w:val="BodyText"/>
    <w:rsid w:val="00F71330"/>
    <w:pPr>
      <w:shd w:val="clear" w:color="auto" w:fill="D9D9D9"/>
      <w:tabs>
        <w:tab w:val="left" w:pos="992"/>
      </w:tabs>
      <w:ind w:left="119" w:right="119"/>
    </w:pPr>
    <w:rPr>
      <w:sz w:val="20"/>
    </w:rPr>
  </w:style>
  <w:style w:type="paragraph" w:customStyle="1" w:styleId="MarginIcons">
    <w:name w:val="Margin Icons"/>
    <w:basedOn w:val="BodyText"/>
    <w:rsid w:val="00F713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330"/>
    <w:rPr>
      <w:rFonts w:ascii="Courier New" w:hAnsi="Courier New"/>
    </w:rPr>
  </w:style>
  <w:style w:type="paragraph" w:customStyle="1" w:styleId="NoteBullet">
    <w:name w:val="Note Bullet"/>
    <w:basedOn w:val="Note"/>
    <w:rsid w:val="00F71330"/>
    <w:pPr>
      <w:tabs>
        <w:tab w:val="clear" w:pos="680"/>
      </w:tabs>
      <w:spacing w:before="60" w:after="60"/>
    </w:pPr>
  </w:style>
  <w:style w:type="paragraph" w:customStyle="1" w:styleId="SubHeading2">
    <w:name w:val="SubHeading2"/>
    <w:basedOn w:val="HeadingBase"/>
    <w:rsid w:val="00F71330"/>
    <w:pPr>
      <w:spacing w:before="240" w:after="60"/>
    </w:pPr>
    <w:rPr>
      <w:sz w:val="20"/>
    </w:rPr>
  </w:style>
  <w:style w:type="paragraph" w:customStyle="1" w:styleId="SubHeading1">
    <w:name w:val="SubHeading1"/>
    <w:basedOn w:val="HeadingBase"/>
    <w:rsid w:val="00F71330"/>
    <w:pPr>
      <w:spacing w:before="240" w:after="60"/>
    </w:pPr>
    <w:rPr>
      <w:color w:val="918585"/>
      <w:sz w:val="22"/>
    </w:rPr>
  </w:style>
  <w:style w:type="paragraph" w:customStyle="1" w:styleId="SideHeading">
    <w:name w:val="Side Heading"/>
    <w:basedOn w:val="HeadingBase"/>
    <w:rsid w:val="00F713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330"/>
    <w:pPr>
      <w:numPr>
        <w:numId w:val="12"/>
      </w:numPr>
    </w:pPr>
  </w:style>
  <w:style w:type="paragraph" w:styleId="PlainText">
    <w:name w:val="Plain Text"/>
    <w:basedOn w:val="Normal"/>
    <w:link w:val="PlainTextChar"/>
    <w:rsid w:val="00F71330"/>
    <w:rPr>
      <w:sz w:val="20"/>
    </w:rPr>
  </w:style>
  <w:style w:type="character" w:customStyle="1" w:styleId="PlainTextChar">
    <w:name w:val="Plain Text Char"/>
    <w:basedOn w:val="DefaultParagraphFont"/>
    <w:link w:val="PlainText"/>
    <w:rsid w:val="00F713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1330"/>
    <w:rPr>
      <w:b/>
      <w:smallCaps/>
    </w:rPr>
  </w:style>
  <w:style w:type="paragraph" w:customStyle="1" w:styleId="TableListNumber">
    <w:name w:val="Table List Number"/>
    <w:basedOn w:val="ListNumber"/>
    <w:rsid w:val="00F71330"/>
    <w:pPr>
      <w:numPr>
        <w:numId w:val="0"/>
      </w:numPr>
    </w:pPr>
  </w:style>
  <w:style w:type="paragraph" w:styleId="TOC4">
    <w:name w:val="toc 4"/>
    <w:basedOn w:val="TOCBase"/>
    <w:next w:val="Normal"/>
    <w:semiHidden/>
    <w:rsid w:val="00F71330"/>
    <w:pPr>
      <w:tabs>
        <w:tab w:val="right" w:leader="dot" w:pos="9071"/>
      </w:tabs>
      <w:ind w:left="1701"/>
    </w:pPr>
  </w:style>
  <w:style w:type="paragraph" w:customStyle="1" w:styleId="ListAlpha">
    <w:name w:val="List Alpha"/>
    <w:basedOn w:val="List"/>
    <w:rsid w:val="00F71330"/>
    <w:pPr>
      <w:numPr>
        <w:numId w:val="9"/>
      </w:numPr>
    </w:pPr>
  </w:style>
  <w:style w:type="paragraph" w:customStyle="1" w:styleId="ListAlpha2">
    <w:name w:val="List Alpha 2"/>
    <w:basedOn w:val="List2"/>
    <w:rsid w:val="00F71330"/>
    <w:pPr>
      <w:numPr>
        <w:numId w:val="8"/>
      </w:numPr>
    </w:pPr>
  </w:style>
  <w:style w:type="paragraph" w:styleId="List2">
    <w:name w:val="List 2"/>
    <w:basedOn w:val="BodyText"/>
    <w:rsid w:val="00F71330"/>
    <w:pPr>
      <w:tabs>
        <w:tab w:val="left" w:pos="680"/>
      </w:tabs>
      <w:spacing w:before="60" w:after="60"/>
      <w:ind w:left="680" w:hanging="340"/>
    </w:pPr>
  </w:style>
  <w:style w:type="paragraph" w:styleId="List3">
    <w:name w:val="List 3"/>
    <w:basedOn w:val="BodyText"/>
    <w:rsid w:val="00F71330"/>
    <w:pPr>
      <w:tabs>
        <w:tab w:val="left" w:pos="1021"/>
      </w:tabs>
      <w:spacing w:before="60" w:after="60"/>
      <w:ind w:left="1020" w:hanging="340"/>
    </w:pPr>
  </w:style>
  <w:style w:type="paragraph" w:styleId="List4">
    <w:name w:val="List 4"/>
    <w:basedOn w:val="BodyText"/>
    <w:rsid w:val="00F71330"/>
    <w:pPr>
      <w:tabs>
        <w:tab w:val="left" w:pos="1361"/>
      </w:tabs>
      <w:spacing w:before="60" w:after="60"/>
      <w:ind w:left="1361" w:hanging="340"/>
    </w:pPr>
  </w:style>
  <w:style w:type="paragraph" w:styleId="List5">
    <w:name w:val="List 5"/>
    <w:basedOn w:val="BodyText"/>
    <w:rsid w:val="00F71330"/>
    <w:pPr>
      <w:tabs>
        <w:tab w:val="left" w:pos="1701"/>
      </w:tabs>
      <w:spacing w:before="60" w:after="60"/>
      <w:ind w:left="1701" w:hanging="340"/>
    </w:pPr>
  </w:style>
  <w:style w:type="paragraph" w:styleId="ListBullet3">
    <w:name w:val="List Bullet 3"/>
    <w:basedOn w:val="List3"/>
    <w:rsid w:val="00F71330"/>
    <w:pPr>
      <w:numPr>
        <w:numId w:val="15"/>
      </w:numPr>
      <w:tabs>
        <w:tab w:val="clear" w:pos="1021"/>
      </w:tabs>
      <w:ind w:left="1037" w:hanging="357"/>
    </w:pPr>
  </w:style>
  <w:style w:type="paragraph" w:styleId="ListBullet4">
    <w:name w:val="List Bullet 4"/>
    <w:basedOn w:val="List4"/>
    <w:rsid w:val="00F71330"/>
    <w:pPr>
      <w:numPr>
        <w:numId w:val="3"/>
      </w:numPr>
    </w:pPr>
  </w:style>
  <w:style w:type="paragraph" w:styleId="ListBullet5">
    <w:name w:val="List Bullet 5"/>
    <w:basedOn w:val="List5"/>
    <w:rsid w:val="00F71330"/>
    <w:pPr>
      <w:numPr>
        <w:numId w:val="4"/>
      </w:numPr>
    </w:pPr>
  </w:style>
  <w:style w:type="paragraph" w:styleId="ListContinue2">
    <w:name w:val="List Continue 2"/>
    <w:basedOn w:val="List2"/>
    <w:rsid w:val="00F71330"/>
    <w:pPr>
      <w:ind w:firstLine="0"/>
    </w:pPr>
  </w:style>
  <w:style w:type="paragraph" w:styleId="ListContinue3">
    <w:name w:val="List Continue 3"/>
    <w:basedOn w:val="List3"/>
    <w:rsid w:val="00F71330"/>
    <w:pPr>
      <w:ind w:left="1021" w:firstLine="0"/>
    </w:pPr>
  </w:style>
  <w:style w:type="paragraph" w:styleId="ListContinue4">
    <w:name w:val="List Continue 4"/>
    <w:basedOn w:val="List4"/>
    <w:rsid w:val="00F71330"/>
    <w:pPr>
      <w:ind w:firstLine="0"/>
    </w:pPr>
  </w:style>
  <w:style w:type="paragraph" w:styleId="ListContinue5">
    <w:name w:val="List Continue 5"/>
    <w:basedOn w:val="List5"/>
    <w:rsid w:val="00F71330"/>
    <w:pPr>
      <w:ind w:firstLine="0"/>
    </w:pPr>
  </w:style>
  <w:style w:type="paragraph" w:styleId="ListNumber3">
    <w:name w:val="List Number 3"/>
    <w:basedOn w:val="List3"/>
    <w:rsid w:val="00F71330"/>
    <w:pPr>
      <w:numPr>
        <w:numId w:val="5"/>
      </w:numPr>
    </w:pPr>
  </w:style>
  <w:style w:type="paragraph" w:styleId="ListNumber4">
    <w:name w:val="List Number 4"/>
    <w:basedOn w:val="List4"/>
    <w:rsid w:val="00F71330"/>
    <w:pPr>
      <w:numPr>
        <w:numId w:val="6"/>
      </w:numPr>
    </w:pPr>
  </w:style>
  <w:style w:type="paragraph" w:styleId="ListNumber5">
    <w:name w:val="List Number 5"/>
    <w:basedOn w:val="List5"/>
    <w:rsid w:val="00F71330"/>
    <w:pPr>
      <w:numPr>
        <w:numId w:val="7"/>
      </w:numPr>
    </w:pPr>
  </w:style>
  <w:style w:type="paragraph" w:styleId="BlockText">
    <w:name w:val="Block Text"/>
    <w:basedOn w:val="Normal"/>
    <w:rsid w:val="00F71330"/>
    <w:pPr>
      <w:spacing w:after="120"/>
      <w:ind w:left="1440" w:right="1440"/>
    </w:pPr>
  </w:style>
  <w:style w:type="character" w:customStyle="1" w:styleId="Subscript">
    <w:name w:val="Subscript"/>
    <w:basedOn w:val="DefaultParagraphFont"/>
    <w:rsid w:val="00F71330"/>
    <w:rPr>
      <w:sz w:val="16"/>
      <w:vertAlign w:val="subscript"/>
    </w:rPr>
  </w:style>
  <w:style w:type="character" w:customStyle="1" w:styleId="Superscript">
    <w:name w:val="Superscript"/>
    <w:basedOn w:val="DefaultParagraphFont"/>
    <w:rsid w:val="00F71330"/>
    <w:rPr>
      <w:sz w:val="16"/>
      <w:vertAlign w:val="superscript"/>
    </w:rPr>
  </w:style>
  <w:style w:type="character" w:customStyle="1" w:styleId="Symbols">
    <w:name w:val="Symbols"/>
    <w:basedOn w:val="DefaultParagraphFont"/>
    <w:rsid w:val="00F71330"/>
    <w:rPr>
      <w:rFonts w:ascii="Symbol" w:hAnsi="Symbol"/>
    </w:rPr>
  </w:style>
  <w:style w:type="character" w:customStyle="1" w:styleId="MenuOptions">
    <w:name w:val="Menu Options"/>
    <w:basedOn w:val="DefaultParagraphFont"/>
    <w:rsid w:val="00F71330"/>
    <w:rPr>
      <w:rFonts w:ascii="Arial Narrow" w:hAnsi="Arial Narrow"/>
      <w:smallCaps/>
    </w:rPr>
  </w:style>
  <w:style w:type="character" w:customStyle="1" w:styleId="Buttons">
    <w:name w:val="Buttons"/>
    <w:basedOn w:val="DefaultParagraphFont"/>
    <w:rsid w:val="00F71330"/>
    <w:rPr>
      <w:b/>
    </w:rPr>
  </w:style>
  <w:style w:type="character" w:customStyle="1" w:styleId="Underlined">
    <w:name w:val="Underlined"/>
    <w:basedOn w:val="DefaultParagraphFont"/>
    <w:rsid w:val="00F71330"/>
    <w:rPr>
      <w:u w:val="single"/>
    </w:rPr>
  </w:style>
  <w:style w:type="paragraph" w:customStyle="1" w:styleId="TableBodyTextRight">
    <w:name w:val="Table Body Text Right"/>
    <w:basedOn w:val="TableBodyText"/>
    <w:rsid w:val="00F71330"/>
    <w:pPr>
      <w:widowControl w:val="0"/>
      <w:autoSpaceDE w:val="0"/>
      <w:autoSpaceDN w:val="0"/>
      <w:adjustRightInd w:val="0"/>
      <w:jc w:val="right"/>
    </w:pPr>
    <w:rPr>
      <w:rFonts w:cs="Arial"/>
      <w:szCs w:val="18"/>
    </w:rPr>
  </w:style>
  <w:style w:type="paragraph" w:customStyle="1" w:styleId="CopyrightText">
    <w:name w:val="Copyright Text"/>
    <w:basedOn w:val="BodyText"/>
    <w:rsid w:val="00F71330"/>
    <w:rPr>
      <w:sz w:val="18"/>
    </w:rPr>
  </w:style>
  <w:style w:type="paragraph" w:customStyle="1" w:styleId="BodySmallRight">
    <w:name w:val="Body Small Right"/>
    <w:basedOn w:val="BodyTextRight"/>
    <w:rsid w:val="00F71330"/>
    <w:rPr>
      <w:sz w:val="18"/>
      <w:szCs w:val="18"/>
    </w:rPr>
  </w:style>
  <w:style w:type="paragraph" w:customStyle="1" w:styleId="MarginEdition">
    <w:name w:val="Margin Edition"/>
    <w:basedOn w:val="MarginNote"/>
    <w:rsid w:val="00F71330"/>
    <w:pPr>
      <w:spacing w:before="0" w:after="0"/>
    </w:pPr>
    <w:rPr>
      <w:rFonts w:ascii="Times New Roman" w:hAnsi="Times New Roman"/>
      <w:color w:val="999999"/>
    </w:rPr>
  </w:style>
  <w:style w:type="paragraph" w:customStyle="1" w:styleId="Spacer">
    <w:name w:val="Spacer"/>
    <w:basedOn w:val="Normal"/>
    <w:rsid w:val="00F71330"/>
    <w:rPr>
      <w:sz w:val="2"/>
      <w:szCs w:val="2"/>
    </w:rPr>
  </w:style>
  <w:style w:type="character" w:customStyle="1" w:styleId="Small">
    <w:name w:val="Small"/>
    <w:basedOn w:val="DefaultParagraphFont"/>
    <w:rsid w:val="00F71330"/>
    <w:rPr>
      <w:sz w:val="16"/>
    </w:rPr>
  </w:style>
  <w:style w:type="paragraph" w:customStyle="1" w:styleId="WideTable">
    <w:name w:val="Wide Table"/>
    <w:basedOn w:val="Normal"/>
    <w:rsid w:val="00F71330"/>
    <w:pPr>
      <w:ind w:left="-1418"/>
    </w:pPr>
    <w:rPr>
      <w:sz w:val="2"/>
      <w:szCs w:val="2"/>
    </w:rPr>
  </w:style>
  <w:style w:type="character" w:styleId="PageNumber">
    <w:name w:val="page number"/>
    <w:basedOn w:val="DefaultParagraphFont"/>
    <w:rsid w:val="00F71330"/>
  </w:style>
  <w:style w:type="paragraph" w:styleId="Quote">
    <w:name w:val="Quote"/>
    <w:basedOn w:val="Heading1"/>
    <w:link w:val="QuoteChar"/>
    <w:qFormat/>
    <w:rsid w:val="00F71330"/>
    <w:rPr>
      <w:b w:val="0"/>
      <w:sz w:val="72"/>
      <w:szCs w:val="72"/>
      <w:lang w:val="en-NZ"/>
    </w:rPr>
  </w:style>
  <w:style w:type="character" w:customStyle="1" w:styleId="QuoteChar">
    <w:name w:val="Quote Char"/>
    <w:basedOn w:val="DefaultParagraphFont"/>
    <w:link w:val="Quote"/>
    <w:rsid w:val="00F713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330"/>
    <w:pPr>
      <w:pageBreakBefore/>
    </w:pPr>
  </w:style>
  <w:style w:type="paragraph" w:customStyle="1" w:styleId="Border">
    <w:name w:val="Border"/>
    <w:basedOn w:val="Normal"/>
    <w:qFormat/>
    <w:rsid w:val="00F713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330"/>
    <w:rPr>
      <w:b/>
      <w:bCs/>
      <w:i/>
      <w:iCs/>
      <w:color w:val="auto"/>
    </w:rPr>
  </w:style>
  <w:style w:type="paragraph" w:styleId="IntenseQuote">
    <w:name w:val="Intense Quote"/>
    <w:basedOn w:val="Normal"/>
    <w:next w:val="Normal"/>
    <w:link w:val="IntenseQuoteChar"/>
    <w:uiPriority w:val="30"/>
    <w:qFormat/>
    <w:rsid w:val="00F713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3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1330"/>
    <w:rPr>
      <w:smallCaps/>
      <w:color w:val="auto"/>
      <w:u w:val="single"/>
    </w:rPr>
  </w:style>
  <w:style w:type="character" w:styleId="IntenseReference">
    <w:name w:val="Intense Reference"/>
    <w:basedOn w:val="DefaultParagraphFont"/>
    <w:uiPriority w:val="32"/>
    <w:qFormat/>
    <w:rsid w:val="00F71330"/>
    <w:rPr>
      <w:b/>
      <w:bCs/>
      <w:smallCaps/>
      <w:color w:val="auto"/>
      <w:spacing w:val="5"/>
      <w:u w:val="single"/>
    </w:rPr>
  </w:style>
  <w:style w:type="paragraph" w:customStyle="1" w:styleId="2ColumnHeading">
    <w:name w:val="2Column Heading"/>
    <w:basedOn w:val="BodyText"/>
    <w:qFormat/>
    <w:rsid w:val="00F71330"/>
    <w:pPr>
      <w:spacing w:after="60"/>
      <w:ind w:left="-2268"/>
    </w:pPr>
    <w:rPr>
      <w:b/>
    </w:rPr>
  </w:style>
  <w:style w:type="paragraph" w:customStyle="1" w:styleId="Heading1TOC">
    <w:name w:val="Heading1 TOC"/>
    <w:basedOn w:val="Normal"/>
    <w:qFormat/>
    <w:rsid w:val="00F71330"/>
    <w:pPr>
      <w:spacing w:before="240" w:after="120"/>
    </w:pPr>
    <w:rPr>
      <w:rFonts w:ascii="Times New Roman" w:hAnsi="Times New Roman"/>
      <w:b/>
      <w:sz w:val="32"/>
    </w:rPr>
  </w:style>
  <w:style w:type="paragraph" w:customStyle="1" w:styleId="Heading2TOC">
    <w:name w:val="Heading2 TOC"/>
    <w:basedOn w:val="Normal"/>
    <w:qFormat/>
    <w:rsid w:val="00F71330"/>
    <w:pPr>
      <w:spacing w:before="240" w:after="60"/>
    </w:pPr>
    <w:rPr>
      <w:rFonts w:ascii="Times New Roman" w:hAnsi="Times New Roman"/>
      <w:b/>
      <w:sz w:val="28"/>
    </w:rPr>
  </w:style>
  <w:style w:type="character" w:customStyle="1" w:styleId="Underline">
    <w:name w:val="Underline"/>
    <w:basedOn w:val="DefaultParagraphFont"/>
    <w:qFormat/>
    <w:rsid w:val="00F71330"/>
    <w:rPr>
      <w:u w:val="single"/>
    </w:rPr>
  </w:style>
  <w:style w:type="paragraph" w:styleId="BalloonText">
    <w:name w:val="Balloon Text"/>
    <w:basedOn w:val="Normal"/>
    <w:link w:val="BalloonTextChar"/>
    <w:rsid w:val="00F71330"/>
    <w:rPr>
      <w:rFonts w:ascii="Tahoma" w:hAnsi="Tahoma" w:cs="Tahoma"/>
      <w:sz w:val="16"/>
      <w:szCs w:val="16"/>
    </w:rPr>
  </w:style>
  <w:style w:type="character" w:customStyle="1" w:styleId="BalloonTextChar">
    <w:name w:val="Balloon Text Char"/>
    <w:basedOn w:val="DefaultParagraphFont"/>
    <w:link w:val="BalloonText"/>
    <w:rsid w:val="00F713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13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13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1533</Words>
  <Characters>10293</Characters>
  <Application>Microsoft Office Word</Application>
  <DocSecurity>0</DocSecurity>
  <Lines>331</Lines>
  <Paragraphs>192</Paragraphs>
  <ScaleCrop>false</ScaleCrop>
  <Company>Author-it Software Corporation Ltd.</Company>
  <LinksUpToDate>false</LinksUpToDate>
  <CharactersWithSpaces>11772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CPPSEC3019A Operate specialised security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2012-05-26T06:22:00Z</dcterms:created>
  <dcterms:modified xsi:type="dcterms:W3CDTF">2012-05-26T06:22:00Z</dcterms:modified>
</cp:coreProperties>
</file>