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53F" w:rsidP="0001453F">
      <w:pPr>
        <w:pStyle w:val="Title"/>
      </w:pPr>
      <w:r>
        <w:fldChar w:fldCharType="begin"/>
      </w:r>
      <w:r>
        <w:instrText xml:space="preserve"> TITLE   \* MERGEFORMAT </w:instrText>
      </w:r>
      <w:r>
        <w:fldChar w:fldCharType="separate"/>
      </w:r>
      <w:r>
        <w:t>CPPSEC3009A Prepare and present evidence in court</w:t>
      </w:r>
      <w:r>
        <w:fldChar w:fldCharType="end"/>
      </w:r>
    </w:p>
    <w:p w:rsidR="0001453F" w:rsidP="0001453F">
      <w:pPr>
        <w:pStyle w:val="Version"/>
        <w:sectPr w:rsidSect="002A6A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6A0A" w:rsidP="002A6A0A">
      <w:pPr>
        <w:pStyle w:val="SuperHeading"/>
      </w:pPr>
      <w:r w:rsidRPr="002A6A0A">
        <w:t>CPPSEC3009A Prepare and present evidence in court</w:t>
      </w:r>
    </w:p>
    <w:p w:rsidR="00000000" w:rsidRPr="002A6A0A" w:rsidP="002A6A0A">
      <w:pPr>
        <w:pStyle w:val="Heading1"/>
      </w:pPr>
      <w:bookmarkStart w:id="1" w:name="O_270207"/>
      <w:bookmarkEnd w:id="1"/>
      <w:r w:rsidRPr="002A6A0A">
        <w:t>Modification History</w:t>
      </w:r>
    </w:p>
    <w:p w:rsidR="00000000" w:rsidRPr="002A6A0A" w:rsidP="002A6A0A">
      <w:pPr>
        <w:pStyle w:val="BodyText"/>
      </w:pPr>
      <w:r w:rsidRPr="002A6A0A">
        <w:t>Not Applicable</w:t>
      </w:r>
    </w:p>
    <w:p w:rsidR="00000000" w:rsidRPr="002A6A0A" w:rsidP="002A6A0A">
      <w:pPr>
        <w:pStyle w:val="AllowPageBreak"/>
      </w:pPr>
    </w:p>
    <w:p w:rsidR="00000000" w:rsidRPr="002A6A0A" w:rsidP="002A6A0A">
      <w:pPr>
        <w:pStyle w:val="Heading1"/>
      </w:pPr>
      <w:bookmarkStart w:id="2" w:name="O_201830"/>
      <w:bookmarkEnd w:id="2"/>
      <w:r w:rsidRPr="002A6A0A">
        <w:t>Unit Descriptor</w:t>
      </w:r>
    </w:p>
    <w:tbl>
      <w:tblPr>
        <w:tblW w:w="0" w:type="auto"/>
        <w:tblLayout w:type="fixed"/>
        <w:tblCellMar>
          <w:left w:w="62" w:type="dxa"/>
          <w:right w:w="62" w:type="dxa"/>
        </w:tblCellMar>
        <w:tblLook w:val="0000"/>
      </w:tblPr>
      <w:tblGrid>
        <w:gridCol w:w="2391"/>
        <w:gridCol w:w="6131"/>
      </w:tblGrid>
      <w:tr w:rsidTr="0001453F">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2A6A0A" w:rsidP="002A6A0A">
            <w:pPr>
              <w:pStyle w:val="BodyText"/>
            </w:pPr>
            <w:r w:rsidRPr="002A6A0A">
              <w:t xml:space="preserve">This unit of competency specifies the outcomes required to prepare and present information which may </w:t>
            </w:r>
            <w:r w:rsidRPr="002A6A0A">
              <w:t xml:space="preserve">be used in a judicial or quasi-judicial environment as evidence.  It requires the ability to gather and manage information, prepare and give evidence in court, store evidence and complete documentation.  </w:t>
            </w:r>
          </w:p>
          <w:p w:rsidR="00000000" w:rsidRPr="002A6A0A" w:rsidP="002A6A0A">
            <w:pPr>
              <w:pStyle w:val="BodyText"/>
            </w:pPr>
            <w:r w:rsidRPr="002A6A0A">
              <w:t>This unit may form part of the licensing requiremen</w:t>
            </w:r>
            <w:r w:rsidRPr="002A6A0A">
              <w:t>ts for persons engaging in security operations in those states and territories where these are regulated activities.</w:t>
            </w:r>
          </w:p>
        </w:tc>
      </w:tr>
    </w:tbl>
    <w:p w:rsidR="0001453F" w:rsidP="002A6A0A">
      <w:pPr>
        <w:pStyle w:val="BodyText"/>
      </w:pPr>
    </w:p>
    <w:p w:rsidR="0001453F" w:rsidP="002A6A0A">
      <w:pPr>
        <w:pStyle w:val="BodyText"/>
      </w:pPr>
    </w:p>
    <w:p w:rsidR="00000000" w:rsidRPr="002A6A0A" w:rsidP="002A6A0A">
      <w:pPr>
        <w:pStyle w:val="Heading1"/>
      </w:pPr>
      <w:bookmarkStart w:id="3" w:name="O_201832"/>
      <w:bookmarkEnd w:id="3"/>
      <w:r w:rsidRPr="002A6A0A">
        <w:t>Application of the Unit</w:t>
      </w:r>
    </w:p>
    <w:tbl>
      <w:tblPr>
        <w:tblW w:w="0" w:type="auto"/>
        <w:tblLayout w:type="fixed"/>
        <w:tblCellMar>
          <w:left w:w="62" w:type="dxa"/>
          <w:right w:w="62" w:type="dxa"/>
        </w:tblCellMar>
        <w:tblLook w:val="0000"/>
      </w:tblPr>
      <w:tblGrid>
        <w:gridCol w:w="2391"/>
        <w:gridCol w:w="6131"/>
      </w:tblGrid>
      <w:tr w:rsidTr="0001453F">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2A6A0A" w:rsidP="002A6A0A">
            <w:pPr>
              <w:pStyle w:val="BodyText"/>
            </w:pPr>
            <w:r w:rsidRPr="002A6A0A">
              <w:t>This unit of competency has wide application in the security industry in those roles involving operational activities. Competency requires legal and operational knowledge applicable to relevant sectors of the security industry. The knowledge and skills des</w:t>
            </w:r>
            <w:r w:rsidRPr="002A6A0A">
              <w:t>cribed in this unit are to be applied within relevant legislative and organisational guidelines.</w:t>
            </w:r>
          </w:p>
        </w:tc>
      </w:tr>
    </w:tbl>
    <w:p w:rsidR="0001453F" w:rsidP="002A6A0A">
      <w:pPr>
        <w:pStyle w:val="BodyText"/>
      </w:pPr>
    </w:p>
    <w:p w:rsidR="0001453F" w:rsidP="002A6A0A">
      <w:pPr>
        <w:pStyle w:val="BodyText"/>
      </w:pPr>
    </w:p>
    <w:p w:rsidR="00000000" w:rsidRPr="002A6A0A" w:rsidP="002A6A0A">
      <w:pPr>
        <w:pStyle w:val="Heading1"/>
      </w:pPr>
      <w:bookmarkStart w:id="4" w:name="O_278467"/>
      <w:bookmarkEnd w:id="4"/>
      <w:r w:rsidRPr="002A6A0A">
        <w:t>Licensing/Regulatory Information</w:t>
      </w:r>
    </w:p>
    <w:p w:rsidR="00000000" w:rsidRPr="002A6A0A" w:rsidP="002A6A0A">
      <w:pPr>
        <w:pStyle w:val="BodyText"/>
      </w:pPr>
      <w:r w:rsidRPr="002A6A0A">
        <w:t>Refer to Unit Descriptor</w:t>
      </w:r>
    </w:p>
    <w:p w:rsidR="00000000" w:rsidRPr="002A6A0A" w:rsidP="002A6A0A">
      <w:pPr>
        <w:pStyle w:val="AllowPageBreak"/>
      </w:pPr>
    </w:p>
    <w:p w:rsidR="00000000" w:rsidRPr="002A6A0A" w:rsidP="002A6A0A">
      <w:pPr>
        <w:pStyle w:val="Heading1"/>
      </w:pPr>
      <w:bookmarkStart w:id="5" w:name="O_283588"/>
      <w:bookmarkEnd w:id="5"/>
      <w:r w:rsidRPr="002A6A0A">
        <w:t>Pre-Requisites</w:t>
      </w:r>
    </w:p>
    <w:p w:rsidR="00000000" w:rsidRPr="002A6A0A" w:rsidP="002A6A0A">
      <w:pPr>
        <w:pStyle w:val="BodyText"/>
      </w:pPr>
      <w:r w:rsidRPr="002A6A0A">
        <w:t>Not Applicable</w:t>
      </w:r>
    </w:p>
    <w:p w:rsidR="00000000" w:rsidRPr="002A6A0A" w:rsidP="002A6A0A">
      <w:pPr>
        <w:pStyle w:val="AllowPageBreak"/>
      </w:pPr>
    </w:p>
    <w:p w:rsidR="00000000" w:rsidRPr="002A6A0A" w:rsidP="002A6A0A">
      <w:pPr>
        <w:pStyle w:val="Heading1"/>
      </w:pPr>
      <w:bookmarkStart w:id="6" w:name="O_201831"/>
      <w:bookmarkEnd w:id="6"/>
      <w:r w:rsidRPr="002A6A0A">
        <w:t>Employability Skills Information</w:t>
      </w:r>
    </w:p>
    <w:tbl>
      <w:tblPr>
        <w:tblW w:w="0" w:type="auto"/>
        <w:tblLayout w:type="fixed"/>
        <w:tblCellMar>
          <w:left w:w="62" w:type="dxa"/>
          <w:right w:w="62" w:type="dxa"/>
        </w:tblCellMar>
        <w:tblLook w:val="0000"/>
      </w:tblPr>
      <w:tblGrid>
        <w:gridCol w:w="2624"/>
        <w:gridCol w:w="5898"/>
      </w:tblGrid>
      <w:tr w:rsidTr="0001453F">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2A6A0A" w:rsidP="002A6A0A">
            <w:pPr>
              <w:pStyle w:val="BodyText"/>
            </w:pPr>
            <w:r w:rsidRPr="002A6A0A">
              <w:t>This unit contains employability skills.</w:t>
            </w:r>
          </w:p>
        </w:tc>
      </w:tr>
    </w:tbl>
    <w:p w:rsidR="0001453F" w:rsidP="002A6A0A">
      <w:pPr>
        <w:pStyle w:val="BodyText"/>
      </w:pPr>
    </w:p>
    <w:p w:rsidR="0001453F" w:rsidP="002A6A0A">
      <w:pPr>
        <w:pStyle w:val="BodyText"/>
      </w:pPr>
    </w:p>
    <w:p w:rsidR="00000000" w:rsidRPr="002A6A0A" w:rsidP="002A6A0A">
      <w:pPr>
        <w:pStyle w:val="Heading1"/>
      </w:pPr>
      <w:bookmarkStart w:id="7" w:name="O_288253"/>
      <w:bookmarkEnd w:id="7"/>
      <w:r w:rsidRPr="002A6A0A">
        <w:t>Elements and Performance Criteria Pre-Content</w:t>
      </w:r>
    </w:p>
    <w:tbl>
      <w:tblPr>
        <w:tblW w:w="0" w:type="auto"/>
        <w:tblLayout w:type="fixed"/>
        <w:tblCellMar>
          <w:left w:w="62" w:type="dxa"/>
          <w:right w:w="62" w:type="dxa"/>
        </w:tblCellMar>
        <w:tblLook w:val="0000"/>
      </w:tblPr>
      <w:tblGrid>
        <w:gridCol w:w="2412"/>
        <w:gridCol w:w="6110"/>
      </w:tblGrid>
      <w:tr w:rsidTr="0001453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2A6A0A" w:rsidP="002A6A0A">
            <w:pPr>
              <w:pStyle w:val="BodyText"/>
            </w:pPr>
            <w:r w:rsidRPr="002A6A0A">
              <w:t xml:space="preserve">Performance criteria describe the required performance needed to demonstrate achievement of the element. Where </w:t>
            </w:r>
            <w:r w:rsidRPr="002A6A0A">
              <w:rPr>
                <w:rStyle w:val="BoldandItalics"/>
              </w:rPr>
              <w:t>bold italicised</w:t>
            </w:r>
            <w:r w:rsidRPr="002A6A0A">
              <w:t xml:space="preserve"> text is used, further information is detailed in the required skills and knowledge section and/or the range statement. Assessment</w:t>
            </w:r>
            <w:r w:rsidRPr="002A6A0A">
              <w:t xml:space="preserve"> of performance is to be consistent with the evidence guide.</w:t>
            </w:r>
          </w:p>
        </w:tc>
      </w:tr>
    </w:tbl>
    <w:p w:rsidR="00000000" w:rsidRPr="002A6A0A" w:rsidP="002A6A0A">
      <w:pPr>
        <w:pStyle w:val="BodyText"/>
      </w:pPr>
    </w:p>
    <w:p w:rsidR="00000000" w:rsidRPr="002A6A0A" w:rsidP="002A6A0A">
      <w:pPr>
        <w:pStyle w:val="AllowPageBreak"/>
      </w:pPr>
    </w:p>
    <w:p w:rsidR="00000000" w:rsidRPr="002A6A0A" w:rsidP="002A6A0A">
      <w:pPr>
        <w:pStyle w:val="Heading1"/>
      </w:pPr>
      <w:bookmarkStart w:id="8" w:name="O_234920"/>
      <w:bookmarkEnd w:id="8"/>
      <w:r w:rsidRPr="002A6A0A">
        <w:t>Elements and Performance Criteria</w:t>
      </w:r>
    </w:p>
    <w:tbl>
      <w:tblPr>
        <w:tblW w:w="0" w:type="auto"/>
        <w:tblLayout w:type="fixed"/>
        <w:tblCellMar>
          <w:left w:w="62" w:type="dxa"/>
          <w:right w:w="62" w:type="dxa"/>
        </w:tblCellMar>
        <w:tblLook w:val="0000"/>
      </w:tblPr>
      <w:tblGrid>
        <w:gridCol w:w="2412"/>
        <w:gridCol w:w="6110"/>
      </w:tblGrid>
      <w:tr w:rsidTr="0001453F">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2A6A0A" w:rsidP="002A6A0A">
            <w:pPr>
              <w:pStyle w:val="List"/>
            </w:pPr>
            <w:r w:rsidRPr="002A6A0A">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2A6A0A">
            <w:pPr>
              <w:pStyle w:val="List"/>
              <w:rPr>
                <w:lang w:val="en-NZ"/>
              </w:rPr>
            </w:pPr>
            <w:r w:rsidRPr="002A6A0A">
              <w:rPr>
                <w:rStyle w:val="SpecialBold"/>
              </w:rPr>
              <w:t>PERFORMANCE CRITERIA</w:t>
            </w:r>
          </w:p>
        </w:tc>
      </w:tr>
      <w:tr w:rsidTr="0001453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A6A0A">
            <w:pPr>
              <w:pStyle w:val="List"/>
              <w:rPr>
                <w:lang w:val="en-NZ"/>
              </w:rPr>
            </w:pPr>
            <w:r w:rsidRPr="002A6A0A">
              <w:rPr>
                <w:rStyle w:val="SpecialBold"/>
              </w:rPr>
              <w:t>1</w:t>
            </w:r>
            <w:r w:rsidRPr="002A6A0A">
              <w:tab/>
            </w:r>
            <w:r w:rsidRPr="002A6A0A">
              <w:rPr>
                <w:rStyle w:val="SpecialBold"/>
              </w:rPr>
              <w:t>Gather and organise evidence</w:t>
            </w:r>
            <w:r w:rsidRPr="002A6A0A">
              <w:t>.</w:t>
            </w:r>
          </w:p>
        </w:tc>
        <w:tc>
          <w:tcPr>
            <w:tcW w:w="6110" w:type="dxa"/>
            <w:tcBorders>
              <w:top w:val="nil"/>
              <w:left w:val="nil"/>
              <w:bottom w:val="nil"/>
              <w:right w:val="nil"/>
            </w:tcBorders>
            <w:tcMar>
              <w:top w:w="0" w:type="dxa"/>
              <w:left w:w="62" w:type="dxa"/>
              <w:bottom w:w="0" w:type="dxa"/>
              <w:right w:w="62" w:type="dxa"/>
            </w:tcMar>
          </w:tcPr>
          <w:p w:rsidR="00000000" w:rsidRPr="002A6A0A" w:rsidP="002A6A0A">
            <w:pPr>
              <w:pStyle w:val="List"/>
            </w:pPr>
            <w:r w:rsidRPr="002A6A0A">
              <w:t>1.1</w:t>
            </w:r>
            <w:r w:rsidRPr="002A6A0A">
              <w:tab/>
              <w:t xml:space="preserve">Applicable provisions of </w:t>
            </w:r>
            <w:r w:rsidRPr="002A6A0A">
              <w:rPr>
                <w:rStyle w:val="BoldandItalics"/>
              </w:rPr>
              <w:t>legislative</w:t>
            </w:r>
            <w:r w:rsidRPr="002A6A0A">
              <w:t xml:space="preserve"> and </w:t>
            </w:r>
            <w:r w:rsidRPr="002A6A0A">
              <w:rPr>
                <w:rStyle w:val="BoldandItalics"/>
              </w:rPr>
              <w:t>organisational requirements</w:t>
            </w:r>
            <w:r w:rsidRPr="002A6A0A">
              <w:t xml:space="preserve"> relevant to the preparation and presentation of </w:t>
            </w:r>
            <w:r w:rsidRPr="002A6A0A">
              <w:rPr>
                <w:rStyle w:val="BoldandItalics"/>
              </w:rPr>
              <w:t>evidence</w:t>
            </w:r>
            <w:r w:rsidRPr="002A6A0A">
              <w:t xml:space="preserve"> are identified and complied with.</w:t>
            </w:r>
          </w:p>
          <w:p w:rsidR="00000000" w:rsidRPr="002A6A0A" w:rsidP="002A6A0A">
            <w:pPr>
              <w:pStyle w:val="List"/>
            </w:pPr>
            <w:r w:rsidRPr="002A6A0A">
              <w:t>1.2</w:t>
            </w:r>
            <w:r w:rsidRPr="002A6A0A">
              <w:tab/>
              <w:t xml:space="preserve">A summary of the case history and other </w:t>
            </w:r>
            <w:r w:rsidRPr="002A6A0A">
              <w:rPr>
                <w:rStyle w:val="BoldandItalics"/>
              </w:rPr>
              <w:t>relevant information</w:t>
            </w:r>
            <w:r w:rsidRPr="002A6A0A">
              <w:t xml:space="preserve"> is gathered and organised.</w:t>
            </w:r>
          </w:p>
          <w:p w:rsidR="00000000" w:rsidRPr="002A6A0A" w:rsidP="002A6A0A">
            <w:pPr>
              <w:pStyle w:val="List"/>
            </w:pPr>
            <w:r w:rsidRPr="002A6A0A">
              <w:t>1.3</w:t>
            </w:r>
            <w:r w:rsidRPr="002A6A0A">
              <w:tab/>
              <w:t xml:space="preserve">Information to be used as evidence is confirmed for reliability and </w:t>
            </w:r>
            <w:r w:rsidRPr="002A6A0A">
              <w:t xml:space="preserve">relevance in accordance with organisational procedures. </w:t>
            </w:r>
          </w:p>
          <w:p w:rsidR="00000000" w:rsidP="002A6A0A">
            <w:pPr>
              <w:pStyle w:val="List"/>
              <w:rPr>
                <w:lang w:val="en-NZ"/>
              </w:rPr>
            </w:pPr>
            <w:r w:rsidRPr="002A6A0A">
              <w:t>1.4</w:t>
            </w:r>
            <w:r w:rsidRPr="002A6A0A">
              <w:tab/>
              <w:t xml:space="preserve">Evidence is organised in accordance with </w:t>
            </w:r>
            <w:r w:rsidRPr="002A6A0A">
              <w:rPr>
                <w:rStyle w:val="BoldandItalics"/>
              </w:rPr>
              <w:t>evidence management</w:t>
            </w:r>
            <w:r w:rsidRPr="002A6A0A">
              <w:t xml:space="preserve"> principles.</w:t>
            </w:r>
          </w:p>
        </w:tc>
      </w:tr>
      <w:tr w:rsidTr="0001453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A6A0A">
            <w:pPr>
              <w:pStyle w:val="List"/>
              <w:rPr>
                <w:lang w:val="en-NZ"/>
              </w:rPr>
            </w:pPr>
            <w:r w:rsidRPr="002A6A0A">
              <w:rPr>
                <w:rStyle w:val="SpecialBold"/>
              </w:rPr>
              <w:t>2</w:t>
            </w:r>
            <w:r w:rsidRPr="002A6A0A">
              <w:tab/>
            </w:r>
            <w:r w:rsidRPr="002A6A0A">
              <w:rPr>
                <w:rStyle w:val="SpecialBold"/>
              </w:rPr>
              <w:t>Prepare for court proceedings</w:t>
            </w:r>
            <w:r w:rsidRPr="002A6A0A">
              <w:t>.</w:t>
            </w:r>
          </w:p>
        </w:tc>
        <w:tc>
          <w:tcPr>
            <w:tcW w:w="6110" w:type="dxa"/>
            <w:tcBorders>
              <w:top w:val="nil"/>
              <w:left w:val="nil"/>
              <w:bottom w:val="nil"/>
              <w:right w:val="nil"/>
            </w:tcBorders>
            <w:tcMar>
              <w:top w:w="0" w:type="dxa"/>
              <w:left w:w="62" w:type="dxa"/>
              <w:bottom w:w="0" w:type="dxa"/>
              <w:right w:w="62" w:type="dxa"/>
            </w:tcMar>
          </w:tcPr>
          <w:p w:rsidR="00000000" w:rsidRPr="002A6A0A" w:rsidP="002A6A0A">
            <w:pPr>
              <w:pStyle w:val="List"/>
            </w:pPr>
            <w:r w:rsidRPr="002A6A0A">
              <w:t>2.1</w:t>
            </w:r>
            <w:r w:rsidRPr="002A6A0A">
              <w:tab/>
              <w:t xml:space="preserve">Briefing sessions are held with relevant persons to confirm </w:t>
            </w:r>
            <w:r w:rsidRPr="002A6A0A">
              <w:rPr>
                <w:rStyle w:val="BoldandItalics"/>
              </w:rPr>
              <w:t>court arrangements</w:t>
            </w:r>
            <w:r w:rsidRPr="002A6A0A">
              <w:t>, role</w:t>
            </w:r>
            <w:r w:rsidRPr="002A6A0A">
              <w:t xml:space="preserve"> and involvement. </w:t>
            </w:r>
          </w:p>
          <w:p w:rsidR="00000000" w:rsidRPr="002A6A0A" w:rsidP="002A6A0A">
            <w:pPr>
              <w:pStyle w:val="List"/>
            </w:pPr>
            <w:r w:rsidRPr="002A6A0A">
              <w:t>2.2</w:t>
            </w:r>
            <w:r w:rsidRPr="002A6A0A">
              <w:tab/>
              <w:t xml:space="preserve">Information to be presented as evidence and negotiation parameters is discussed with </w:t>
            </w:r>
            <w:r w:rsidRPr="002A6A0A">
              <w:rPr>
                <w:rStyle w:val="BoldandItalics"/>
              </w:rPr>
              <w:t>relevant persons</w:t>
            </w:r>
            <w:r w:rsidRPr="002A6A0A">
              <w:t xml:space="preserve">. </w:t>
            </w:r>
          </w:p>
          <w:p w:rsidR="00000000" w:rsidRPr="002A6A0A" w:rsidP="002A6A0A">
            <w:pPr>
              <w:pStyle w:val="List"/>
            </w:pPr>
            <w:r w:rsidRPr="002A6A0A">
              <w:t>2.3</w:t>
            </w:r>
            <w:r w:rsidRPr="002A6A0A">
              <w:tab/>
              <w:t>Briefs of evidence are submitted in a logical sequence appropriate to jurisdictional requirements and comply with the relevan</w:t>
            </w:r>
            <w:r w:rsidRPr="002A6A0A">
              <w:t xml:space="preserve">t rules of evidence. </w:t>
            </w:r>
          </w:p>
          <w:p w:rsidR="00000000" w:rsidRPr="002A6A0A" w:rsidP="002A6A0A">
            <w:pPr>
              <w:pStyle w:val="List"/>
            </w:pPr>
            <w:r w:rsidRPr="002A6A0A">
              <w:t>2.4</w:t>
            </w:r>
            <w:r w:rsidRPr="002A6A0A">
              <w:tab/>
              <w:t>Material to be used or referred to in court proceedings is thoroughly reviewed prior to presentation in court to ensure familiarity, completeness and availability.</w:t>
            </w:r>
          </w:p>
          <w:p w:rsidR="00000000" w:rsidP="002A6A0A">
            <w:pPr>
              <w:pStyle w:val="List"/>
              <w:rPr>
                <w:lang w:val="en-NZ"/>
              </w:rPr>
            </w:pPr>
            <w:r w:rsidRPr="002A6A0A">
              <w:t>2.5</w:t>
            </w:r>
            <w:r w:rsidRPr="002A6A0A">
              <w:tab/>
            </w:r>
            <w:r w:rsidRPr="002A6A0A">
              <w:rPr>
                <w:rStyle w:val="BoldandItalics"/>
              </w:rPr>
              <w:t>Documentation and exhibits</w:t>
            </w:r>
            <w:r w:rsidRPr="002A6A0A">
              <w:t xml:space="preserve"> are prepared to ensure their accept</w:t>
            </w:r>
            <w:r w:rsidRPr="002A6A0A">
              <w:t>ability for use in court in accordance with procedural requirements.</w:t>
            </w:r>
          </w:p>
        </w:tc>
      </w:tr>
      <w:tr w:rsidTr="0001453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A6A0A">
            <w:pPr>
              <w:pStyle w:val="List"/>
              <w:rPr>
                <w:lang w:val="en-NZ"/>
              </w:rPr>
            </w:pPr>
            <w:r w:rsidRPr="002A6A0A">
              <w:rPr>
                <w:rStyle w:val="SpecialBold"/>
              </w:rPr>
              <w:t>3</w:t>
            </w:r>
            <w:r w:rsidRPr="002A6A0A">
              <w:tab/>
            </w:r>
            <w:r w:rsidRPr="002A6A0A">
              <w:rPr>
                <w:rStyle w:val="SpecialBold"/>
              </w:rPr>
              <w:t>Present evidence</w:t>
            </w:r>
            <w:r w:rsidRPr="002A6A0A">
              <w:t>.</w:t>
            </w:r>
          </w:p>
        </w:tc>
        <w:tc>
          <w:tcPr>
            <w:tcW w:w="6110" w:type="dxa"/>
            <w:tcBorders>
              <w:top w:val="nil"/>
              <w:left w:val="nil"/>
              <w:bottom w:val="nil"/>
              <w:right w:val="nil"/>
            </w:tcBorders>
            <w:tcMar>
              <w:top w:w="0" w:type="dxa"/>
              <w:left w:w="62" w:type="dxa"/>
              <w:bottom w:w="0" w:type="dxa"/>
              <w:right w:w="62" w:type="dxa"/>
            </w:tcMar>
          </w:tcPr>
          <w:p w:rsidR="00000000" w:rsidRPr="002A6A0A" w:rsidP="002A6A0A">
            <w:pPr>
              <w:pStyle w:val="List"/>
            </w:pPr>
            <w:r w:rsidRPr="002A6A0A">
              <w:t>3.1</w:t>
            </w:r>
            <w:r w:rsidRPr="002A6A0A">
              <w:tab/>
            </w:r>
            <w:r w:rsidRPr="002A6A0A">
              <w:rPr>
                <w:rStyle w:val="BoldandItalics"/>
              </w:rPr>
              <w:t>Rules of evidence</w:t>
            </w:r>
            <w:r w:rsidRPr="002A6A0A">
              <w:t xml:space="preserve">, procedures and </w:t>
            </w:r>
            <w:r w:rsidRPr="002A6A0A">
              <w:rPr>
                <w:rStyle w:val="BoldandItalics"/>
              </w:rPr>
              <w:t>protocols</w:t>
            </w:r>
            <w:r w:rsidRPr="002A6A0A">
              <w:t xml:space="preserve"> relevant to the jurisdiction involved are observed and adhered to throughout proceedings. </w:t>
            </w:r>
          </w:p>
          <w:p w:rsidR="00000000" w:rsidRPr="002A6A0A" w:rsidP="002A6A0A">
            <w:pPr>
              <w:pStyle w:val="List"/>
            </w:pPr>
            <w:r w:rsidRPr="002A6A0A">
              <w:t>3.2</w:t>
            </w:r>
            <w:r w:rsidRPr="002A6A0A">
              <w:tab/>
              <w:t xml:space="preserve">Personal presentation, </w:t>
            </w:r>
            <w:r w:rsidRPr="002A6A0A">
              <w:t xml:space="preserve">manner and language are consistent with court protocols. </w:t>
            </w:r>
          </w:p>
          <w:p w:rsidR="00000000" w:rsidRPr="002A6A0A" w:rsidP="002A6A0A">
            <w:pPr>
              <w:pStyle w:val="List"/>
            </w:pPr>
            <w:r w:rsidRPr="002A6A0A">
              <w:t>3.3</w:t>
            </w:r>
            <w:r w:rsidRPr="002A6A0A">
              <w:tab/>
              <w:t xml:space="preserve">Evidence is admissible and presented in a clear, concise and unambiguous manner and complies with rules of evidence. </w:t>
            </w:r>
          </w:p>
          <w:p w:rsidR="00000000" w:rsidRPr="002A6A0A" w:rsidP="002A6A0A">
            <w:pPr>
              <w:pStyle w:val="List"/>
            </w:pPr>
            <w:r w:rsidRPr="002A6A0A">
              <w:t>3.4</w:t>
            </w:r>
            <w:r w:rsidRPr="002A6A0A">
              <w:tab/>
            </w:r>
            <w:r w:rsidRPr="002A6A0A">
              <w:t>Specialist opinion within own level of qualification and expertise is provided on request in accordance with organisational procedures.</w:t>
            </w:r>
          </w:p>
          <w:p w:rsidR="00000000" w:rsidRPr="002A6A0A" w:rsidP="002A6A0A">
            <w:pPr>
              <w:pStyle w:val="List"/>
            </w:pPr>
            <w:r w:rsidRPr="002A6A0A">
              <w:t>3.5</w:t>
            </w:r>
            <w:r w:rsidRPr="002A6A0A">
              <w:tab/>
              <w:t>Outcomes of proceedings and associated documentation and evidence are noted, filed and stored in accordance with leg</w:t>
            </w:r>
            <w:r w:rsidRPr="002A6A0A">
              <w:t>islative requirements.</w:t>
            </w:r>
          </w:p>
        </w:tc>
      </w:tr>
    </w:tbl>
    <w:p w:rsidR="0001453F" w:rsidP="002A6A0A">
      <w:pPr>
        <w:pStyle w:val="BodyText"/>
      </w:pPr>
    </w:p>
    <w:p w:rsidR="0001453F" w:rsidP="002A6A0A">
      <w:pPr>
        <w:pStyle w:val="BodyText"/>
      </w:pPr>
    </w:p>
    <w:p w:rsidR="00000000" w:rsidRPr="002A6A0A" w:rsidP="002A6A0A">
      <w:pPr>
        <w:pStyle w:val="Heading1"/>
      </w:pPr>
      <w:bookmarkStart w:id="9" w:name="O_258870"/>
      <w:bookmarkEnd w:id="9"/>
      <w:r w:rsidRPr="002A6A0A">
        <w:t>Required Skills and Knowledge</w:t>
      </w:r>
    </w:p>
    <w:tbl>
      <w:tblPr>
        <w:tblW w:w="0" w:type="auto"/>
        <w:tblLayout w:type="fixed"/>
        <w:tblCellMar>
          <w:left w:w="62" w:type="dxa"/>
          <w:right w:w="62" w:type="dxa"/>
        </w:tblCellMar>
        <w:tblLook w:val="0000"/>
      </w:tblPr>
      <w:tblGrid>
        <w:gridCol w:w="8522"/>
      </w:tblGrid>
      <w:tr w:rsidTr="0001453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SpecialBold"/>
              </w:rPr>
              <w:t>REQUIRED SKILLS AND KNOWLEDGE</w:t>
            </w:r>
          </w:p>
        </w:tc>
      </w:tr>
      <w:tr w:rsidTr="000145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t>This section describes the skills and knowledge and their level required for this unit.</w:t>
            </w:r>
          </w:p>
        </w:tc>
      </w:tr>
      <w:tr w:rsidTr="000145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SpecialBold"/>
              </w:rPr>
              <w:t>Required skills</w:t>
            </w:r>
          </w:p>
        </w:tc>
      </w:tr>
      <w:tr w:rsidTr="000145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A6A0A" w:rsidP="002A6A0A">
            <w:pPr>
              <w:pStyle w:val="ListBullet"/>
            </w:pPr>
            <w:r w:rsidRPr="002A6A0A">
              <w:t>adhere to court protocols and procedures</w:t>
            </w:r>
          </w:p>
          <w:p w:rsidR="00000000" w:rsidRPr="002A6A0A" w:rsidP="002A6A0A">
            <w:pPr>
              <w:pStyle w:val="ListBullet"/>
            </w:pPr>
            <w:r w:rsidRPr="002A6A0A">
              <w:t>check and review documentation for accuracy, spelling and grammar</w:t>
            </w:r>
          </w:p>
          <w:p w:rsidR="00000000" w:rsidRPr="002A6A0A" w:rsidP="002A6A0A">
            <w:pPr>
              <w:pStyle w:val="ListBullet"/>
            </w:pPr>
            <w:r w:rsidRPr="002A6A0A">
              <w:t xml:space="preserve">communicate effectively with people from different social, cultural and ethnic backgrounds and of varying physical and mental abilities </w:t>
            </w:r>
          </w:p>
          <w:p w:rsidR="00000000" w:rsidRPr="002A6A0A" w:rsidP="002A6A0A">
            <w:pPr>
              <w:pStyle w:val="ListBullet"/>
            </w:pPr>
            <w:r w:rsidRPr="002A6A0A">
              <w:t xml:space="preserve">communicate verbally and non-verbally in a clear and </w:t>
            </w:r>
            <w:r w:rsidRPr="002A6A0A">
              <w:t>concise manner</w:t>
            </w:r>
          </w:p>
          <w:p w:rsidR="00000000" w:rsidRPr="002A6A0A" w:rsidP="002A6A0A">
            <w:pPr>
              <w:pStyle w:val="ListBullet"/>
            </w:pPr>
            <w:r w:rsidRPr="002A6A0A">
              <w:t>identify and comply with applicable legal and procedural requirements, including licensing requirements</w:t>
            </w:r>
          </w:p>
          <w:p w:rsidR="00000000" w:rsidRPr="002A6A0A" w:rsidP="002A6A0A">
            <w:pPr>
              <w:pStyle w:val="ListBullet"/>
            </w:pPr>
            <w:r w:rsidRPr="002A6A0A">
              <w:t>identify relevant and valid information as admissible evidence</w:t>
            </w:r>
          </w:p>
          <w:p w:rsidR="00000000" w:rsidRPr="002A6A0A" w:rsidP="002A6A0A">
            <w:pPr>
              <w:pStyle w:val="ListBullet"/>
            </w:pPr>
            <w:r w:rsidRPr="002A6A0A">
              <w:t>maintain, store and preserve evidence</w:t>
            </w:r>
          </w:p>
          <w:p w:rsidR="00000000" w:rsidRPr="002A6A0A" w:rsidP="002A6A0A">
            <w:pPr>
              <w:pStyle w:val="ListBullet"/>
            </w:pPr>
            <w:r w:rsidRPr="002A6A0A">
              <w:t>prepare documentation using appropri</w:t>
            </w:r>
            <w:r w:rsidRPr="002A6A0A">
              <w:t>ate structure and language</w:t>
            </w:r>
          </w:p>
          <w:p w:rsidR="00000000" w:rsidRPr="002A6A0A" w:rsidP="002A6A0A">
            <w:pPr>
              <w:pStyle w:val="ListBullet"/>
            </w:pPr>
            <w:r w:rsidRPr="002A6A0A">
              <w:t>read, analyse and interpret information</w:t>
            </w:r>
          </w:p>
          <w:p w:rsidR="00000000" w:rsidRPr="002A6A0A" w:rsidP="002A6A0A">
            <w:pPr>
              <w:pStyle w:val="ListBullet"/>
            </w:pPr>
            <w:r w:rsidRPr="002A6A0A">
              <w:t xml:space="preserve">record and accurately report information </w:t>
            </w:r>
          </w:p>
          <w:p w:rsidR="00000000" w:rsidRPr="002A6A0A" w:rsidP="002A6A0A">
            <w:pPr>
              <w:pStyle w:val="ListBullet"/>
            </w:pPr>
            <w:r w:rsidRPr="002A6A0A">
              <w:t>research, select and organise information</w:t>
            </w:r>
          </w:p>
          <w:p w:rsidR="00000000" w:rsidRPr="002A6A0A" w:rsidP="002A6A0A">
            <w:pPr>
              <w:pStyle w:val="ListBullet"/>
            </w:pPr>
            <w:r w:rsidRPr="002A6A0A">
              <w:t>select and use information technology appropriate to task</w:t>
            </w:r>
          </w:p>
          <w:p w:rsidR="00000000" w:rsidRPr="002A6A0A" w:rsidP="002A6A0A">
            <w:pPr>
              <w:pStyle w:val="ListBullet"/>
            </w:pPr>
            <w:r w:rsidRPr="002A6A0A">
              <w:t>store and preserve evidence</w:t>
            </w:r>
          </w:p>
          <w:p w:rsidR="00000000" w:rsidRPr="002A6A0A" w:rsidP="002A6A0A">
            <w:pPr>
              <w:pStyle w:val="ListBullet"/>
            </w:pPr>
            <w:r w:rsidRPr="002A6A0A">
              <w:t>use a</w:t>
            </w:r>
            <w:r w:rsidRPr="002A6A0A">
              <w:t xml:space="preserve"> range of business equipment and technology appropriate to meet task requirements.</w:t>
            </w:r>
          </w:p>
          <w:p w:rsidR="00000000" w:rsidRPr="002A6A0A" w:rsidP="002A6A0A">
            <w:pPr>
              <w:pStyle w:val="ListBullet"/>
            </w:pPr>
            <w:r w:rsidRPr="002A6A0A">
              <w:t>verify validity of information</w:t>
            </w:r>
          </w:p>
          <w:p w:rsidR="00000000" w:rsidP="002A6A0A">
            <w:pPr>
              <w:pStyle w:val="ListBullet"/>
              <w:rPr>
                <w:lang w:val="en-NZ"/>
              </w:rPr>
            </w:pPr>
            <w:r w:rsidRPr="002A6A0A">
              <w:t>write reports using formal structure and language.</w:t>
            </w:r>
          </w:p>
        </w:tc>
      </w:tr>
      <w:tr w:rsidTr="000145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SpecialBold"/>
              </w:rPr>
              <w:t>Required knowledge</w:t>
            </w:r>
          </w:p>
        </w:tc>
      </w:tr>
      <w:tr w:rsidTr="000145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A6A0A" w:rsidP="002A6A0A">
            <w:pPr>
              <w:pStyle w:val="ListBullet"/>
            </w:pPr>
            <w:r w:rsidRPr="002A6A0A">
              <w:t xml:space="preserve">briefing, documentation and preparation requirements </w:t>
            </w:r>
          </w:p>
          <w:p w:rsidR="00000000" w:rsidRPr="002A6A0A" w:rsidP="002A6A0A">
            <w:pPr>
              <w:pStyle w:val="ListBullet"/>
            </w:pPr>
            <w:r w:rsidRPr="002A6A0A">
              <w:t>court protocols</w:t>
            </w:r>
            <w:r w:rsidRPr="002A6A0A">
              <w:t xml:space="preserve"> and procedures relevant to the jurisdiction</w:t>
            </w:r>
          </w:p>
          <w:p w:rsidR="00000000" w:rsidRPr="002A6A0A" w:rsidP="002A6A0A">
            <w:pPr>
              <w:pStyle w:val="ListBullet"/>
            </w:pPr>
            <w:r w:rsidRPr="002A6A0A">
              <w:t xml:space="preserve">document and evidence management systems </w:t>
            </w:r>
          </w:p>
          <w:p w:rsidR="00000000" w:rsidRPr="002A6A0A" w:rsidP="002A6A0A">
            <w:pPr>
              <w:pStyle w:val="ListBullet"/>
            </w:pPr>
            <w:r w:rsidRPr="002A6A0A">
              <w:t xml:space="preserve">evidence preparation and presentation requirements </w:t>
            </w:r>
          </w:p>
          <w:p w:rsidR="00000000" w:rsidRPr="002A6A0A" w:rsidP="002A6A0A">
            <w:pPr>
              <w:pStyle w:val="ListBullet"/>
            </w:pPr>
            <w:r w:rsidRPr="002A6A0A">
              <w:t>general principles regarding the admissibility of evidence in courts</w:t>
            </w:r>
          </w:p>
          <w:p w:rsidR="00000000" w:rsidRPr="002A6A0A" w:rsidP="002A6A0A">
            <w:pPr>
              <w:pStyle w:val="ListBullet"/>
            </w:pPr>
            <w:r w:rsidRPr="002A6A0A">
              <w:t>organisation policies and procedures relating to</w:t>
            </w:r>
            <w:r w:rsidRPr="002A6A0A">
              <w:t xml:space="preserve"> own role and responsibilities and providing specialist opinion </w:t>
            </w:r>
          </w:p>
          <w:p w:rsidR="00000000" w:rsidRPr="002A6A0A" w:rsidP="002A6A0A">
            <w:pPr>
              <w:pStyle w:val="ListBullet"/>
            </w:pPr>
            <w:r w:rsidRPr="002A6A0A">
              <w:t>principles of effective communication</w:t>
            </w:r>
          </w:p>
          <w:p w:rsidR="00000000" w:rsidRPr="002A6A0A" w:rsidP="002A6A0A">
            <w:pPr>
              <w:pStyle w:val="ListBullet"/>
            </w:pPr>
            <w:r w:rsidRPr="002A6A0A">
              <w:t xml:space="preserve">privacy and confidentiality requirements </w:t>
            </w:r>
          </w:p>
          <w:p w:rsidR="00000000" w:rsidRPr="002A6A0A" w:rsidP="002A6A0A">
            <w:pPr>
              <w:pStyle w:val="ListBullet"/>
            </w:pPr>
            <w:r w:rsidRPr="002A6A0A">
              <w:t>procedures for handling and managing evidential exhibits</w:t>
            </w:r>
          </w:p>
          <w:p w:rsidR="00000000" w:rsidRPr="002A6A0A" w:rsidP="002A6A0A">
            <w:pPr>
              <w:pStyle w:val="ListBullet"/>
            </w:pPr>
            <w:r w:rsidRPr="002A6A0A">
              <w:t>relevant industry codes of practice and legislation including 'rules of evidence' and 'continuity of evidence'</w:t>
            </w:r>
          </w:p>
          <w:p w:rsidR="00000000" w:rsidRPr="002A6A0A" w:rsidP="002A6A0A">
            <w:pPr>
              <w:pStyle w:val="ListBullet"/>
            </w:pPr>
            <w:r w:rsidRPr="002A6A0A">
              <w:t>requirements for handling and managing evidential exhibits</w:t>
            </w:r>
          </w:p>
          <w:p w:rsidR="00000000" w:rsidRPr="002A6A0A" w:rsidP="002A6A0A">
            <w:pPr>
              <w:pStyle w:val="ListBullet"/>
            </w:pPr>
            <w:r w:rsidRPr="002A6A0A">
              <w:t>storage requirements for information that is susceptible to spoil or damage (film, com</w:t>
            </w:r>
            <w:r w:rsidRPr="002A6A0A">
              <w:t>puter tapes)</w:t>
            </w:r>
          </w:p>
          <w:p w:rsidR="00000000" w:rsidRPr="002A6A0A" w:rsidP="002A6A0A">
            <w:pPr>
              <w:pStyle w:val="ListBullet"/>
            </w:pPr>
            <w:r w:rsidRPr="002A6A0A">
              <w:t>techniques to verify and validate information.</w:t>
            </w:r>
          </w:p>
        </w:tc>
      </w:tr>
    </w:tbl>
    <w:p w:rsidR="0001453F" w:rsidP="002A6A0A">
      <w:pPr>
        <w:pStyle w:val="BodyText"/>
      </w:pPr>
    </w:p>
    <w:p w:rsidR="0001453F" w:rsidP="002A6A0A">
      <w:pPr>
        <w:pStyle w:val="BodyText"/>
      </w:pPr>
    </w:p>
    <w:p w:rsidR="00000000" w:rsidRPr="002A6A0A" w:rsidP="002A6A0A">
      <w:pPr>
        <w:pStyle w:val="Heading1"/>
      </w:pPr>
      <w:bookmarkStart w:id="10" w:name="O_242904"/>
      <w:bookmarkEnd w:id="10"/>
      <w:r w:rsidRPr="002A6A0A">
        <w:t>Evidence Guide</w:t>
      </w:r>
    </w:p>
    <w:tbl>
      <w:tblPr>
        <w:tblW w:w="9287" w:type="dxa"/>
        <w:tblLayout w:type="fixed"/>
        <w:tblCellMar>
          <w:left w:w="62" w:type="dxa"/>
          <w:right w:w="62" w:type="dxa"/>
        </w:tblCellMar>
        <w:tblLook w:val="0000"/>
      </w:tblPr>
      <w:tblGrid>
        <w:gridCol w:w="2621"/>
        <w:gridCol w:w="6659"/>
        <w:gridCol w:w="7"/>
      </w:tblGrid>
      <w:tr w:rsidTr="0001453F">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SpecialBold"/>
              </w:rPr>
              <w:t>EVIDENCE GUIDE</w:t>
            </w:r>
          </w:p>
        </w:tc>
      </w:tr>
      <w:tr w:rsidTr="0001453F">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t xml:space="preserve">The evidence guide provides advice on assessment and must be read in conjunction with the performance criteria, required skills and knowledge, </w:t>
            </w:r>
            <w:r w:rsidRPr="002A6A0A">
              <w:t>range statement and the Assessment Guidelines for the Training Package.</w:t>
            </w:r>
          </w:p>
        </w:tc>
      </w:tr>
      <w:tr w:rsidTr="0001453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2A6A0A" w:rsidP="002A6A0A">
            <w:pPr>
              <w:pStyle w:val="BodyText"/>
            </w:pPr>
            <w:r w:rsidRPr="002A6A0A">
              <w:t>A person who demonstrates competency in this unit must be able to provide evidence of:</w:t>
            </w:r>
          </w:p>
          <w:p w:rsidR="00000000" w:rsidRPr="002A6A0A" w:rsidP="002A6A0A">
            <w:pPr>
              <w:pStyle w:val="ListBullet"/>
            </w:pPr>
            <w:r w:rsidRPr="002A6A0A">
              <w:t>s</w:t>
            </w:r>
            <w:r w:rsidRPr="002A6A0A">
              <w:t>ourcing, organising and confirming validity of information</w:t>
            </w:r>
          </w:p>
          <w:p w:rsidR="00000000" w:rsidRPr="002A6A0A" w:rsidP="002A6A0A">
            <w:pPr>
              <w:pStyle w:val="ListBullet"/>
            </w:pPr>
            <w:r w:rsidRPr="002A6A0A">
              <w:t>following up outcomes of proceedings and feedback, reviewing implications as the basis for appropriate actions to be implemented</w:t>
            </w:r>
          </w:p>
          <w:p w:rsidR="00000000" w:rsidRPr="002A6A0A" w:rsidP="002A6A0A">
            <w:pPr>
              <w:pStyle w:val="ListBullet"/>
            </w:pPr>
            <w:r w:rsidRPr="002A6A0A">
              <w:t>managing and storing evidence and material to ensure its preservatio</w:t>
            </w:r>
            <w:r w:rsidRPr="002A6A0A">
              <w:t>n, and completing relevant documentation in compliance with applicable legislation and licensing requirements</w:t>
            </w:r>
          </w:p>
          <w:p w:rsidR="00000000" w:rsidRPr="002A6A0A" w:rsidP="002A6A0A">
            <w:pPr>
              <w:pStyle w:val="ListBullet"/>
            </w:pPr>
            <w:r w:rsidRPr="002A6A0A">
              <w:t>presenting evidence in a clear, concise and unambiguous manner and, as required, providing specialist opinion within own level of qualification an</w:t>
            </w:r>
            <w:r w:rsidRPr="002A6A0A">
              <w:t>d expertise</w:t>
            </w:r>
          </w:p>
          <w:p w:rsidR="00000000" w:rsidRPr="002A6A0A" w:rsidP="002A6A0A">
            <w:pPr>
              <w:pStyle w:val="ListBullet"/>
            </w:pPr>
            <w:r w:rsidRPr="002A6A0A">
              <w:t>researching and selecting information that is determined relevant and valid for use as admissible evidence in a judicial or quasi-judicial environment</w:t>
            </w:r>
          </w:p>
          <w:p w:rsidR="00000000" w:rsidP="002A6A0A">
            <w:pPr>
              <w:pStyle w:val="ListBullet"/>
              <w:rPr>
                <w:lang w:val="en-NZ"/>
              </w:rPr>
            </w:pPr>
            <w:r w:rsidRPr="002A6A0A">
              <w:t>understanding and complying with court protocols, legislative and procedural requirements inc</w:t>
            </w:r>
            <w:r w:rsidRPr="002A6A0A">
              <w:t>luding appropriate use of communication and language.</w:t>
            </w:r>
          </w:p>
        </w:tc>
      </w:tr>
      <w:tr w:rsidTr="0001453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2A6A0A" w:rsidP="002A6A0A">
            <w:pPr>
              <w:pStyle w:val="BodyText"/>
            </w:pPr>
            <w:r w:rsidRPr="002A6A0A">
              <w:t>Context of assessment includes:</w:t>
            </w:r>
          </w:p>
          <w:p w:rsidR="00000000" w:rsidRPr="002A6A0A" w:rsidP="002A6A0A">
            <w:pPr>
              <w:pStyle w:val="ListBullet"/>
            </w:pPr>
            <w:r w:rsidRPr="002A6A0A">
              <w:t xml:space="preserve">a setting in the workplace or environment that simulates the conditions of performance </w:t>
            </w:r>
            <w:r w:rsidRPr="002A6A0A">
              <w:t>described in the elements, performance criteria and range statement.</w:t>
            </w:r>
          </w:p>
          <w:p w:rsidR="00000000" w:rsidRPr="002A6A0A" w:rsidP="002A6A0A">
            <w:pPr>
              <w:pStyle w:val="BodyText"/>
            </w:pPr>
            <w:r w:rsidRPr="002A6A0A">
              <w:t>Resource implications for assessment include:</w:t>
            </w:r>
          </w:p>
          <w:p w:rsidR="00000000" w:rsidRPr="002A6A0A" w:rsidP="002A6A0A">
            <w:pPr>
              <w:pStyle w:val="ListBullet"/>
            </w:pPr>
            <w:r w:rsidRPr="002A6A0A">
              <w:t>access to plain English version of relevant statutes and procedures</w:t>
            </w:r>
          </w:p>
          <w:p w:rsidR="00000000" w:rsidRPr="002A6A0A" w:rsidP="002A6A0A">
            <w:pPr>
              <w:pStyle w:val="ListBullet"/>
            </w:pPr>
            <w:r w:rsidRPr="002A6A0A">
              <w:t>access to a registered provider of assessment services</w:t>
            </w:r>
          </w:p>
          <w:p w:rsidR="00000000" w:rsidRPr="002A6A0A" w:rsidP="002A6A0A">
            <w:pPr>
              <w:pStyle w:val="ListBullet"/>
            </w:pPr>
            <w:r w:rsidRPr="002A6A0A">
              <w:t>access to a suita</w:t>
            </w:r>
            <w:r w:rsidRPr="002A6A0A">
              <w:t>ble venue and equipment</w:t>
            </w:r>
          </w:p>
          <w:p w:rsidR="00000000" w:rsidRPr="002A6A0A" w:rsidP="002A6A0A">
            <w:pPr>
              <w:pStyle w:val="ListBullet"/>
            </w:pPr>
            <w:r w:rsidRPr="002A6A0A">
              <w:t>assessment instruments including personal planner and assessment record book</w:t>
            </w:r>
          </w:p>
          <w:p w:rsidR="00000000" w:rsidRPr="002A6A0A" w:rsidP="002A6A0A">
            <w:pPr>
              <w:pStyle w:val="ListBullet"/>
            </w:pPr>
            <w:r w:rsidRPr="002A6A0A">
              <w:t>work schedules, organisational policies and duty statements.</w:t>
            </w:r>
          </w:p>
          <w:p w:rsidR="00000000" w:rsidP="002A6A0A">
            <w:pPr>
              <w:pStyle w:val="BodyText"/>
              <w:rPr>
                <w:lang w:val="en-NZ"/>
              </w:rPr>
            </w:pPr>
            <w:r w:rsidRPr="002A6A0A">
              <w:t>Reasonable adjustments must be made to assessment processes where required for people with dis</w:t>
            </w:r>
            <w:r w:rsidRPr="002A6A0A">
              <w:t>abilities. This could include access to modified equipment and other physical resources, and the provision of appropriate assessment support.</w:t>
            </w:r>
          </w:p>
        </w:tc>
      </w:tr>
      <w:tr w:rsidTr="0001453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2A6A0A" w:rsidP="002A6A0A">
            <w:pPr>
              <w:pStyle w:val="BodyText"/>
            </w:pPr>
            <w:r w:rsidRPr="002A6A0A">
              <w:t>This unit of competency could be assessed using the following methods of assessment:</w:t>
            </w:r>
          </w:p>
          <w:p w:rsidR="00000000" w:rsidRPr="002A6A0A" w:rsidP="002A6A0A">
            <w:pPr>
              <w:pStyle w:val="ListBullet"/>
            </w:pPr>
            <w:r w:rsidRPr="002A6A0A">
              <w:t>observ</w:t>
            </w:r>
            <w:r w:rsidRPr="002A6A0A">
              <w:t>ation of processes and procedures</w:t>
            </w:r>
          </w:p>
          <w:p w:rsidR="00000000" w:rsidP="002A6A0A">
            <w:pPr>
              <w:pStyle w:val="ListBullet"/>
              <w:rPr>
                <w:lang w:val="en-NZ"/>
              </w:rPr>
            </w:pPr>
            <w:r w:rsidRPr="002A6A0A">
              <w:t>questioning of underpinning knowledge and skills.</w:t>
            </w:r>
          </w:p>
        </w:tc>
      </w:tr>
      <w:tr w:rsidTr="0001453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2A6A0A" w:rsidP="002A6A0A">
            <w:pPr>
              <w:pStyle w:val="BodyText"/>
            </w:pPr>
            <w:r w:rsidRPr="002A6A0A">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2A6A0A">
              <w:t>targeted questioning to assess the underpinning knowledge.</w:t>
            </w:r>
          </w:p>
          <w:p w:rsidR="00000000" w:rsidRPr="002A6A0A" w:rsidP="002A6A0A">
            <w:pPr>
              <w:pStyle w:val="BodyText"/>
            </w:pPr>
            <w:r w:rsidRPr="002A6A0A">
              <w:t>Oral questioning or written assessment may be used to assess underpinning knowledge. In assessment situations where the candidate is offered a choice between oral questioning and written assessment</w:t>
            </w:r>
            <w:r w:rsidRPr="002A6A0A">
              <w:t>, questions are to be identical.</w:t>
            </w:r>
          </w:p>
          <w:p w:rsidR="00000000" w:rsidRPr="002A6A0A" w:rsidP="002A6A0A">
            <w:pPr>
              <w:pStyle w:val="BodyText"/>
            </w:pPr>
            <w:r w:rsidRPr="002A6A0A">
              <w:t>Supplementary evidence may be obtained from relevant authenticated correspondence from existing supervisors, team leaders or specialist training staff.</w:t>
            </w:r>
          </w:p>
        </w:tc>
      </w:tr>
    </w:tbl>
    <w:p w:rsidR="0001453F" w:rsidP="002A6A0A">
      <w:pPr>
        <w:pStyle w:val="BodyText"/>
      </w:pPr>
    </w:p>
    <w:p w:rsidR="0001453F" w:rsidP="002A6A0A">
      <w:pPr>
        <w:pStyle w:val="BodyText"/>
      </w:pPr>
    </w:p>
    <w:p w:rsidR="00000000" w:rsidRPr="002A6A0A" w:rsidP="002A6A0A">
      <w:pPr>
        <w:pStyle w:val="Heading1"/>
      </w:pPr>
      <w:bookmarkStart w:id="11" w:name="O_250887"/>
      <w:bookmarkEnd w:id="11"/>
      <w:r w:rsidRPr="002A6A0A">
        <w:t>Range Statement</w:t>
      </w:r>
    </w:p>
    <w:tbl>
      <w:tblPr>
        <w:tblW w:w="0" w:type="auto"/>
        <w:tblLayout w:type="fixed"/>
        <w:tblCellMar>
          <w:left w:w="62" w:type="dxa"/>
          <w:right w:w="62" w:type="dxa"/>
        </w:tblCellMar>
        <w:tblLook w:val="0000"/>
      </w:tblPr>
      <w:tblGrid>
        <w:gridCol w:w="2412"/>
        <w:gridCol w:w="6110"/>
      </w:tblGrid>
      <w:tr w:rsidTr="0001453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SpecialBold"/>
              </w:rPr>
              <w:t>RANGE STATEMENT</w:t>
            </w:r>
          </w:p>
        </w:tc>
      </w:tr>
      <w:tr w:rsidTr="0001453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t>The range statement relates to the unit of competency as a whole. It allows for different work environments and situations that may affect performance. Bold italicised wording, if used in the performance criteria, is detailed below. Essential operating con</w:t>
            </w:r>
            <w:r w:rsidRPr="002A6A0A">
              <w:t>ditions that may be present with training and assessment (depending on the work situation, needs of the candidate, accessibility of the item, and local industry and regional contexts) may also be included.</w:t>
            </w:r>
          </w:p>
        </w:tc>
      </w:tr>
      <w:tr w:rsidTr="0001453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BoldandItalics"/>
              </w:rPr>
              <w:t>Legislative requirements may relate to</w:t>
            </w:r>
            <w:r w:rsidRPr="002A6A0A">
              <w:t xml:space="preserve">: </w:t>
            </w:r>
          </w:p>
        </w:tc>
        <w:tc>
          <w:tcPr>
            <w:tcW w:w="6110" w:type="dxa"/>
            <w:tcBorders>
              <w:top w:val="nil"/>
              <w:left w:val="nil"/>
              <w:bottom w:val="nil"/>
              <w:right w:val="nil"/>
            </w:tcBorders>
            <w:tcMar>
              <w:top w:w="0" w:type="dxa"/>
              <w:left w:w="62" w:type="dxa"/>
              <w:bottom w:w="0" w:type="dxa"/>
              <w:right w:w="62" w:type="dxa"/>
            </w:tcMar>
          </w:tcPr>
          <w:p w:rsidR="00000000" w:rsidRPr="002A6A0A" w:rsidP="002A6A0A">
            <w:pPr>
              <w:pStyle w:val="ListBullet"/>
            </w:pPr>
            <w:r w:rsidRPr="002A6A0A">
              <w:t>appreh</w:t>
            </w:r>
            <w:r w:rsidRPr="002A6A0A">
              <w:t xml:space="preserve">ension and powers of arrest </w:t>
            </w:r>
          </w:p>
          <w:p w:rsidR="00000000" w:rsidRPr="002A6A0A" w:rsidP="002A6A0A">
            <w:pPr>
              <w:pStyle w:val="ListBullet"/>
            </w:pPr>
            <w:r w:rsidRPr="002A6A0A">
              <w:t>Australian standards and quality assurance requirements</w:t>
            </w:r>
          </w:p>
          <w:p w:rsidR="00000000" w:rsidRPr="002A6A0A" w:rsidP="002A6A0A">
            <w:pPr>
              <w:pStyle w:val="ListBullet"/>
            </w:pPr>
            <w:r w:rsidRPr="002A6A0A">
              <w:t>counter-terrorism</w:t>
            </w:r>
          </w:p>
          <w:p w:rsidR="00000000" w:rsidRPr="002A6A0A" w:rsidP="002A6A0A">
            <w:pPr>
              <w:pStyle w:val="ListBullet"/>
            </w:pPr>
            <w:r w:rsidRPr="002A6A0A">
              <w:t>crowd control and control of persons under the influence of intoxicating substances</w:t>
            </w:r>
          </w:p>
          <w:p w:rsidR="00000000" w:rsidRPr="002A6A0A" w:rsidP="002A6A0A">
            <w:pPr>
              <w:pStyle w:val="ListBullet"/>
            </w:pPr>
            <w:r w:rsidRPr="002A6A0A">
              <w:t>force continuum, use of force guidelines</w:t>
            </w:r>
          </w:p>
          <w:p w:rsidR="00000000" w:rsidRPr="002A6A0A" w:rsidP="002A6A0A">
            <w:pPr>
              <w:pStyle w:val="ListBullet"/>
            </w:pPr>
            <w:r w:rsidRPr="002A6A0A">
              <w:t>general 'duty of care' respo</w:t>
            </w:r>
            <w:r w:rsidRPr="002A6A0A">
              <w:t>nsibilities</w:t>
            </w:r>
          </w:p>
          <w:p w:rsidR="00000000" w:rsidRPr="002A6A0A" w:rsidP="002A6A0A">
            <w:pPr>
              <w:pStyle w:val="ListBullet"/>
            </w:pPr>
            <w:r w:rsidRPr="002A6A0A">
              <w:t>inspection of people and property, and search and seizure of goods</w:t>
            </w:r>
          </w:p>
          <w:p w:rsidR="00000000" w:rsidRPr="002A6A0A" w:rsidP="002A6A0A">
            <w:pPr>
              <w:pStyle w:val="ListBullet"/>
            </w:pPr>
            <w:r w:rsidRPr="002A6A0A">
              <w:t>licensing or certification requirements</w:t>
            </w:r>
          </w:p>
          <w:p w:rsidR="00000000" w:rsidRPr="002A6A0A" w:rsidP="002A6A0A">
            <w:pPr>
              <w:pStyle w:val="ListBullet"/>
            </w:pPr>
            <w:r w:rsidRPr="002A6A0A">
              <w:t>privacy and confidentiality</w:t>
            </w:r>
          </w:p>
          <w:p w:rsidR="00000000" w:rsidRPr="002A6A0A" w:rsidP="002A6A0A">
            <w:pPr>
              <w:pStyle w:val="ListBullet"/>
            </w:pPr>
            <w:r w:rsidRPr="002A6A0A">
              <w:t>relevant commonwealth, state, territory legislation, codes and national standards for:</w:t>
            </w:r>
          </w:p>
          <w:p w:rsidR="00000000" w:rsidRPr="002A6A0A" w:rsidP="002A6A0A">
            <w:pPr>
              <w:pStyle w:val="ListBullet2"/>
            </w:pPr>
            <w:r w:rsidRPr="002A6A0A">
              <w:t>anti-discrimination</w:t>
            </w:r>
          </w:p>
          <w:p w:rsidR="00000000" w:rsidRPr="002A6A0A" w:rsidP="002A6A0A">
            <w:pPr>
              <w:pStyle w:val="ListBullet2"/>
            </w:pPr>
            <w:r w:rsidRPr="002A6A0A">
              <w:t>cultural and ethnic diversity</w:t>
            </w:r>
          </w:p>
          <w:p w:rsidR="00000000" w:rsidRPr="002A6A0A" w:rsidP="002A6A0A">
            <w:pPr>
              <w:pStyle w:val="ListBullet2"/>
            </w:pPr>
            <w:r w:rsidRPr="002A6A0A">
              <w:t>environmental issues</w:t>
            </w:r>
          </w:p>
          <w:p w:rsidR="00000000" w:rsidRPr="002A6A0A" w:rsidP="002A6A0A">
            <w:pPr>
              <w:pStyle w:val="ListBullet2"/>
            </w:pPr>
            <w:r w:rsidRPr="002A6A0A">
              <w:t>equal employment opportunity</w:t>
            </w:r>
          </w:p>
          <w:p w:rsidR="00000000" w:rsidRPr="002A6A0A" w:rsidP="002A6A0A">
            <w:pPr>
              <w:pStyle w:val="ListBullet2"/>
            </w:pPr>
            <w:r w:rsidRPr="002A6A0A">
              <w:t>industrial relations</w:t>
            </w:r>
          </w:p>
          <w:p w:rsidR="00000000" w:rsidRPr="002A6A0A" w:rsidP="002A6A0A">
            <w:pPr>
              <w:pStyle w:val="ListBullet2"/>
            </w:pPr>
            <w:r w:rsidRPr="002A6A0A">
              <w:t>Occupational Health and Safety (OHS)</w:t>
            </w:r>
          </w:p>
          <w:p w:rsidR="00000000" w:rsidRPr="002A6A0A" w:rsidP="002A6A0A">
            <w:pPr>
              <w:pStyle w:val="ListBullet"/>
            </w:pPr>
            <w:r w:rsidRPr="002A6A0A">
              <w:t xml:space="preserve">relevant industry codes of practice </w:t>
            </w:r>
          </w:p>
          <w:p w:rsidR="00000000" w:rsidRPr="002A6A0A" w:rsidP="002A6A0A">
            <w:pPr>
              <w:pStyle w:val="ListBullet"/>
            </w:pPr>
            <w:r w:rsidRPr="002A6A0A">
              <w:t>trespass and the removal of persons</w:t>
            </w:r>
          </w:p>
          <w:p w:rsidR="00000000" w:rsidRPr="002A6A0A" w:rsidP="002A6A0A">
            <w:pPr>
              <w:pStyle w:val="ListBullet"/>
            </w:pPr>
            <w:r w:rsidRPr="002A6A0A">
              <w:t>use of restraints and weapons:</w:t>
            </w:r>
          </w:p>
          <w:p w:rsidR="00000000" w:rsidRPr="002A6A0A" w:rsidP="002A6A0A">
            <w:pPr>
              <w:pStyle w:val="ListBullet2"/>
            </w:pPr>
            <w:r w:rsidRPr="002A6A0A">
              <w:t>batons</w:t>
            </w:r>
          </w:p>
          <w:p w:rsidR="00000000" w:rsidRPr="002A6A0A" w:rsidP="002A6A0A">
            <w:pPr>
              <w:pStyle w:val="ListBullet2"/>
            </w:pPr>
            <w:r w:rsidRPr="002A6A0A">
              <w:t>firearms</w:t>
            </w:r>
          </w:p>
          <w:p w:rsidR="00000000" w:rsidRPr="002A6A0A" w:rsidP="002A6A0A">
            <w:pPr>
              <w:pStyle w:val="ListBullet2"/>
            </w:pPr>
            <w:r w:rsidRPr="002A6A0A">
              <w:t>handcuffs</w:t>
            </w:r>
          </w:p>
          <w:p w:rsidR="00000000" w:rsidP="002A6A0A">
            <w:pPr>
              <w:pStyle w:val="ListBullet2"/>
              <w:rPr>
                <w:lang w:val="en-NZ"/>
              </w:rPr>
            </w:pPr>
            <w:r w:rsidRPr="002A6A0A">
              <w:t>spray.</w:t>
            </w:r>
          </w:p>
        </w:tc>
      </w:tr>
      <w:tr w:rsidTr="0001453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BoldandItalics"/>
              </w:rPr>
              <w:t>Organisational requirements may relate to</w:t>
            </w:r>
            <w:r w:rsidRPr="002A6A0A">
              <w:t>:</w:t>
            </w:r>
          </w:p>
        </w:tc>
        <w:tc>
          <w:tcPr>
            <w:tcW w:w="6110" w:type="dxa"/>
            <w:tcBorders>
              <w:top w:val="nil"/>
              <w:left w:val="nil"/>
              <w:bottom w:val="nil"/>
              <w:right w:val="nil"/>
            </w:tcBorders>
            <w:tcMar>
              <w:top w:w="0" w:type="dxa"/>
              <w:left w:w="62" w:type="dxa"/>
              <w:bottom w:w="0" w:type="dxa"/>
              <w:right w:w="62" w:type="dxa"/>
            </w:tcMar>
          </w:tcPr>
          <w:p w:rsidR="00000000" w:rsidRPr="002A6A0A" w:rsidP="002A6A0A">
            <w:pPr>
              <w:pStyle w:val="ListBullet"/>
            </w:pPr>
            <w:r w:rsidRPr="002A6A0A">
              <w:t>access and equity policies, principles and practices</w:t>
            </w:r>
          </w:p>
          <w:p w:rsidR="00000000" w:rsidRPr="002A6A0A" w:rsidP="002A6A0A">
            <w:pPr>
              <w:pStyle w:val="ListBullet"/>
            </w:pPr>
            <w:r w:rsidRPr="002A6A0A">
              <w:t>business and performance plans</w:t>
            </w:r>
          </w:p>
          <w:p w:rsidR="00000000" w:rsidRPr="002A6A0A" w:rsidP="002A6A0A">
            <w:pPr>
              <w:pStyle w:val="ListBullet"/>
            </w:pPr>
            <w:r w:rsidRPr="002A6A0A">
              <w:t>client service standards</w:t>
            </w:r>
          </w:p>
          <w:p w:rsidR="00000000" w:rsidRPr="002A6A0A" w:rsidP="002A6A0A">
            <w:pPr>
              <w:pStyle w:val="ListBullet"/>
            </w:pPr>
            <w:r w:rsidRPr="002A6A0A">
              <w:t>code of conduct, code of ethics</w:t>
            </w:r>
          </w:p>
          <w:p w:rsidR="00000000" w:rsidRPr="002A6A0A" w:rsidP="002A6A0A">
            <w:pPr>
              <w:pStyle w:val="ListBullet"/>
            </w:pPr>
            <w:r w:rsidRPr="002A6A0A">
              <w:t>communication and reporting procedures</w:t>
            </w:r>
          </w:p>
          <w:p w:rsidR="00000000" w:rsidRPr="002A6A0A" w:rsidP="002A6A0A">
            <w:pPr>
              <w:pStyle w:val="ListBullet"/>
            </w:pPr>
            <w:r w:rsidRPr="002A6A0A">
              <w:t>complaint and dispute resolution procedures</w:t>
            </w:r>
          </w:p>
          <w:p w:rsidR="00000000" w:rsidRPr="002A6A0A" w:rsidP="002A6A0A">
            <w:pPr>
              <w:pStyle w:val="ListBullet"/>
            </w:pPr>
            <w:r w:rsidRPr="002A6A0A">
              <w:t>emergency and evacuation procedures</w:t>
            </w:r>
          </w:p>
          <w:p w:rsidR="00000000" w:rsidRPr="002A6A0A" w:rsidP="002A6A0A">
            <w:pPr>
              <w:pStyle w:val="ListBullet"/>
            </w:pPr>
            <w:r w:rsidRPr="002A6A0A">
              <w:t xml:space="preserve">employer and employee rights and responsibilities </w:t>
            </w:r>
          </w:p>
          <w:p w:rsidR="00000000" w:rsidRPr="002A6A0A" w:rsidP="002A6A0A">
            <w:pPr>
              <w:pStyle w:val="ListBullet"/>
            </w:pPr>
            <w:r w:rsidRPr="002A6A0A">
              <w:t>OHS policies, procedures and programs</w:t>
            </w:r>
          </w:p>
          <w:p w:rsidR="00000000" w:rsidRPr="002A6A0A" w:rsidP="002A6A0A">
            <w:pPr>
              <w:pStyle w:val="ListBullet"/>
            </w:pPr>
            <w:r w:rsidRPr="002A6A0A">
              <w:t xml:space="preserve">own role, responsibility and authority </w:t>
            </w:r>
          </w:p>
          <w:p w:rsidR="00000000" w:rsidRPr="002A6A0A" w:rsidP="002A6A0A">
            <w:pPr>
              <w:pStyle w:val="ListBullet"/>
            </w:pPr>
            <w:r w:rsidRPr="002A6A0A">
              <w:t>personal and professional development</w:t>
            </w:r>
          </w:p>
          <w:p w:rsidR="00000000" w:rsidRPr="002A6A0A" w:rsidP="002A6A0A">
            <w:pPr>
              <w:pStyle w:val="ListBullet"/>
            </w:pPr>
            <w:r w:rsidRPr="002A6A0A">
              <w:t>privacy a</w:t>
            </w:r>
            <w:r w:rsidRPr="002A6A0A">
              <w:t>nd confidentiality of information</w:t>
            </w:r>
          </w:p>
          <w:p w:rsidR="00000000" w:rsidRPr="002A6A0A" w:rsidP="002A6A0A">
            <w:pPr>
              <w:pStyle w:val="ListBullet"/>
            </w:pPr>
            <w:r w:rsidRPr="002A6A0A">
              <w:t>quality assurance and continuous improvement processes and standards</w:t>
            </w:r>
          </w:p>
          <w:p w:rsidR="00000000" w:rsidRPr="002A6A0A" w:rsidP="002A6A0A">
            <w:pPr>
              <w:pStyle w:val="ListBullet"/>
            </w:pPr>
            <w:r w:rsidRPr="002A6A0A">
              <w:t>resource parameters and procedures</w:t>
            </w:r>
          </w:p>
          <w:p w:rsidR="00000000" w:rsidRPr="002A6A0A" w:rsidP="002A6A0A">
            <w:pPr>
              <w:pStyle w:val="ListBullet"/>
            </w:pPr>
            <w:r w:rsidRPr="002A6A0A">
              <w:t>roles, functions and responsibilities of security personnel</w:t>
            </w:r>
          </w:p>
          <w:p w:rsidR="00000000" w:rsidP="002A6A0A">
            <w:pPr>
              <w:pStyle w:val="ListBullet"/>
              <w:rPr>
                <w:lang w:val="en-NZ"/>
              </w:rPr>
            </w:pPr>
            <w:r w:rsidRPr="002A6A0A">
              <w:t>storage and disposal of information.</w:t>
            </w:r>
          </w:p>
        </w:tc>
      </w:tr>
      <w:tr w:rsidTr="0001453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BoldandItalics"/>
              </w:rPr>
              <w:t>Evidence may include</w:t>
            </w:r>
            <w:r w:rsidRPr="002A6A0A">
              <w:t>:</w:t>
            </w:r>
          </w:p>
        </w:tc>
        <w:tc>
          <w:tcPr>
            <w:tcW w:w="6110" w:type="dxa"/>
            <w:tcBorders>
              <w:top w:val="nil"/>
              <w:left w:val="nil"/>
              <w:bottom w:val="nil"/>
              <w:right w:val="nil"/>
            </w:tcBorders>
            <w:tcMar>
              <w:top w:w="0" w:type="dxa"/>
              <w:left w:w="62" w:type="dxa"/>
              <w:bottom w:w="0" w:type="dxa"/>
              <w:right w:w="62" w:type="dxa"/>
            </w:tcMar>
          </w:tcPr>
          <w:p w:rsidR="00000000" w:rsidRPr="002A6A0A" w:rsidP="002A6A0A">
            <w:pPr>
              <w:pStyle w:val="ListBullet"/>
            </w:pPr>
            <w:r w:rsidRPr="002A6A0A">
              <w:t>audio or video recordings</w:t>
            </w:r>
          </w:p>
          <w:p w:rsidR="00000000" w:rsidRPr="002A6A0A" w:rsidP="002A6A0A">
            <w:pPr>
              <w:pStyle w:val="ListBullet"/>
            </w:pPr>
            <w:r w:rsidRPr="002A6A0A">
              <w:t>charts</w:t>
            </w:r>
          </w:p>
          <w:p w:rsidR="00000000" w:rsidRPr="002A6A0A" w:rsidP="002A6A0A">
            <w:pPr>
              <w:pStyle w:val="ListBullet"/>
            </w:pPr>
            <w:r w:rsidRPr="002A6A0A">
              <w:t>documents</w:t>
            </w:r>
          </w:p>
          <w:p w:rsidR="00000000" w:rsidRPr="002A6A0A" w:rsidP="002A6A0A">
            <w:pPr>
              <w:pStyle w:val="ListBullet"/>
            </w:pPr>
            <w:r w:rsidRPr="002A6A0A">
              <w:t>drawings</w:t>
            </w:r>
          </w:p>
          <w:p w:rsidR="00000000" w:rsidRPr="002A6A0A" w:rsidP="002A6A0A">
            <w:pPr>
              <w:pStyle w:val="ListBullet"/>
            </w:pPr>
            <w:r w:rsidRPr="002A6A0A">
              <w:t>facts</w:t>
            </w:r>
          </w:p>
          <w:p w:rsidR="00000000" w:rsidRPr="002A6A0A" w:rsidP="002A6A0A">
            <w:pPr>
              <w:pStyle w:val="ListBullet"/>
            </w:pPr>
            <w:r w:rsidRPr="002A6A0A">
              <w:t>photographs or images</w:t>
            </w:r>
          </w:p>
          <w:p w:rsidR="00000000" w:rsidRPr="002A6A0A" w:rsidP="002A6A0A">
            <w:pPr>
              <w:pStyle w:val="ListBullet"/>
            </w:pPr>
            <w:r w:rsidRPr="002A6A0A">
              <w:t>physical items (eg specimens, samples)</w:t>
            </w:r>
          </w:p>
          <w:p w:rsidR="00000000" w:rsidRPr="002A6A0A" w:rsidP="002A6A0A">
            <w:pPr>
              <w:pStyle w:val="ListBullet"/>
            </w:pPr>
            <w:r w:rsidRPr="002A6A0A">
              <w:t>statements</w:t>
            </w:r>
          </w:p>
          <w:p w:rsidR="00000000" w:rsidP="002A6A0A">
            <w:pPr>
              <w:pStyle w:val="ListBullet"/>
              <w:rPr>
                <w:lang w:val="en-NZ"/>
              </w:rPr>
            </w:pPr>
            <w:r w:rsidRPr="002A6A0A">
              <w:t>testimonies.</w:t>
            </w:r>
          </w:p>
        </w:tc>
      </w:tr>
      <w:tr w:rsidTr="0001453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BoldandItalics"/>
              </w:rPr>
              <w:t>Relevant information may relate to</w:t>
            </w:r>
            <w:r w:rsidRPr="002A6A0A">
              <w:t>:</w:t>
            </w:r>
          </w:p>
        </w:tc>
        <w:tc>
          <w:tcPr>
            <w:tcW w:w="6110" w:type="dxa"/>
            <w:tcBorders>
              <w:top w:val="nil"/>
              <w:left w:val="nil"/>
              <w:bottom w:val="nil"/>
              <w:right w:val="nil"/>
            </w:tcBorders>
            <w:tcMar>
              <w:top w:w="0" w:type="dxa"/>
              <w:left w:w="62" w:type="dxa"/>
              <w:bottom w:w="0" w:type="dxa"/>
              <w:right w:w="62" w:type="dxa"/>
            </w:tcMar>
          </w:tcPr>
          <w:p w:rsidR="00000000" w:rsidRPr="002A6A0A" w:rsidP="002A6A0A">
            <w:pPr>
              <w:pStyle w:val="ListBullet"/>
            </w:pPr>
            <w:r w:rsidRPr="002A6A0A">
              <w:t>admissible evidence</w:t>
            </w:r>
          </w:p>
          <w:p w:rsidR="00000000" w:rsidRPr="002A6A0A" w:rsidP="002A6A0A">
            <w:pPr>
              <w:pStyle w:val="ListBullet"/>
            </w:pPr>
            <w:r w:rsidRPr="002A6A0A">
              <w:t xml:space="preserve">computer-based information </w:t>
            </w:r>
          </w:p>
          <w:p w:rsidR="00000000" w:rsidRPr="002A6A0A" w:rsidP="002A6A0A">
            <w:pPr>
              <w:pStyle w:val="ListBullet"/>
            </w:pPr>
            <w:r w:rsidRPr="002A6A0A">
              <w:t>data</w:t>
            </w:r>
          </w:p>
          <w:p w:rsidR="00000000" w:rsidRPr="002A6A0A" w:rsidP="002A6A0A">
            <w:pPr>
              <w:pStyle w:val="ListBullet"/>
            </w:pPr>
            <w:r w:rsidRPr="002A6A0A">
              <w:t>original and back-up video or audio tapes</w:t>
            </w:r>
          </w:p>
          <w:p w:rsidR="00000000" w:rsidRPr="002A6A0A" w:rsidP="002A6A0A">
            <w:pPr>
              <w:pStyle w:val="ListBullet"/>
            </w:pPr>
            <w:r w:rsidRPr="002A6A0A">
              <w:t xml:space="preserve">original, copy or negative film or photographs </w:t>
            </w:r>
          </w:p>
          <w:p w:rsidR="00000000" w:rsidRPr="002A6A0A" w:rsidP="002A6A0A">
            <w:pPr>
              <w:pStyle w:val="ListBullet"/>
            </w:pPr>
            <w:r w:rsidRPr="002A6A0A">
              <w:t>physical items</w:t>
            </w:r>
          </w:p>
          <w:p w:rsidR="00000000" w:rsidRPr="002A6A0A" w:rsidP="002A6A0A">
            <w:pPr>
              <w:pStyle w:val="ListBullet"/>
            </w:pPr>
            <w:r w:rsidRPr="002A6A0A">
              <w:t>precedents</w:t>
            </w:r>
          </w:p>
          <w:p w:rsidR="00000000" w:rsidRPr="002A6A0A" w:rsidP="002A6A0A">
            <w:pPr>
              <w:pStyle w:val="ListBullet"/>
            </w:pPr>
            <w:r w:rsidRPr="002A6A0A">
              <w:t>records of interview</w:t>
            </w:r>
          </w:p>
          <w:p w:rsidR="00000000" w:rsidRPr="002A6A0A" w:rsidP="002A6A0A">
            <w:pPr>
              <w:pStyle w:val="ListBullet"/>
            </w:pPr>
            <w:r w:rsidRPr="002A6A0A">
              <w:t>reports or documentation</w:t>
            </w:r>
          </w:p>
          <w:p w:rsidR="00000000" w:rsidRPr="002A6A0A" w:rsidP="002A6A0A">
            <w:pPr>
              <w:pStyle w:val="ListBullet"/>
            </w:pPr>
            <w:r w:rsidRPr="002A6A0A">
              <w:t xml:space="preserve">specimens and samples </w:t>
            </w:r>
          </w:p>
          <w:p w:rsidR="00000000" w:rsidRPr="002A6A0A" w:rsidP="002A6A0A">
            <w:pPr>
              <w:pStyle w:val="ListBullet"/>
            </w:pPr>
            <w:r w:rsidRPr="002A6A0A">
              <w:t>tape recordings</w:t>
            </w:r>
          </w:p>
          <w:p w:rsidR="00000000" w:rsidP="002A6A0A">
            <w:pPr>
              <w:pStyle w:val="ListBullet"/>
              <w:rPr>
                <w:lang w:val="en-NZ"/>
              </w:rPr>
            </w:pPr>
            <w:r w:rsidRPr="002A6A0A">
              <w:t>witness statements.</w:t>
            </w:r>
          </w:p>
        </w:tc>
      </w:tr>
      <w:tr w:rsidTr="0001453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BoldandItalics"/>
              </w:rPr>
              <w:t>Evidence management may involve</w:t>
            </w:r>
            <w:r w:rsidRPr="002A6A0A">
              <w:t>:</w:t>
            </w:r>
          </w:p>
        </w:tc>
        <w:tc>
          <w:tcPr>
            <w:tcW w:w="6110" w:type="dxa"/>
            <w:tcBorders>
              <w:top w:val="nil"/>
              <w:left w:val="nil"/>
              <w:bottom w:val="nil"/>
              <w:right w:val="nil"/>
            </w:tcBorders>
            <w:tcMar>
              <w:top w:w="0" w:type="dxa"/>
              <w:left w:w="62" w:type="dxa"/>
              <w:bottom w:w="0" w:type="dxa"/>
              <w:right w:w="62" w:type="dxa"/>
            </w:tcMar>
          </w:tcPr>
          <w:p w:rsidR="00000000" w:rsidRPr="002A6A0A" w:rsidP="002A6A0A">
            <w:pPr>
              <w:pStyle w:val="ListBullet"/>
            </w:pPr>
            <w:r w:rsidRPr="002A6A0A">
              <w:t xml:space="preserve">constant reviews during an investigation </w:t>
            </w:r>
          </w:p>
          <w:p w:rsidR="00000000" w:rsidRPr="002A6A0A" w:rsidP="002A6A0A">
            <w:pPr>
              <w:pStyle w:val="ListBullet"/>
            </w:pPr>
            <w:r w:rsidRPr="002A6A0A">
              <w:t>continuity of possession</w:t>
            </w:r>
          </w:p>
          <w:p w:rsidR="00000000" w:rsidRPr="002A6A0A" w:rsidP="002A6A0A">
            <w:pPr>
              <w:pStyle w:val="ListBullet"/>
            </w:pPr>
            <w:r w:rsidRPr="002A6A0A">
              <w:t>labelling</w:t>
            </w:r>
          </w:p>
          <w:p w:rsidR="00000000" w:rsidRPr="002A6A0A" w:rsidP="002A6A0A">
            <w:pPr>
              <w:pStyle w:val="ListBullet"/>
            </w:pPr>
            <w:r w:rsidRPr="002A6A0A">
              <w:t>protection and storing of evidence</w:t>
            </w:r>
          </w:p>
          <w:p w:rsidR="00000000" w:rsidRPr="002A6A0A" w:rsidP="002A6A0A">
            <w:pPr>
              <w:pStyle w:val="ListBullet"/>
            </w:pPr>
            <w:r w:rsidRPr="002A6A0A">
              <w:t>referral to prosecution organisations at any stage</w:t>
            </w:r>
          </w:p>
          <w:p w:rsidR="00000000" w:rsidRPr="002A6A0A" w:rsidP="002A6A0A">
            <w:pPr>
              <w:pStyle w:val="ListBullet"/>
            </w:pPr>
            <w:r w:rsidRPr="002A6A0A">
              <w:t>systematic recording such as dating and numbering</w:t>
            </w:r>
          </w:p>
          <w:p w:rsidR="00000000" w:rsidP="002A6A0A">
            <w:pPr>
              <w:pStyle w:val="ListBullet"/>
              <w:rPr>
                <w:lang w:val="en-NZ"/>
              </w:rPr>
            </w:pPr>
            <w:r w:rsidRPr="002A6A0A">
              <w:t>using written or electronic database systems.</w:t>
            </w:r>
          </w:p>
        </w:tc>
      </w:tr>
      <w:tr w:rsidTr="0001453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BoldandItalics"/>
              </w:rPr>
              <w:t>Courts</w:t>
            </w:r>
            <w:r w:rsidRPr="002A6A0A">
              <w:t xml:space="preserve"> </w:t>
            </w:r>
            <w:r w:rsidRPr="002A6A0A">
              <w:rPr>
                <w:rStyle w:val="SpecialBold"/>
              </w:rPr>
              <w:t>may include</w:t>
            </w:r>
            <w:r w:rsidRPr="002A6A0A">
              <w:t>:</w:t>
            </w:r>
          </w:p>
        </w:tc>
        <w:tc>
          <w:tcPr>
            <w:tcW w:w="6110" w:type="dxa"/>
            <w:tcBorders>
              <w:top w:val="nil"/>
              <w:left w:val="nil"/>
              <w:bottom w:val="nil"/>
              <w:right w:val="nil"/>
            </w:tcBorders>
            <w:tcMar>
              <w:top w:w="0" w:type="dxa"/>
              <w:left w:w="62" w:type="dxa"/>
              <w:bottom w:w="0" w:type="dxa"/>
              <w:right w:w="62" w:type="dxa"/>
            </w:tcMar>
          </w:tcPr>
          <w:p w:rsidR="00000000" w:rsidRPr="002A6A0A" w:rsidP="002A6A0A">
            <w:pPr>
              <w:pStyle w:val="ListBullet"/>
            </w:pPr>
            <w:r w:rsidRPr="002A6A0A">
              <w:t xml:space="preserve">criminal, coronial and civil </w:t>
            </w:r>
          </w:p>
          <w:p w:rsidR="00000000" w:rsidRPr="002A6A0A" w:rsidP="002A6A0A">
            <w:pPr>
              <w:pStyle w:val="ListBullet"/>
            </w:pPr>
            <w:r w:rsidRPr="002A6A0A">
              <w:t>district</w:t>
            </w:r>
          </w:p>
          <w:p w:rsidR="00000000" w:rsidRPr="002A6A0A" w:rsidP="002A6A0A">
            <w:pPr>
              <w:pStyle w:val="ListBullet"/>
            </w:pPr>
            <w:r w:rsidRPr="002A6A0A">
              <w:t>federal</w:t>
            </w:r>
          </w:p>
          <w:p w:rsidR="00000000" w:rsidRPr="002A6A0A" w:rsidP="002A6A0A">
            <w:pPr>
              <w:pStyle w:val="ListBullet"/>
            </w:pPr>
            <w:r w:rsidRPr="002A6A0A">
              <w:t xml:space="preserve">Human Rights and Equal Opportunity Commission </w:t>
            </w:r>
          </w:p>
          <w:p w:rsidR="00000000" w:rsidRPr="002A6A0A" w:rsidP="002A6A0A">
            <w:pPr>
              <w:pStyle w:val="ListBullet"/>
            </w:pPr>
            <w:r w:rsidRPr="002A6A0A">
              <w:t>Industrial Relations Commission</w:t>
            </w:r>
          </w:p>
          <w:p w:rsidR="00000000" w:rsidRPr="002A6A0A" w:rsidP="002A6A0A">
            <w:pPr>
              <w:pStyle w:val="ListBullet"/>
            </w:pPr>
            <w:r w:rsidRPr="002A6A0A">
              <w:t>Land and Environment Court</w:t>
            </w:r>
          </w:p>
          <w:p w:rsidR="00000000" w:rsidRPr="002A6A0A" w:rsidP="002A6A0A">
            <w:pPr>
              <w:pStyle w:val="ListBullet"/>
            </w:pPr>
            <w:r w:rsidRPr="002A6A0A">
              <w:t>local</w:t>
            </w:r>
          </w:p>
          <w:p w:rsidR="00000000" w:rsidRPr="002A6A0A" w:rsidP="002A6A0A">
            <w:pPr>
              <w:pStyle w:val="ListBullet"/>
            </w:pPr>
            <w:r w:rsidRPr="002A6A0A">
              <w:t xml:space="preserve">magistrates </w:t>
            </w:r>
          </w:p>
          <w:p w:rsidR="00000000" w:rsidRPr="002A6A0A" w:rsidP="002A6A0A">
            <w:pPr>
              <w:pStyle w:val="ListBullet"/>
            </w:pPr>
            <w:r w:rsidRPr="002A6A0A">
              <w:t>Royal Commission</w:t>
            </w:r>
            <w:r w:rsidRPr="002A6A0A">
              <w:t xml:space="preserve">s </w:t>
            </w:r>
          </w:p>
          <w:p w:rsidR="00000000" w:rsidRPr="002A6A0A" w:rsidP="002A6A0A">
            <w:pPr>
              <w:pStyle w:val="ListBullet"/>
            </w:pPr>
            <w:r w:rsidRPr="002A6A0A">
              <w:t>supreme</w:t>
            </w:r>
          </w:p>
          <w:p w:rsidR="00000000" w:rsidP="002A6A0A">
            <w:pPr>
              <w:pStyle w:val="ListBullet"/>
              <w:rPr>
                <w:lang w:val="en-NZ"/>
              </w:rPr>
            </w:pPr>
            <w:r w:rsidRPr="002A6A0A">
              <w:t>tribunals.</w:t>
            </w:r>
          </w:p>
        </w:tc>
      </w:tr>
      <w:tr w:rsidTr="0001453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BoldandItalics"/>
              </w:rPr>
              <w:t>Court arrangements</w:t>
            </w:r>
            <w:r w:rsidRPr="002A6A0A">
              <w:t xml:space="preserve"> </w:t>
            </w:r>
            <w:r w:rsidRPr="002A6A0A">
              <w:rPr>
                <w:rStyle w:val="SpecialBold"/>
              </w:rPr>
              <w:t>may relate to</w:t>
            </w:r>
            <w:r w:rsidRPr="002A6A0A">
              <w:t xml:space="preserve">: </w:t>
            </w:r>
          </w:p>
        </w:tc>
        <w:tc>
          <w:tcPr>
            <w:tcW w:w="6110" w:type="dxa"/>
            <w:tcBorders>
              <w:top w:val="nil"/>
              <w:left w:val="nil"/>
              <w:bottom w:val="nil"/>
              <w:right w:val="nil"/>
            </w:tcBorders>
            <w:tcMar>
              <w:top w:w="0" w:type="dxa"/>
              <w:left w:w="62" w:type="dxa"/>
              <w:bottom w:w="0" w:type="dxa"/>
              <w:right w:w="62" w:type="dxa"/>
            </w:tcMar>
          </w:tcPr>
          <w:p w:rsidR="00000000" w:rsidRPr="002A6A0A" w:rsidP="002A6A0A">
            <w:pPr>
              <w:pStyle w:val="ListBullet"/>
            </w:pPr>
            <w:r w:rsidRPr="002A6A0A">
              <w:t>confirmation of evidence requirements</w:t>
            </w:r>
          </w:p>
          <w:p w:rsidR="00000000" w:rsidRPr="002A6A0A" w:rsidP="002A6A0A">
            <w:pPr>
              <w:pStyle w:val="ListBullet"/>
            </w:pPr>
            <w:r w:rsidRPr="002A6A0A">
              <w:t>date, location and time of proceedings</w:t>
            </w:r>
          </w:p>
          <w:p w:rsidR="00000000" w:rsidP="002A6A0A">
            <w:pPr>
              <w:pStyle w:val="ListBullet"/>
              <w:rPr>
                <w:lang w:val="en-NZ"/>
              </w:rPr>
            </w:pPr>
            <w:r w:rsidRPr="002A6A0A">
              <w:t>documentation requirements.</w:t>
            </w:r>
          </w:p>
        </w:tc>
      </w:tr>
      <w:tr w:rsidTr="0001453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BoldandItalics"/>
              </w:rPr>
              <w:t>Relevant persons</w:t>
            </w:r>
            <w:r w:rsidRPr="002A6A0A">
              <w:t xml:space="preserve"> </w:t>
            </w:r>
            <w:r w:rsidRPr="002A6A0A">
              <w:rPr>
                <w:rStyle w:val="SpecialBold"/>
              </w:rPr>
              <w:t>may include</w:t>
            </w:r>
            <w:r w:rsidRPr="002A6A0A">
              <w:t>:</w:t>
            </w:r>
          </w:p>
        </w:tc>
        <w:tc>
          <w:tcPr>
            <w:tcW w:w="6110" w:type="dxa"/>
            <w:tcBorders>
              <w:top w:val="nil"/>
              <w:left w:val="nil"/>
              <w:bottom w:val="nil"/>
              <w:right w:val="nil"/>
            </w:tcBorders>
            <w:tcMar>
              <w:top w:w="0" w:type="dxa"/>
              <w:left w:w="62" w:type="dxa"/>
              <w:bottom w:w="0" w:type="dxa"/>
              <w:right w:w="62" w:type="dxa"/>
            </w:tcMar>
          </w:tcPr>
          <w:p w:rsidR="00000000" w:rsidRPr="002A6A0A" w:rsidP="002A6A0A">
            <w:pPr>
              <w:pStyle w:val="ListBullet"/>
            </w:pPr>
            <w:r w:rsidRPr="002A6A0A">
              <w:t xml:space="preserve">clients </w:t>
            </w:r>
          </w:p>
          <w:p w:rsidR="00000000" w:rsidRPr="002A6A0A" w:rsidP="002A6A0A">
            <w:pPr>
              <w:pStyle w:val="ListBullet"/>
            </w:pPr>
            <w:r w:rsidRPr="002A6A0A">
              <w:t>colleagues</w:t>
            </w:r>
          </w:p>
          <w:p w:rsidR="00000000" w:rsidRPr="002A6A0A" w:rsidP="002A6A0A">
            <w:pPr>
              <w:pStyle w:val="ListBullet"/>
            </w:pPr>
            <w:r w:rsidRPr="002A6A0A">
              <w:t>judicial representatives</w:t>
            </w:r>
          </w:p>
          <w:p w:rsidR="00000000" w:rsidRPr="002A6A0A" w:rsidP="002A6A0A">
            <w:pPr>
              <w:pStyle w:val="ListBullet"/>
            </w:pPr>
            <w:r w:rsidRPr="002A6A0A">
              <w:t xml:space="preserve">legal representatives </w:t>
            </w:r>
          </w:p>
          <w:p w:rsidR="00000000" w:rsidRPr="002A6A0A" w:rsidP="002A6A0A">
            <w:pPr>
              <w:pStyle w:val="ListBullet"/>
            </w:pPr>
            <w:r w:rsidRPr="002A6A0A">
              <w:t>police</w:t>
            </w:r>
          </w:p>
          <w:p w:rsidR="00000000" w:rsidP="002A6A0A">
            <w:pPr>
              <w:pStyle w:val="ListBullet"/>
              <w:rPr>
                <w:lang w:val="en-NZ"/>
              </w:rPr>
            </w:pPr>
            <w:r w:rsidRPr="002A6A0A">
              <w:t>supervisor.</w:t>
            </w:r>
          </w:p>
        </w:tc>
      </w:tr>
      <w:tr w:rsidTr="0001453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BoldandItalics"/>
              </w:rPr>
              <w:t>Documentation and exhibits</w:t>
            </w:r>
            <w:r w:rsidRPr="002A6A0A">
              <w:t xml:space="preserve"> </w:t>
            </w:r>
            <w:r w:rsidRPr="002A6A0A">
              <w:rPr>
                <w:rStyle w:val="SpecialBold"/>
              </w:rPr>
              <w:t>may relate to</w:t>
            </w:r>
            <w:r w:rsidRPr="002A6A0A">
              <w:t xml:space="preserve">: </w:t>
            </w:r>
          </w:p>
        </w:tc>
        <w:tc>
          <w:tcPr>
            <w:tcW w:w="6110" w:type="dxa"/>
            <w:tcBorders>
              <w:top w:val="nil"/>
              <w:left w:val="nil"/>
              <w:bottom w:val="nil"/>
              <w:right w:val="nil"/>
            </w:tcBorders>
            <w:tcMar>
              <w:top w:w="0" w:type="dxa"/>
              <w:left w:w="62" w:type="dxa"/>
              <w:bottom w:w="0" w:type="dxa"/>
              <w:right w:w="62" w:type="dxa"/>
            </w:tcMar>
          </w:tcPr>
          <w:p w:rsidR="00000000" w:rsidRPr="002A6A0A" w:rsidP="002A6A0A">
            <w:pPr>
              <w:pStyle w:val="ListBullet"/>
            </w:pPr>
            <w:r w:rsidRPr="002A6A0A">
              <w:t>affidavits</w:t>
            </w:r>
          </w:p>
          <w:p w:rsidR="00000000" w:rsidRPr="002A6A0A" w:rsidP="002A6A0A">
            <w:pPr>
              <w:pStyle w:val="ListBullet"/>
            </w:pPr>
            <w:r w:rsidRPr="002A6A0A">
              <w:t xml:space="preserve">items of evidence </w:t>
            </w:r>
          </w:p>
          <w:p w:rsidR="00000000" w:rsidRPr="002A6A0A" w:rsidP="002A6A0A">
            <w:pPr>
              <w:pStyle w:val="ListBullet"/>
            </w:pPr>
            <w:r w:rsidRPr="002A6A0A">
              <w:t xml:space="preserve">media footage </w:t>
            </w:r>
          </w:p>
          <w:p w:rsidR="00000000" w:rsidRPr="002A6A0A" w:rsidP="002A6A0A">
            <w:pPr>
              <w:pStyle w:val="ListBullet"/>
            </w:pPr>
            <w:r w:rsidRPr="002A6A0A">
              <w:t xml:space="preserve">photographs </w:t>
            </w:r>
          </w:p>
          <w:p w:rsidR="00000000" w:rsidRPr="002A6A0A" w:rsidP="002A6A0A">
            <w:pPr>
              <w:pStyle w:val="ListBullet"/>
            </w:pPr>
            <w:r w:rsidRPr="002A6A0A">
              <w:t xml:space="preserve">radio and telephone records or logs </w:t>
            </w:r>
          </w:p>
          <w:p w:rsidR="00000000" w:rsidRPr="002A6A0A" w:rsidP="002A6A0A">
            <w:pPr>
              <w:pStyle w:val="ListBullet"/>
            </w:pPr>
            <w:r w:rsidRPr="002A6A0A">
              <w:t xml:space="preserve">reports </w:t>
            </w:r>
          </w:p>
          <w:p w:rsidR="00000000" w:rsidRPr="002A6A0A" w:rsidP="002A6A0A">
            <w:pPr>
              <w:pStyle w:val="ListBullet"/>
            </w:pPr>
            <w:r w:rsidRPr="002A6A0A">
              <w:t xml:space="preserve">reports of incidents </w:t>
            </w:r>
          </w:p>
          <w:p w:rsidR="00000000" w:rsidP="002A6A0A">
            <w:pPr>
              <w:pStyle w:val="ListBullet"/>
              <w:rPr>
                <w:lang w:val="en-NZ"/>
              </w:rPr>
            </w:pPr>
            <w:r w:rsidRPr="002A6A0A">
              <w:t>transcripts of conversation.</w:t>
            </w:r>
          </w:p>
        </w:tc>
      </w:tr>
      <w:tr w:rsidTr="0001453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BoldandItalics"/>
              </w:rPr>
              <w:t>Rules of evidence</w:t>
            </w:r>
            <w:r w:rsidRPr="002A6A0A">
              <w:t xml:space="preserve"> </w:t>
            </w:r>
            <w:r w:rsidRPr="002A6A0A">
              <w:rPr>
                <w:rStyle w:val="SpecialBold"/>
              </w:rPr>
              <w:t>may involve</w:t>
            </w:r>
            <w:r w:rsidRPr="002A6A0A">
              <w:t xml:space="preserve">: </w:t>
            </w:r>
          </w:p>
        </w:tc>
        <w:tc>
          <w:tcPr>
            <w:tcW w:w="6110" w:type="dxa"/>
            <w:tcBorders>
              <w:top w:val="nil"/>
              <w:left w:val="nil"/>
              <w:bottom w:val="nil"/>
              <w:right w:val="nil"/>
            </w:tcBorders>
            <w:tcMar>
              <w:top w:w="0" w:type="dxa"/>
              <w:left w:w="62" w:type="dxa"/>
              <w:bottom w:w="0" w:type="dxa"/>
              <w:right w:w="62" w:type="dxa"/>
            </w:tcMar>
          </w:tcPr>
          <w:p w:rsidR="00000000" w:rsidRPr="002A6A0A" w:rsidP="002A6A0A">
            <w:pPr>
              <w:pStyle w:val="ListBullet"/>
            </w:pPr>
            <w:r w:rsidRPr="002A6A0A">
              <w:t xml:space="preserve">admissibility </w:t>
            </w:r>
          </w:p>
          <w:p w:rsidR="00000000" w:rsidP="002A6A0A">
            <w:pPr>
              <w:pStyle w:val="ListBullet"/>
              <w:rPr>
                <w:lang w:val="en-NZ"/>
              </w:rPr>
            </w:pPr>
            <w:r w:rsidRPr="002A6A0A">
              <w:t>contemporaneousness.</w:t>
            </w:r>
          </w:p>
        </w:tc>
      </w:tr>
      <w:tr w:rsidTr="0001453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SpecialBold"/>
              </w:rPr>
              <w:t>Court</w:t>
            </w:r>
            <w:r w:rsidRPr="002A6A0A">
              <w:t xml:space="preserve"> </w:t>
            </w:r>
            <w:r w:rsidRPr="002A6A0A">
              <w:rPr>
                <w:rStyle w:val="BoldandItalics"/>
              </w:rPr>
              <w:t>protocols</w:t>
            </w:r>
            <w:r w:rsidRPr="002A6A0A">
              <w:t xml:space="preserve"> </w:t>
            </w:r>
            <w:r w:rsidRPr="002A6A0A">
              <w:rPr>
                <w:rStyle w:val="SpecialBold"/>
              </w:rPr>
              <w:t>may relate to</w:t>
            </w:r>
            <w:r w:rsidRPr="002A6A0A">
              <w:t xml:space="preserve">: </w:t>
            </w:r>
          </w:p>
        </w:tc>
        <w:tc>
          <w:tcPr>
            <w:tcW w:w="6110" w:type="dxa"/>
            <w:tcBorders>
              <w:top w:val="nil"/>
              <w:left w:val="nil"/>
              <w:bottom w:val="nil"/>
              <w:right w:val="nil"/>
            </w:tcBorders>
            <w:tcMar>
              <w:top w:w="0" w:type="dxa"/>
              <w:left w:w="62" w:type="dxa"/>
              <w:bottom w:w="0" w:type="dxa"/>
              <w:right w:w="62" w:type="dxa"/>
            </w:tcMar>
          </w:tcPr>
          <w:p w:rsidR="00000000" w:rsidRPr="002A6A0A" w:rsidP="002A6A0A">
            <w:pPr>
              <w:pStyle w:val="ListBullet"/>
            </w:pPr>
            <w:r w:rsidRPr="002A6A0A">
              <w:t>examination and cross-examination procedures</w:t>
            </w:r>
          </w:p>
          <w:p w:rsidR="00000000" w:rsidRPr="002A6A0A" w:rsidP="002A6A0A">
            <w:pPr>
              <w:pStyle w:val="ListBullet"/>
            </w:pPr>
            <w:r w:rsidRPr="002A6A0A">
              <w:t>forms of address</w:t>
            </w:r>
          </w:p>
          <w:p w:rsidR="00000000" w:rsidRPr="002A6A0A" w:rsidP="002A6A0A">
            <w:pPr>
              <w:pStyle w:val="ListBullet"/>
            </w:pPr>
            <w:r w:rsidRPr="002A6A0A">
              <w:t>general demeanour</w:t>
            </w:r>
          </w:p>
          <w:p w:rsidR="00000000" w:rsidRPr="002A6A0A" w:rsidP="002A6A0A">
            <w:pPr>
              <w:pStyle w:val="ListBullet"/>
            </w:pPr>
            <w:r w:rsidRPr="002A6A0A">
              <w:t>impartiality</w:t>
            </w:r>
          </w:p>
          <w:p w:rsidR="00000000" w:rsidRPr="002A6A0A" w:rsidP="002A6A0A">
            <w:pPr>
              <w:pStyle w:val="ListBullet"/>
            </w:pPr>
            <w:r w:rsidRPr="002A6A0A">
              <w:t>punctuality</w:t>
            </w:r>
          </w:p>
          <w:p w:rsidR="00000000" w:rsidRPr="002A6A0A" w:rsidP="002A6A0A">
            <w:pPr>
              <w:pStyle w:val="ListBullet"/>
            </w:pPr>
            <w:r w:rsidRPr="002A6A0A">
              <w:t>readiness of self and evidence</w:t>
            </w:r>
          </w:p>
          <w:p w:rsidR="00000000" w:rsidRPr="002A6A0A" w:rsidP="002A6A0A">
            <w:pPr>
              <w:pStyle w:val="ListBullet"/>
            </w:pPr>
            <w:r w:rsidRPr="002A6A0A">
              <w:t>respect for people and offices held</w:t>
            </w:r>
          </w:p>
          <w:p w:rsidR="00000000" w:rsidRPr="002A6A0A" w:rsidP="002A6A0A">
            <w:pPr>
              <w:pStyle w:val="ListBullet"/>
            </w:pPr>
            <w:r w:rsidRPr="002A6A0A">
              <w:t>standards of dress, physical appearance</w:t>
            </w:r>
          </w:p>
          <w:p w:rsidR="00000000" w:rsidRPr="002A6A0A" w:rsidP="002A6A0A">
            <w:pPr>
              <w:pStyle w:val="ListBullet"/>
            </w:pPr>
            <w:r w:rsidRPr="002A6A0A">
              <w:t>voice clarity and language.</w:t>
            </w:r>
          </w:p>
        </w:tc>
      </w:tr>
    </w:tbl>
    <w:p w:rsidR="0001453F" w:rsidP="002A6A0A">
      <w:pPr>
        <w:pStyle w:val="BodyText"/>
      </w:pPr>
    </w:p>
    <w:p w:rsidR="0001453F" w:rsidP="002A6A0A">
      <w:pPr>
        <w:pStyle w:val="BodyText"/>
      </w:pPr>
    </w:p>
    <w:p w:rsidR="00000000" w:rsidRPr="002A6A0A" w:rsidP="002A6A0A">
      <w:pPr>
        <w:pStyle w:val="Heading1"/>
      </w:pPr>
      <w:bookmarkStart w:id="12" w:name="O_201834"/>
      <w:bookmarkEnd w:id="12"/>
      <w:r w:rsidRPr="002A6A0A">
        <w:t>Unit Sector(s)</w:t>
      </w:r>
    </w:p>
    <w:tbl>
      <w:tblPr>
        <w:tblW w:w="0" w:type="auto"/>
        <w:tblLayout w:type="fixed"/>
        <w:tblCellMar>
          <w:left w:w="62" w:type="dxa"/>
          <w:right w:w="62" w:type="dxa"/>
        </w:tblCellMar>
        <w:tblLook w:val="0000"/>
      </w:tblPr>
      <w:tblGrid>
        <w:gridCol w:w="2391"/>
        <w:gridCol w:w="6131"/>
      </w:tblGrid>
      <w:tr w:rsidTr="0001453F">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2A6A0A" w:rsidP="002A6A0A">
            <w:pPr>
              <w:pStyle w:val="BodyText"/>
            </w:pPr>
            <w:r w:rsidRPr="002A6A0A">
              <w:t>Security</w:t>
            </w:r>
          </w:p>
        </w:tc>
      </w:tr>
    </w:tbl>
    <w:p w:rsidR="0001453F" w:rsidP="002A6A0A">
      <w:pPr>
        <w:pStyle w:val="BodyText"/>
      </w:pPr>
    </w:p>
    <w:p w:rsidR="0001453F" w:rsidP="002A6A0A">
      <w:pPr>
        <w:pStyle w:val="BodyText"/>
      </w:pPr>
    </w:p>
    <w:p w:rsidR="00000000" w:rsidRPr="002A6A0A" w:rsidP="002A6A0A">
      <w:pPr>
        <w:pStyle w:val="Heading1"/>
      </w:pPr>
      <w:bookmarkStart w:id="13" w:name="O_201833"/>
      <w:bookmarkEnd w:id="13"/>
      <w:r w:rsidRPr="002A6A0A">
        <w:t>Competency field</w:t>
      </w:r>
    </w:p>
    <w:tbl>
      <w:tblPr>
        <w:tblW w:w="0" w:type="auto"/>
        <w:tblLayout w:type="fixed"/>
        <w:tblCellMar>
          <w:left w:w="62" w:type="dxa"/>
          <w:right w:w="62" w:type="dxa"/>
        </w:tblCellMar>
        <w:tblLook w:val="0000"/>
      </w:tblPr>
      <w:tblGrid>
        <w:gridCol w:w="2450"/>
        <w:gridCol w:w="6072"/>
      </w:tblGrid>
      <w:tr w:rsidTr="0001453F">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2A6A0A">
            <w:pPr>
              <w:pStyle w:val="BodyText"/>
              <w:rPr>
                <w:lang w:val="en-NZ"/>
              </w:rPr>
            </w:pPr>
            <w:r w:rsidRPr="002A6A0A">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2A6A0A" w:rsidP="002A6A0A">
            <w:pPr>
              <w:pStyle w:val="BodyText"/>
            </w:pPr>
            <w:r w:rsidRPr="002A6A0A">
              <w:t>Operations</w:t>
            </w:r>
          </w:p>
        </w:tc>
      </w:tr>
    </w:tbl>
    <w:p w:rsidR="0001453F" w:rsidP="002A6A0A">
      <w:pPr>
        <w:pStyle w:val="BodyText"/>
      </w:pPr>
    </w:p>
    <w:p w:rsidR="0001453F" w:rsidP="002A6A0A">
      <w:pPr>
        <w:pStyle w:val="BodyText"/>
      </w:pPr>
    </w:p>
    <w:p w:rsidR="00000000" w:rsidRPr="002A6A0A" w:rsidP="002A6A0A"/>
    <w:sectPr w:rsidSect="002A6A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453F" w:rsidP="000145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53F" w:rsidP="002A6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1453F" w:rsidP="002A6A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1453F" w:rsidP="002A6A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453F" w:rsidP="000145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53F" w:rsidP="002A6A0A">
    <w:pPr>
      <w:pStyle w:val="Header"/>
      <w:framePr w:wrap="around"/>
    </w:pPr>
    <w:r>
      <w:fldChar w:fldCharType="begin"/>
    </w:r>
    <w:r>
      <w:instrText xml:space="preserve"> TITLE   \* MERGEFORMAT </w:instrText>
    </w:r>
    <w:r>
      <w:fldChar w:fldCharType="separate"/>
    </w:r>
    <w:r>
      <w:t>CPPSEC3009A Prepare and present evidence in court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453F" w:rsidP="002A6A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10A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72B4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BCE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A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6A0A"/>
    <w:pPr>
      <w:spacing w:before="360" w:after="60"/>
      <w:outlineLvl w:val="0"/>
    </w:pPr>
    <w:rPr>
      <w:sz w:val="32"/>
    </w:rPr>
  </w:style>
  <w:style w:type="paragraph" w:styleId="Heading2">
    <w:name w:val="heading 2"/>
    <w:basedOn w:val="HeadingBase"/>
    <w:next w:val="BodyText"/>
    <w:link w:val="Heading2Char"/>
    <w:qFormat/>
    <w:rsid w:val="002A6A0A"/>
    <w:pPr>
      <w:keepLines/>
      <w:spacing w:before="240" w:after="120"/>
      <w:outlineLvl w:val="1"/>
    </w:pPr>
    <w:rPr>
      <w:sz w:val="28"/>
      <w:szCs w:val="40"/>
    </w:rPr>
  </w:style>
  <w:style w:type="paragraph" w:styleId="Heading3">
    <w:name w:val="heading 3"/>
    <w:basedOn w:val="HeadingBase"/>
    <w:next w:val="BodyText"/>
    <w:link w:val="Heading3Char"/>
    <w:qFormat/>
    <w:rsid w:val="002A6A0A"/>
    <w:pPr>
      <w:spacing w:before="180" w:after="120"/>
      <w:outlineLvl w:val="2"/>
    </w:pPr>
    <w:rPr>
      <w:spacing w:val="-10"/>
      <w:kern w:val="32"/>
    </w:rPr>
  </w:style>
  <w:style w:type="paragraph" w:styleId="Heading4">
    <w:name w:val="heading 4"/>
    <w:basedOn w:val="HeadingBase"/>
    <w:next w:val="BodyText"/>
    <w:link w:val="Heading4Char"/>
    <w:qFormat/>
    <w:rsid w:val="002A6A0A"/>
    <w:pPr>
      <w:spacing w:before="160" w:after="120"/>
      <w:outlineLvl w:val="3"/>
    </w:pPr>
    <w:rPr>
      <w:sz w:val="22"/>
    </w:rPr>
  </w:style>
  <w:style w:type="paragraph" w:styleId="Heading5">
    <w:name w:val="heading 5"/>
    <w:basedOn w:val="HeadingBase"/>
    <w:next w:val="Normal"/>
    <w:link w:val="Heading5Char"/>
    <w:qFormat/>
    <w:rsid w:val="002A6A0A"/>
    <w:pPr>
      <w:spacing w:before="80"/>
      <w:outlineLvl w:val="4"/>
    </w:pPr>
    <w:rPr>
      <w:color w:val="918585"/>
      <w:sz w:val="20"/>
    </w:rPr>
  </w:style>
  <w:style w:type="paragraph" w:styleId="Heading6">
    <w:name w:val="heading 6"/>
    <w:basedOn w:val="HeadingBase"/>
    <w:next w:val="Normal"/>
    <w:link w:val="Heading6Char"/>
    <w:qFormat/>
    <w:rsid w:val="002A6A0A"/>
    <w:pPr>
      <w:spacing w:before="60"/>
      <w:outlineLvl w:val="5"/>
    </w:pPr>
    <w:rPr>
      <w:color w:val="918585"/>
      <w:sz w:val="20"/>
    </w:rPr>
  </w:style>
  <w:style w:type="paragraph" w:styleId="Heading7">
    <w:name w:val="heading 7"/>
    <w:basedOn w:val="Normal"/>
    <w:next w:val="Normal"/>
    <w:link w:val="Heading7Char"/>
    <w:qFormat/>
    <w:rsid w:val="002A6A0A"/>
    <w:pPr>
      <w:ind w:left="720"/>
      <w:outlineLvl w:val="6"/>
    </w:pPr>
    <w:rPr>
      <w:i/>
    </w:rPr>
  </w:style>
  <w:style w:type="paragraph" w:styleId="Heading8">
    <w:name w:val="heading 8"/>
    <w:basedOn w:val="Normal"/>
    <w:next w:val="Normal"/>
    <w:link w:val="Heading8Char"/>
    <w:qFormat/>
    <w:rsid w:val="002A6A0A"/>
    <w:pPr>
      <w:ind w:left="720"/>
      <w:outlineLvl w:val="7"/>
    </w:pPr>
    <w:rPr>
      <w:i/>
    </w:rPr>
  </w:style>
  <w:style w:type="paragraph" w:styleId="Heading9">
    <w:name w:val="heading 9"/>
    <w:basedOn w:val="Normal"/>
    <w:next w:val="Normal"/>
    <w:link w:val="Heading9Char"/>
    <w:qFormat/>
    <w:rsid w:val="002A6A0A"/>
    <w:pPr>
      <w:ind w:left="720"/>
      <w:outlineLvl w:val="8"/>
    </w:pPr>
    <w:rPr>
      <w:i/>
    </w:rPr>
  </w:style>
  <w:style w:type="character" w:default="1" w:styleId="DefaultParagraphFont">
    <w:name w:val="Default Paragraph Font"/>
    <w:uiPriority w:val="1"/>
    <w:unhideWhenUsed/>
    <w:rsid w:val="002A6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A0A"/>
  </w:style>
  <w:style w:type="character" w:customStyle="1" w:styleId="Heading1Char">
    <w:name w:val="Heading 1 Char"/>
    <w:basedOn w:val="DefaultParagraphFont"/>
    <w:link w:val="Heading1"/>
    <w:rsid w:val="002A6A0A"/>
    <w:rPr>
      <w:rFonts w:ascii="Times New Roman" w:eastAsia="Times New Roman" w:hAnsi="Times New Roman" w:cs="Times New Roman"/>
      <w:b/>
      <w:sz w:val="32"/>
      <w:szCs w:val="20"/>
      <w:lang w:eastAsia="en-US"/>
    </w:rPr>
  </w:style>
  <w:style w:type="paragraph" w:styleId="BodyText">
    <w:name w:val="Body Text"/>
    <w:basedOn w:val="Normal"/>
    <w:link w:val="BodyTextChar"/>
    <w:rsid w:val="002A6A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6A0A"/>
    <w:rPr>
      <w:rFonts w:ascii="Times New Roman" w:eastAsia="Times New Roman" w:hAnsi="Times New Roman" w:cs="Times New Roman"/>
      <w:sz w:val="24"/>
      <w:lang w:val="en-US" w:eastAsia="en-US"/>
    </w:rPr>
  </w:style>
  <w:style w:type="paragraph" w:styleId="Footer">
    <w:name w:val="footer"/>
    <w:basedOn w:val="Normal"/>
    <w:link w:val="FooterChar"/>
    <w:rsid w:val="002A6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A0A"/>
    <w:rPr>
      <w:rFonts w:ascii="Times New Roman" w:eastAsia="Times New Roman" w:hAnsi="Times New Roman" w:cs="Times New Roman"/>
      <w:sz w:val="16"/>
      <w:lang w:val="en-US" w:eastAsia="en-US"/>
    </w:rPr>
  </w:style>
  <w:style w:type="paragraph" w:styleId="List">
    <w:name w:val="List"/>
    <w:basedOn w:val="BodyText"/>
    <w:next w:val="BodyText"/>
    <w:rsid w:val="002A6A0A"/>
    <w:pPr>
      <w:tabs>
        <w:tab w:val="left" w:pos="340"/>
      </w:tabs>
      <w:spacing w:before="60" w:after="60"/>
      <w:ind w:left="340" w:hanging="340"/>
    </w:pPr>
  </w:style>
  <w:style w:type="paragraph" w:styleId="ListBullet">
    <w:name w:val="List Bullet"/>
    <w:basedOn w:val="List"/>
    <w:rsid w:val="002A6A0A"/>
    <w:pPr>
      <w:numPr>
        <w:numId w:val="13"/>
      </w:numPr>
      <w:tabs>
        <w:tab w:val="clear" w:pos="340"/>
      </w:tabs>
      <w:spacing w:before="40" w:after="40"/>
    </w:pPr>
  </w:style>
  <w:style w:type="character" w:customStyle="1" w:styleId="SpecialBold">
    <w:name w:val="Special Bold"/>
    <w:basedOn w:val="DefaultParagraphFont"/>
    <w:rsid w:val="002A6A0A"/>
    <w:rPr>
      <w:b/>
      <w:spacing w:val="0"/>
    </w:rPr>
  </w:style>
  <w:style w:type="paragraph" w:styleId="ListBullet2">
    <w:name w:val="List Bullet 2"/>
    <w:basedOn w:val="List2"/>
    <w:rsid w:val="002A6A0A"/>
    <w:pPr>
      <w:numPr>
        <w:numId w:val="14"/>
      </w:numPr>
      <w:tabs>
        <w:tab w:val="clear" w:pos="680"/>
      </w:tabs>
    </w:pPr>
  </w:style>
  <w:style w:type="paragraph" w:styleId="Header">
    <w:name w:val="header"/>
    <w:basedOn w:val="Normal"/>
    <w:link w:val="HeaderChar"/>
    <w:rsid w:val="002A6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A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6A0A"/>
    <w:pPr>
      <w:spacing w:before="240" w:after="120"/>
      <w:outlineLvl w:val="0"/>
    </w:pPr>
    <w:rPr>
      <w:rFonts w:ascii="Times New Roman" w:hAnsi="Times New Roman"/>
      <w:b/>
      <w:sz w:val="28"/>
    </w:rPr>
  </w:style>
  <w:style w:type="paragraph" w:customStyle="1" w:styleId="AllowPageBreak">
    <w:name w:val="AllowPageBreak"/>
    <w:rsid w:val="002A6A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6A0A"/>
    <w:rPr>
      <w:b/>
      <w:i/>
      <w:u w:val="none"/>
    </w:rPr>
  </w:style>
  <w:style w:type="character" w:customStyle="1" w:styleId="Heading2Char">
    <w:name w:val="Heading 2 Char"/>
    <w:basedOn w:val="DefaultParagraphFont"/>
    <w:link w:val="Heading2"/>
    <w:rsid w:val="002A6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A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6A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6A0A"/>
    <w:rPr>
      <w:rFonts w:ascii="Courier New" w:eastAsia="Times New Roman" w:hAnsi="Courier New" w:cs="Times New Roman"/>
      <w:i/>
      <w:szCs w:val="20"/>
      <w:lang w:val="en-US" w:eastAsia="en-US"/>
    </w:rPr>
  </w:style>
  <w:style w:type="paragraph" w:customStyle="1" w:styleId="HeadingBase">
    <w:name w:val="Heading Base"/>
    <w:rsid w:val="002A6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A0A"/>
    <w:pPr>
      <w:tabs>
        <w:tab w:val="right" w:leader="dot" w:pos="9072"/>
      </w:tabs>
      <w:ind w:left="567"/>
    </w:pPr>
    <w:rPr>
      <w:szCs w:val="22"/>
    </w:rPr>
  </w:style>
  <w:style w:type="paragraph" w:customStyle="1" w:styleId="TOCBase">
    <w:name w:val="TOC Base"/>
    <w:rsid w:val="002A6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A0A"/>
    <w:pPr>
      <w:tabs>
        <w:tab w:val="right" w:leader="dot" w:pos="9072"/>
      </w:tabs>
      <w:spacing w:before="40" w:after="40"/>
      <w:ind w:left="284"/>
    </w:pPr>
    <w:rPr>
      <w:rFonts w:ascii="Times New Roman" w:hAnsi="Times New Roman"/>
    </w:rPr>
  </w:style>
  <w:style w:type="paragraph" w:styleId="TOC1">
    <w:name w:val="toc 1"/>
    <w:basedOn w:val="TOCBase"/>
    <w:next w:val="Normal"/>
    <w:rsid w:val="002A6A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6A0A"/>
    <w:pPr>
      <w:spacing w:before="5040"/>
      <w:jc w:val="center"/>
    </w:pPr>
    <w:rPr>
      <w:sz w:val="48"/>
      <w:szCs w:val="72"/>
      <w:lang w:val="en-US"/>
    </w:rPr>
  </w:style>
  <w:style w:type="character" w:customStyle="1" w:styleId="TitleChar">
    <w:name w:val="Title Char"/>
    <w:basedOn w:val="DefaultParagraphFont"/>
    <w:link w:val="Title"/>
    <w:rsid w:val="002A6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A0A"/>
    <w:pPr>
      <w:tabs>
        <w:tab w:val="left" w:pos="3600"/>
        <w:tab w:val="left" w:pos="3958"/>
      </w:tabs>
    </w:pPr>
  </w:style>
  <w:style w:type="paragraph" w:customStyle="1" w:styleId="Note">
    <w:name w:val="Note"/>
    <w:basedOn w:val="BodyText"/>
    <w:rsid w:val="002A6A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A0A"/>
    <w:pPr>
      <w:framePr w:wrap="auto" w:hAnchor="text" w:y="6049"/>
    </w:pPr>
    <w:rPr>
      <w:color w:val="000000"/>
      <w:sz w:val="40"/>
    </w:rPr>
  </w:style>
  <w:style w:type="paragraph" w:customStyle="1" w:styleId="TOCTitle">
    <w:name w:val="TOCTitle"/>
    <w:basedOn w:val="Heading1"/>
    <w:rsid w:val="002A6A0A"/>
    <w:pPr>
      <w:spacing w:after="240"/>
      <w:jc w:val="center"/>
      <w:outlineLvl w:val="9"/>
    </w:pPr>
    <w:rPr>
      <w:caps/>
    </w:rPr>
  </w:style>
  <w:style w:type="paragraph" w:customStyle="1" w:styleId="Version">
    <w:name w:val="Version"/>
    <w:rsid w:val="002A6A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6A0A"/>
    <w:pPr>
      <w:keepNext w:val="0"/>
      <w:tabs>
        <w:tab w:val="right" w:pos="4176"/>
      </w:tabs>
      <w:ind w:left="198" w:hanging="198"/>
    </w:pPr>
    <w:rPr>
      <w:rFonts w:ascii="Garamond" w:hAnsi="Garamond"/>
    </w:rPr>
  </w:style>
  <w:style w:type="paragraph" w:styleId="IndexHeading">
    <w:name w:val="index heading"/>
    <w:basedOn w:val="Normal"/>
    <w:next w:val="Index1"/>
    <w:semiHidden/>
    <w:rsid w:val="002A6A0A"/>
    <w:pPr>
      <w:spacing w:before="120" w:after="120"/>
    </w:pPr>
    <w:rPr>
      <w:rFonts w:ascii="Arial" w:hAnsi="Arial"/>
      <w:b/>
      <w:color w:val="918585"/>
      <w:sz w:val="24"/>
    </w:rPr>
  </w:style>
  <w:style w:type="paragraph" w:customStyle="1" w:styleId="Chapter">
    <w:name w:val="Chapter"/>
    <w:basedOn w:val="Normal"/>
    <w:rsid w:val="002A6A0A"/>
    <w:pPr>
      <w:spacing w:before="240"/>
    </w:pPr>
    <w:rPr>
      <w:rFonts w:ascii="Times New Roman" w:hAnsi="Times New Roman"/>
      <w:smallCaps/>
      <w:spacing w:val="80"/>
      <w:sz w:val="28"/>
    </w:rPr>
  </w:style>
  <w:style w:type="paragraph" w:customStyle="1" w:styleId="InChapter">
    <w:name w:val="InChapter"/>
    <w:basedOn w:val="Heading3"/>
    <w:rsid w:val="002A6A0A"/>
    <w:pPr>
      <w:spacing w:after="240"/>
      <w:outlineLvl w:val="9"/>
    </w:pPr>
    <w:rPr>
      <w:noProof/>
    </w:rPr>
  </w:style>
  <w:style w:type="paragraph" w:styleId="Index2">
    <w:name w:val="index 2"/>
    <w:basedOn w:val="Normal"/>
    <w:next w:val="Normal"/>
    <w:semiHidden/>
    <w:rsid w:val="002A6A0A"/>
    <w:pPr>
      <w:tabs>
        <w:tab w:val="right" w:pos="4176"/>
      </w:tabs>
      <w:ind w:left="568" w:hanging="284"/>
    </w:pPr>
    <w:rPr>
      <w:rFonts w:ascii="Garamond" w:hAnsi="Garamond"/>
    </w:rPr>
  </w:style>
  <w:style w:type="paragraph" w:customStyle="1" w:styleId="Byline">
    <w:name w:val="Byline"/>
    <w:rsid w:val="002A6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A0A"/>
    <w:pPr>
      <w:tabs>
        <w:tab w:val="clear" w:pos="3600"/>
        <w:tab w:val="clear" w:pos="3958"/>
      </w:tabs>
      <w:jc w:val="right"/>
    </w:pPr>
  </w:style>
  <w:style w:type="character" w:styleId="Emphasis">
    <w:name w:val="Emphasis"/>
    <w:basedOn w:val="DefaultParagraphFont"/>
    <w:qFormat/>
    <w:rsid w:val="002A6A0A"/>
    <w:rPr>
      <w:i/>
    </w:rPr>
  </w:style>
  <w:style w:type="paragraph" w:styleId="Caption">
    <w:name w:val="caption"/>
    <w:basedOn w:val="BodyText"/>
    <w:next w:val="Normal"/>
    <w:qFormat/>
    <w:rsid w:val="002A6A0A"/>
    <w:pPr>
      <w:framePr w:w="2268" w:hSpace="181" w:vSpace="181" w:wrap="around" w:vAnchor="text" w:hAnchor="page" w:x="1135" w:y="285" w:anchorLock="1"/>
    </w:pPr>
    <w:rPr>
      <w:i/>
    </w:rPr>
  </w:style>
  <w:style w:type="paragraph" w:customStyle="1" w:styleId="MiniTOCTitle">
    <w:name w:val="MiniTOCTitle"/>
    <w:basedOn w:val="Heading4"/>
    <w:rsid w:val="002A6A0A"/>
    <w:pPr>
      <w:spacing w:before="240"/>
      <w:outlineLvl w:val="9"/>
    </w:pPr>
    <w:rPr>
      <w:noProof/>
      <w:sz w:val="24"/>
    </w:rPr>
  </w:style>
  <w:style w:type="paragraph" w:customStyle="1" w:styleId="MiniTOCItem">
    <w:name w:val="MiniTOCItem"/>
    <w:basedOn w:val="ListBullet"/>
    <w:rsid w:val="002A6A0A"/>
    <w:pPr>
      <w:numPr>
        <w:numId w:val="0"/>
      </w:numPr>
      <w:tabs>
        <w:tab w:val="right" w:leader="dot" w:pos="6521"/>
      </w:tabs>
      <w:spacing w:before="0" w:after="0"/>
    </w:pPr>
  </w:style>
  <w:style w:type="paragraph" w:customStyle="1" w:styleId="TOFTitle">
    <w:name w:val="TOFTitle"/>
    <w:basedOn w:val="TOCTitle"/>
    <w:rsid w:val="002A6A0A"/>
  </w:style>
  <w:style w:type="paragraph" w:styleId="TableofFigures">
    <w:name w:val="table of figures"/>
    <w:basedOn w:val="Normal"/>
    <w:next w:val="Normal"/>
    <w:semiHidden/>
    <w:rsid w:val="002A6A0A"/>
    <w:pPr>
      <w:tabs>
        <w:tab w:val="right" w:leader="dot" w:pos="9072"/>
      </w:tabs>
      <w:ind w:left="970" w:hanging="403"/>
    </w:pPr>
    <w:rPr>
      <w:rFonts w:ascii="Times New Roman" w:hAnsi="Times New Roman"/>
      <w:b/>
    </w:rPr>
  </w:style>
  <w:style w:type="paragraph" w:styleId="ListNumber">
    <w:name w:val="List Number"/>
    <w:basedOn w:val="List"/>
    <w:rsid w:val="002A6A0A"/>
    <w:pPr>
      <w:numPr>
        <w:numId w:val="11"/>
      </w:numPr>
    </w:pPr>
  </w:style>
  <w:style w:type="character" w:customStyle="1" w:styleId="WingdingSymbols">
    <w:name w:val="Wingding Symbols"/>
    <w:rsid w:val="002A6A0A"/>
    <w:rPr>
      <w:rFonts w:ascii="Wingdings" w:hAnsi="Wingdings"/>
    </w:rPr>
  </w:style>
  <w:style w:type="paragraph" w:customStyle="1" w:styleId="TableHeading">
    <w:name w:val="Table Heading"/>
    <w:basedOn w:val="HeadingBase"/>
    <w:rsid w:val="002A6A0A"/>
    <w:pPr>
      <w:keepLines/>
      <w:pBdr>
        <w:bottom w:val="single" w:sz="6" w:space="1" w:color="918585"/>
      </w:pBdr>
      <w:spacing w:before="240"/>
    </w:pPr>
  </w:style>
  <w:style w:type="character" w:customStyle="1" w:styleId="HotSpot">
    <w:name w:val="HotSpot"/>
    <w:rsid w:val="002A6A0A"/>
    <w:rPr>
      <w:color w:val="0033CC"/>
      <w:u w:val="none"/>
    </w:rPr>
  </w:style>
  <w:style w:type="paragraph" w:customStyle="1" w:styleId="BodyTextRight">
    <w:name w:val="Body Text Right"/>
    <w:basedOn w:val="BodyText"/>
    <w:rsid w:val="002A6A0A"/>
    <w:pPr>
      <w:spacing w:before="0" w:after="0"/>
      <w:jc w:val="right"/>
    </w:pPr>
  </w:style>
  <w:style w:type="paragraph" w:styleId="Index3">
    <w:name w:val="index 3"/>
    <w:basedOn w:val="ListNumber2"/>
    <w:next w:val="Normal"/>
    <w:semiHidden/>
    <w:rsid w:val="002A6A0A"/>
    <w:pPr>
      <w:numPr>
        <w:numId w:val="0"/>
      </w:numPr>
      <w:tabs>
        <w:tab w:val="right" w:leader="dot" w:pos="4176"/>
      </w:tabs>
    </w:pPr>
  </w:style>
  <w:style w:type="paragraph" w:styleId="ListNumber2">
    <w:name w:val="List Number 2"/>
    <w:basedOn w:val="List2"/>
    <w:rsid w:val="002A6A0A"/>
    <w:pPr>
      <w:numPr>
        <w:numId w:val="10"/>
      </w:numPr>
      <w:tabs>
        <w:tab w:val="clear" w:pos="1060"/>
      </w:tabs>
    </w:pPr>
  </w:style>
  <w:style w:type="paragraph" w:customStyle="1" w:styleId="MarginNote">
    <w:name w:val="Margin Note"/>
    <w:basedOn w:val="BodyText"/>
    <w:rsid w:val="002A6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A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6A0A"/>
    <w:rPr>
      <w:sz w:val="32"/>
    </w:rPr>
  </w:style>
  <w:style w:type="paragraph" w:customStyle="1" w:styleId="HeadingProcedure">
    <w:name w:val="Heading Procedure"/>
    <w:basedOn w:val="HeadingBase"/>
    <w:next w:val="Normal"/>
    <w:rsid w:val="002A6A0A"/>
    <w:pPr>
      <w:tabs>
        <w:tab w:val="left" w:pos="0"/>
      </w:tabs>
      <w:spacing w:before="120" w:after="60"/>
    </w:pPr>
    <w:rPr>
      <w:i/>
      <w:color w:val="918585"/>
      <w:sz w:val="22"/>
    </w:rPr>
  </w:style>
  <w:style w:type="paragraph" w:customStyle="1" w:styleId="TableBodyText">
    <w:name w:val="Table Body Text"/>
    <w:basedOn w:val="BodyText"/>
    <w:rsid w:val="002A6A0A"/>
    <w:pPr>
      <w:spacing w:before="60" w:after="60"/>
    </w:pPr>
  </w:style>
  <w:style w:type="paragraph" w:styleId="ListContinue">
    <w:name w:val="List Continue"/>
    <w:basedOn w:val="List"/>
    <w:rsid w:val="002A6A0A"/>
    <w:pPr>
      <w:ind w:firstLine="0"/>
    </w:pPr>
  </w:style>
  <w:style w:type="paragraph" w:customStyle="1" w:styleId="ListNote">
    <w:name w:val="List Note"/>
    <w:basedOn w:val="List"/>
    <w:rsid w:val="002A6A0A"/>
    <w:pPr>
      <w:pBdr>
        <w:top w:val="single" w:sz="6" w:space="2" w:color="918585"/>
        <w:bottom w:val="single" w:sz="6" w:space="2" w:color="918585"/>
      </w:pBdr>
      <w:tabs>
        <w:tab w:val="left" w:pos="1021"/>
      </w:tabs>
      <w:ind w:firstLine="0"/>
    </w:pPr>
  </w:style>
  <w:style w:type="paragraph" w:customStyle="1" w:styleId="Warning">
    <w:name w:val="Warning"/>
    <w:basedOn w:val="BodyText"/>
    <w:rsid w:val="002A6A0A"/>
    <w:pPr>
      <w:shd w:val="clear" w:color="auto" w:fill="D9D9D9"/>
      <w:tabs>
        <w:tab w:val="left" w:pos="992"/>
      </w:tabs>
      <w:ind w:left="119" w:right="119"/>
    </w:pPr>
    <w:rPr>
      <w:sz w:val="20"/>
    </w:rPr>
  </w:style>
  <w:style w:type="paragraph" w:customStyle="1" w:styleId="MarginIcons">
    <w:name w:val="Margin Icons"/>
    <w:basedOn w:val="BodyText"/>
    <w:rsid w:val="002A6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A0A"/>
    <w:rPr>
      <w:rFonts w:ascii="Courier New" w:hAnsi="Courier New"/>
    </w:rPr>
  </w:style>
  <w:style w:type="paragraph" w:customStyle="1" w:styleId="NoteBullet">
    <w:name w:val="Note Bullet"/>
    <w:basedOn w:val="Note"/>
    <w:rsid w:val="002A6A0A"/>
    <w:pPr>
      <w:tabs>
        <w:tab w:val="clear" w:pos="680"/>
      </w:tabs>
      <w:spacing w:before="60" w:after="60"/>
    </w:pPr>
  </w:style>
  <w:style w:type="paragraph" w:customStyle="1" w:styleId="SubHeading2">
    <w:name w:val="SubHeading2"/>
    <w:basedOn w:val="HeadingBase"/>
    <w:rsid w:val="002A6A0A"/>
    <w:pPr>
      <w:spacing w:before="240" w:after="60"/>
    </w:pPr>
    <w:rPr>
      <w:sz w:val="20"/>
    </w:rPr>
  </w:style>
  <w:style w:type="paragraph" w:customStyle="1" w:styleId="SubHeading1">
    <w:name w:val="SubHeading1"/>
    <w:basedOn w:val="HeadingBase"/>
    <w:rsid w:val="002A6A0A"/>
    <w:pPr>
      <w:spacing w:before="240" w:after="60"/>
    </w:pPr>
    <w:rPr>
      <w:color w:val="918585"/>
      <w:sz w:val="22"/>
    </w:rPr>
  </w:style>
  <w:style w:type="paragraph" w:customStyle="1" w:styleId="SideHeading">
    <w:name w:val="Side Heading"/>
    <w:basedOn w:val="HeadingBase"/>
    <w:rsid w:val="002A6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A0A"/>
    <w:pPr>
      <w:numPr>
        <w:numId w:val="12"/>
      </w:numPr>
    </w:pPr>
  </w:style>
  <w:style w:type="paragraph" w:styleId="PlainText">
    <w:name w:val="Plain Text"/>
    <w:basedOn w:val="Normal"/>
    <w:link w:val="PlainTextChar"/>
    <w:rsid w:val="002A6A0A"/>
    <w:rPr>
      <w:sz w:val="20"/>
    </w:rPr>
  </w:style>
  <w:style w:type="character" w:customStyle="1" w:styleId="PlainTextChar">
    <w:name w:val="Plain Text Char"/>
    <w:basedOn w:val="DefaultParagraphFont"/>
    <w:link w:val="PlainText"/>
    <w:rsid w:val="002A6A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6A0A"/>
    <w:rPr>
      <w:b/>
      <w:smallCaps/>
    </w:rPr>
  </w:style>
  <w:style w:type="paragraph" w:customStyle="1" w:styleId="TableListNumber">
    <w:name w:val="Table List Number"/>
    <w:basedOn w:val="ListNumber"/>
    <w:rsid w:val="002A6A0A"/>
    <w:pPr>
      <w:numPr>
        <w:numId w:val="0"/>
      </w:numPr>
    </w:pPr>
  </w:style>
  <w:style w:type="paragraph" w:styleId="TOC4">
    <w:name w:val="toc 4"/>
    <w:basedOn w:val="TOCBase"/>
    <w:next w:val="Normal"/>
    <w:semiHidden/>
    <w:rsid w:val="002A6A0A"/>
    <w:pPr>
      <w:tabs>
        <w:tab w:val="right" w:leader="dot" w:pos="9071"/>
      </w:tabs>
      <w:ind w:left="1701"/>
    </w:pPr>
  </w:style>
  <w:style w:type="paragraph" w:customStyle="1" w:styleId="ListAlpha">
    <w:name w:val="List Alpha"/>
    <w:basedOn w:val="List"/>
    <w:rsid w:val="002A6A0A"/>
    <w:pPr>
      <w:numPr>
        <w:numId w:val="9"/>
      </w:numPr>
    </w:pPr>
  </w:style>
  <w:style w:type="paragraph" w:customStyle="1" w:styleId="ListAlpha2">
    <w:name w:val="List Alpha 2"/>
    <w:basedOn w:val="List2"/>
    <w:rsid w:val="002A6A0A"/>
    <w:pPr>
      <w:numPr>
        <w:numId w:val="8"/>
      </w:numPr>
    </w:pPr>
  </w:style>
  <w:style w:type="paragraph" w:styleId="List2">
    <w:name w:val="List 2"/>
    <w:basedOn w:val="BodyText"/>
    <w:rsid w:val="002A6A0A"/>
    <w:pPr>
      <w:tabs>
        <w:tab w:val="left" w:pos="680"/>
      </w:tabs>
      <w:spacing w:before="60" w:after="60"/>
      <w:ind w:left="680" w:hanging="340"/>
    </w:pPr>
  </w:style>
  <w:style w:type="paragraph" w:styleId="List3">
    <w:name w:val="List 3"/>
    <w:basedOn w:val="BodyText"/>
    <w:rsid w:val="002A6A0A"/>
    <w:pPr>
      <w:tabs>
        <w:tab w:val="left" w:pos="1021"/>
      </w:tabs>
      <w:spacing w:before="60" w:after="60"/>
      <w:ind w:left="1020" w:hanging="340"/>
    </w:pPr>
  </w:style>
  <w:style w:type="paragraph" w:styleId="List4">
    <w:name w:val="List 4"/>
    <w:basedOn w:val="BodyText"/>
    <w:rsid w:val="002A6A0A"/>
    <w:pPr>
      <w:tabs>
        <w:tab w:val="left" w:pos="1361"/>
      </w:tabs>
      <w:spacing w:before="60" w:after="60"/>
      <w:ind w:left="1361" w:hanging="340"/>
    </w:pPr>
  </w:style>
  <w:style w:type="paragraph" w:styleId="List5">
    <w:name w:val="List 5"/>
    <w:basedOn w:val="BodyText"/>
    <w:rsid w:val="002A6A0A"/>
    <w:pPr>
      <w:tabs>
        <w:tab w:val="left" w:pos="1701"/>
      </w:tabs>
      <w:spacing w:before="60" w:after="60"/>
      <w:ind w:left="1701" w:hanging="340"/>
    </w:pPr>
  </w:style>
  <w:style w:type="paragraph" w:styleId="ListBullet3">
    <w:name w:val="List Bullet 3"/>
    <w:basedOn w:val="List3"/>
    <w:rsid w:val="002A6A0A"/>
    <w:pPr>
      <w:numPr>
        <w:numId w:val="15"/>
      </w:numPr>
      <w:tabs>
        <w:tab w:val="clear" w:pos="1021"/>
      </w:tabs>
      <w:ind w:left="1037" w:hanging="357"/>
    </w:pPr>
  </w:style>
  <w:style w:type="paragraph" w:styleId="ListBullet4">
    <w:name w:val="List Bullet 4"/>
    <w:basedOn w:val="List4"/>
    <w:rsid w:val="002A6A0A"/>
    <w:pPr>
      <w:numPr>
        <w:numId w:val="3"/>
      </w:numPr>
    </w:pPr>
  </w:style>
  <w:style w:type="paragraph" w:styleId="ListBullet5">
    <w:name w:val="List Bullet 5"/>
    <w:basedOn w:val="List5"/>
    <w:rsid w:val="002A6A0A"/>
    <w:pPr>
      <w:numPr>
        <w:numId w:val="4"/>
      </w:numPr>
    </w:pPr>
  </w:style>
  <w:style w:type="paragraph" w:styleId="ListContinue2">
    <w:name w:val="List Continue 2"/>
    <w:basedOn w:val="List2"/>
    <w:rsid w:val="002A6A0A"/>
    <w:pPr>
      <w:ind w:firstLine="0"/>
    </w:pPr>
  </w:style>
  <w:style w:type="paragraph" w:styleId="ListContinue3">
    <w:name w:val="List Continue 3"/>
    <w:basedOn w:val="List3"/>
    <w:rsid w:val="002A6A0A"/>
    <w:pPr>
      <w:ind w:left="1021" w:firstLine="0"/>
    </w:pPr>
  </w:style>
  <w:style w:type="paragraph" w:styleId="ListContinue4">
    <w:name w:val="List Continue 4"/>
    <w:basedOn w:val="List4"/>
    <w:rsid w:val="002A6A0A"/>
    <w:pPr>
      <w:ind w:firstLine="0"/>
    </w:pPr>
  </w:style>
  <w:style w:type="paragraph" w:styleId="ListContinue5">
    <w:name w:val="List Continue 5"/>
    <w:basedOn w:val="List5"/>
    <w:rsid w:val="002A6A0A"/>
    <w:pPr>
      <w:ind w:firstLine="0"/>
    </w:pPr>
  </w:style>
  <w:style w:type="paragraph" w:styleId="ListNumber3">
    <w:name w:val="List Number 3"/>
    <w:basedOn w:val="List3"/>
    <w:rsid w:val="002A6A0A"/>
    <w:pPr>
      <w:numPr>
        <w:numId w:val="5"/>
      </w:numPr>
    </w:pPr>
  </w:style>
  <w:style w:type="paragraph" w:styleId="ListNumber4">
    <w:name w:val="List Number 4"/>
    <w:basedOn w:val="List4"/>
    <w:rsid w:val="002A6A0A"/>
    <w:pPr>
      <w:numPr>
        <w:numId w:val="6"/>
      </w:numPr>
    </w:pPr>
  </w:style>
  <w:style w:type="paragraph" w:styleId="ListNumber5">
    <w:name w:val="List Number 5"/>
    <w:basedOn w:val="List5"/>
    <w:rsid w:val="002A6A0A"/>
    <w:pPr>
      <w:numPr>
        <w:numId w:val="7"/>
      </w:numPr>
    </w:pPr>
  </w:style>
  <w:style w:type="paragraph" w:styleId="BlockText">
    <w:name w:val="Block Text"/>
    <w:basedOn w:val="Normal"/>
    <w:rsid w:val="002A6A0A"/>
    <w:pPr>
      <w:spacing w:after="120"/>
      <w:ind w:left="1440" w:right="1440"/>
    </w:pPr>
  </w:style>
  <w:style w:type="character" w:customStyle="1" w:styleId="Subscript">
    <w:name w:val="Subscript"/>
    <w:basedOn w:val="DefaultParagraphFont"/>
    <w:rsid w:val="002A6A0A"/>
    <w:rPr>
      <w:sz w:val="16"/>
      <w:vertAlign w:val="subscript"/>
    </w:rPr>
  </w:style>
  <w:style w:type="character" w:customStyle="1" w:styleId="Superscript">
    <w:name w:val="Superscript"/>
    <w:basedOn w:val="DefaultParagraphFont"/>
    <w:rsid w:val="002A6A0A"/>
    <w:rPr>
      <w:sz w:val="16"/>
      <w:vertAlign w:val="superscript"/>
    </w:rPr>
  </w:style>
  <w:style w:type="character" w:customStyle="1" w:styleId="Symbols">
    <w:name w:val="Symbols"/>
    <w:basedOn w:val="DefaultParagraphFont"/>
    <w:rsid w:val="002A6A0A"/>
    <w:rPr>
      <w:rFonts w:ascii="Symbol" w:hAnsi="Symbol"/>
    </w:rPr>
  </w:style>
  <w:style w:type="character" w:customStyle="1" w:styleId="MenuOptions">
    <w:name w:val="Menu Options"/>
    <w:basedOn w:val="DefaultParagraphFont"/>
    <w:rsid w:val="002A6A0A"/>
    <w:rPr>
      <w:rFonts w:ascii="Arial Narrow" w:hAnsi="Arial Narrow"/>
      <w:smallCaps/>
    </w:rPr>
  </w:style>
  <w:style w:type="character" w:customStyle="1" w:styleId="Buttons">
    <w:name w:val="Buttons"/>
    <w:basedOn w:val="DefaultParagraphFont"/>
    <w:rsid w:val="002A6A0A"/>
    <w:rPr>
      <w:b/>
    </w:rPr>
  </w:style>
  <w:style w:type="character" w:customStyle="1" w:styleId="Underlined">
    <w:name w:val="Underlined"/>
    <w:basedOn w:val="DefaultParagraphFont"/>
    <w:rsid w:val="002A6A0A"/>
    <w:rPr>
      <w:u w:val="single"/>
    </w:rPr>
  </w:style>
  <w:style w:type="paragraph" w:customStyle="1" w:styleId="TableBodyTextRight">
    <w:name w:val="Table Body Text Right"/>
    <w:basedOn w:val="TableBodyText"/>
    <w:rsid w:val="002A6A0A"/>
    <w:pPr>
      <w:widowControl w:val="0"/>
      <w:autoSpaceDE w:val="0"/>
      <w:autoSpaceDN w:val="0"/>
      <w:adjustRightInd w:val="0"/>
      <w:jc w:val="right"/>
    </w:pPr>
    <w:rPr>
      <w:rFonts w:cs="Arial"/>
      <w:szCs w:val="18"/>
    </w:rPr>
  </w:style>
  <w:style w:type="paragraph" w:customStyle="1" w:styleId="CopyrightText">
    <w:name w:val="Copyright Text"/>
    <w:basedOn w:val="BodyText"/>
    <w:rsid w:val="002A6A0A"/>
    <w:rPr>
      <w:sz w:val="18"/>
    </w:rPr>
  </w:style>
  <w:style w:type="paragraph" w:customStyle="1" w:styleId="BodySmallRight">
    <w:name w:val="Body Small Right"/>
    <w:basedOn w:val="BodyTextRight"/>
    <w:rsid w:val="002A6A0A"/>
    <w:rPr>
      <w:sz w:val="18"/>
      <w:szCs w:val="18"/>
    </w:rPr>
  </w:style>
  <w:style w:type="paragraph" w:customStyle="1" w:styleId="MarginEdition">
    <w:name w:val="Margin Edition"/>
    <w:basedOn w:val="MarginNote"/>
    <w:rsid w:val="002A6A0A"/>
    <w:pPr>
      <w:spacing w:before="0" w:after="0"/>
    </w:pPr>
    <w:rPr>
      <w:rFonts w:ascii="Times New Roman" w:hAnsi="Times New Roman"/>
      <w:color w:val="999999"/>
    </w:rPr>
  </w:style>
  <w:style w:type="paragraph" w:customStyle="1" w:styleId="Spacer">
    <w:name w:val="Spacer"/>
    <w:basedOn w:val="Normal"/>
    <w:rsid w:val="002A6A0A"/>
    <w:rPr>
      <w:sz w:val="2"/>
      <w:szCs w:val="2"/>
    </w:rPr>
  </w:style>
  <w:style w:type="character" w:customStyle="1" w:styleId="Small">
    <w:name w:val="Small"/>
    <w:basedOn w:val="DefaultParagraphFont"/>
    <w:rsid w:val="002A6A0A"/>
    <w:rPr>
      <w:sz w:val="16"/>
    </w:rPr>
  </w:style>
  <w:style w:type="paragraph" w:customStyle="1" w:styleId="WideTable">
    <w:name w:val="Wide Table"/>
    <w:basedOn w:val="Normal"/>
    <w:rsid w:val="002A6A0A"/>
    <w:pPr>
      <w:ind w:left="-1418"/>
    </w:pPr>
    <w:rPr>
      <w:sz w:val="2"/>
      <w:szCs w:val="2"/>
    </w:rPr>
  </w:style>
  <w:style w:type="character" w:styleId="PageNumber">
    <w:name w:val="page number"/>
    <w:basedOn w:val="DefaultParagraphFont"/>
    <w:rsid w:val="002A6A0A"/>
  </w:style>
  <w:style w:type="paragraph" w:styleId="Quote">
    <w:name w:val="Quote"/>
    <w:basedOn w:val="Heading1"/>
    <w:link w:val="QuoteChar"/>
    <w:qFormat/>
    <w:rsid w:val="002A6A0A"/>
    <w:rPr>
      <w:b w:val="0"/>
      <w:sz w:val="72"/>
      <w:szCs w:val="72"/>
      <w:lang w:val="en-NZ"/>
    </w:rPr>
  </w:style>
  <w:style w:type="character" w:customStyle="1" w:styleId="QuoteChar">
    <w:name w:val="Quote Char"/>
    <w:basedOn w:val="DefaultParagraphFont"/>
    <w:link w:val="Quote"/>
    <w:rsid w:val="002A6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A0A"/>
    <w:pPr>
      <w:pageBreakBefore/>
    </w:pPr>
  </w:style>
  <w:style w:type="paragraph" w:customStyle="1" w:styleId="Border">
    <w:name w:val="Border"/>
    <w:basedOn w:val="Normal"/>
    <w:qFormat/>
    <w:rsid w:val="002A6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A0A"/>
    <w:rPr>
      <w:b/>
      <w:bCs/>
      <w:i/>
      <w:iCs/>
      <w:color w:val="auto"/>
    </w:rPr>
  </w:style>
  <w:style w:type="paragraph" w:styleId="IntenseQuote">
    <w:name w:val="Intense Quote"/>
    <w:basedOn w:val="Normal"/>
    <w:next w:val="Normal"/>
    <w:link w:val="IntenseQuoteChar"/>
    <w:uiPriority w:val="30"/>
    <w:qFormat/>
    <w:rsid w:val="002A6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A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6A0A"/>
    <w:rPr>
      <w:smallCaps/>
      <w:color w:val="auto"/>
      <w:u w:val="single"/>
    </w:rPr>
  </w:style>
  <w:style w:type="character" w:styleId="IntenseReference">
    <w:name w:val="Intense Reference"/>
    <w:basedOn w:val="DefaultParagraphFont"/>
    <w:uiPriority w:val="32"/>
    <w:qFormat/>
    <w:rsid w:val="002A6A0A"/>
    <w:rPr>
      <w:b/>
      <w:bCs/>
      <w:smallCaps/>
      <w:color w:val="auto"/>
      <w:spacing w:val="5"/>
      <w:u w:val="single"/>
    </w:rPr>
  </w:style>
  <w:style w:type="paragraph" w:customStyle="1" w:styleId="2ColumnHeading">
    <w:name w:val="2Column Heading"/>
    <w:basedOn w:val="BodyText"/>
    <w:qFormat/>
    <w:rsid w:val="002A6A0A"/>
    <w:pPr>
      <w:spacing w:after="60"/>
      <w:ind w:left="-2268"/>
    </w:pPr>
    <w:rPr>
      <w:b/>
    </w:rPr>
  </w:style>
  <w:style w:type="paragraph" w:customStyle="1" w:styleId="Heading1TOC">
    <w:name w:val="Heading1 TOC"/>
    <w:basedOn w:val="Normal"/>
    <w:qFormat/>
    <w:rsid w:val="002A6A0A"/>
    <w:pPr>
      <w:spacing w:before="240" w:after="120"/>
    </w:pPr>
    <w:rPr>
      <w:rFonts w:ascii="Times New Roman" w:hAnsi="Times New Roman"/>
      <w:b/>
      <w:sz w:val="32"/>
    </w:rPr>
  </w:style>
  <w:style w:type="paragraph" w:customStyle="1" w:styleId="Heading2TOC">
    <w:name w:val="Heading2 TOC"/>
    <w:basedOn w:val="Normal"/>
    <w:qFormat/>
    <w:rsid w:val="002A6A0A"/>
    <w:pPr>
      <w:spacing w:before="240" w:after="60"/>
    </w:pPr>
    <w:rPr>
      <w:rFonts w:ascii="Times New Roman" w:hAnsi="Times New Roman"/>
      <w:b/>
      <w:sz w:val="28"/>
    </w:rPr>
  </w:style>
  <w:style w:type="character" w:customStyle="1" w:styleId="Underline">
    <w:name w:val="Underline"/>
    <w:basedOn w:val="DefaultParagraphFont"/>
    <w:qFormat/>
    <w:rsid w:val="002A6A0A"/>
    <w:rPr>
      <w:u w:val="single"/>
    </w:rPr>
  </w:style>
  <w:style w:type="paragraph" w:styleId="BalloonText">
    <w:name w:val="Balloon Text"/>
    <w:basedOn w:val="Normal"/>
    <w:link w:val="BalloonTextChar"/>
    <w:rsid w:val="002A6A0A"/>
    <w:rPr>
      <w:rFonts w:ascii="Tahoma" w:hAnsi="Tahoma" w:cs="Tahoma"/>
      <w:sz w:val="16"/>
      <w:szCs w:val="16"/>
    </w:rPr>
  </w:style>
  <w:style w:type="character" w:customStyle="1" w:styleId="BalloonTextChar">
    <w:name w:val="Balloon Text Char"/>
    <w:basedOn w:val="DefaultParagraphFont"/>
    <w:link w:val="BalloonText"/>
    <w:rsid w:val="002A6A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6A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6A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1661</Words>
  <Characters>10916</Characters>
  <Application>Microsoft Office Word</Application>
  <DocSecurity>0</DocSecurity>
  <Lines>365</Lines>
  <Paragraphs>231</Paragraphs>
  <ScaleCrop>false</ScaleCrop>
  <Company>Author-it Software Corporation Ltd.</Company>
  <LinksUpToDate>false</LinksUpToDate>
  <CharactersWithSpaces>12537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CPPSEC3009A Prepare and present evidence in court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2012-05-26T06:21:00Z</dcterms:created>
  <dcterms:modified xsi:type="dcterms:W3CDTF">2012-05-26T06:21:00Z</dcterms:modified>
</cp:coreProperties>
</file>