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F12" w:rsidP="00567F12">
      <w:pPr>
        <w:pStyle w:val="Title"/>
      </w:pPr>
      <w:r>
        <w:fldChar w:fldCharType="begin"/>
      </w:r>
      <w:r>
        <w:instrText xml:space="preserve"> TITLE   \* MERGEFORMAT </w:instrText>
      </w:r>
      <w:r>
        <w:fldChar w:fldCharType="separate"/>
      </w:r>
      <w:r>
        <w:t>CPPSEC3003A Determine response to security risk situation</w:t>
      </w:r>
      <w:r>
        <w:fldChar w:fldCharType="end"/>
      </w:r>
    </w:p>
    <w:p w:rsidR="00567F12" w:rsidP="00567F12">
      <w:pPr>
        <w:pStyle w:val="Version"/>
        <w:sectPr w:rsidSect="006200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0F6" w:rsidP="006200F6">
      <w:pPr>
        <w:pStyle w:val="SuperHeading"/>
      </w:pPr>
      <w:r w:rsidRPr="006200F6">
        <w:t>CPPSEC3003A Determine response to security risk situation</w:t>
      </w:r>
    </w:p>
    <w:p w:rsidR="00000000" w:rsidRPr="006200F6" w:rsidP="006200F6">
      <w:pPr>
        <w:pStyle w:val="Heading1"/>
      </w:pPr>
      <w:bookmarkStart w:id="1" w:name="O_270201"/>
      <w:bookmarkEnd w:id="1"/>
      <w:r w:rsidRPr="006200F6">
        <w:t>Modification History</w:t>
      </w:r>
    </w:p>
    <w:p w:rsidR="00000000" w:rsidRPr="006200F6" w:rsidP="006200F6">
      <w:pPr>
        <w:pStyle w:val="BodyText"/>
      </w:pPr>
      <w:r w:rsidRPr="006200F6">
        <w:t>Not Applicable</w:t>
      </w:r>
    </w:p>
    <w:p w:rsidR="00000000" w:rsidRPr="006200F6" w:rsidP="006200F6">
      <w:pPr>
        <w:pStyle w:val="AllowPageBreak"/>
      </w:pPr>
    </w:p>
    <w:p w:rsidR="00000000" w:rsidRPr="006200F6" w:rsidP="006200F6">
      <w:pPr>
        <w:pStyle w:val="Heading1"/>
      </w:pPr>
      <w:bookmarkStart w:id="2" w:name="O_201800"/>
      <w:bookmarkEnd w:id="2"/>
      <w:r w:rsidRPr="006200F6">
        <w:t>Unit Descriptor</w:t>
      </w:r>
    </w:p>
    <w:tbl>
      <w:tblPr>
        <w:tblW w:w="0" w:type="auto"/>
        <w:tblLayout w:type="fixed"/>
        <w:tblCellMar>
          <w:left w:w="62" w:type="dxa"/>
          <w:right w:w="62" w:type="dxa"/>
        </w:tblCellMar>
        <w:tblLook w:val="0000"/>
      </w:tblPr>
      <w:tblGrid>
        <w:gridCol w:w="2391"/>
        <w:gridCol w:w="6131"/>
      </w:tblGrid>
      <w:tr w:rsidTr="00567F1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6200F6" w:rsidP="006200F6">
            <w:pPr>
              <w:pStyle w:val="BodyText"/>
            </w:pPr>
            <w:r w:rsidRPr="006200F6">
              <w:t>This unit of competency specifies the outcomes required to determine an appropri</w:t>
            </w:r>
            <w:r w:rsidRPr="006200F6">
              <w:t xml:space="preserve">ate response to a security risk situation.  It requires the ability to analyse the nature and degree of risk and determine response options according to changing circumstances. </w:t>
            </w:r>
          </w:p>
          <w:p w:rsidR="00000000" w:rsidRPr="006200F6" w:rsidP="006200F6">
            <w:pPr>
              <w:pStyle w:val="BodyText"/>
            </w:pPr>
            <w:r w:rsidRPr="006200F6">
              <w:t>This unit may form part of the licensing requirements for persons engaged in g</w:t>
            </w:r>
            <w:r w:rsidRPr="006200F6">
              <w:t>uarding operations in those states and territories where these are regulated activities.</w:t>
            </w:r>
          </w:p>
        </w:tc>
      </w:tr>
    </w:tbl>
    <w:p w:rsidR="00567F12" w:rsidP="006200F6">
      <w:pPr>
        <w:pStyle w:val="BodyText"/>
      </w:pPr>
    </w:p>
    <w:p w:rsidR="00567F12" w:rsidP="006200F6">
      <w:pPr>
        <w:pStyle w:val="BodyText"/>
      </w:pPr>
    </w:p>
    <w:p w:rsidR="00000000" w:rsidRPr="006200F6" w:rsidP="006200F6">
      <w:pPr>
        <w:pStyle w:val="Heading1"/>
      </w:pPr>
      <w:bookmarkStart w:id="3" w:name="O_201802"/>
      <w:bookmarkEnd w:id="3"/>
      <w:r w:rsidRPr="006200F6">
        <w:t>Application of the Unit</w:t>
      </w:r>
    </w:p>
    <w:tbl>
      <w:tblPr>
        <w:tblW w:w="0" w:type="auto"/>
        <w:tblLayout w:type="fixed"/>
        <w:tblCellMar>
          <w:left w:w="62" w:type="dxa"/>
          <w:right w:w="62" w:type="dxa"/>
        </w:tblCellMar>
        <w:tblLook w:val="0000"/>
      </w:tblPr>
      <w:tblGrid>
        <w:gridCol w:w="2391"/>
        <w:gridCol w:w="6131"/>
      </w:tblGrid>
      <w:tr w:rsidTr="00567F1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6200F6" w:rsidP="006200F6">
            <w:pPr>
              <w:pStyle w:val="BodyText"/>
            </w:pPr>
            <w:r w:rsidRPr="006200F6">
              <w:t>This unit of competency has application in those work roles involving guarding in a security environment. Competency requires legal and operational knowledge applicable to relevant sectors of the security industry. The knowledge and skills described in thi</w:t>
            </w:r>
            <w:r w:rsidRPr="006200F6">
              <w:t>s unit are to be applied within relevant legislative and organisational guidelines.</w:t>
            </w:r>
          </w:p>
        </w:tc>
      </w:tr>
    </w:tbl>
    <w:p w:rsidR="00567F12" w:rsidP="006200F6">
      <w:pPr>
        <w:pStyle w:val="BodyText"/>
      </w:pPr>
    </w:p>
    <w:p w:rsidR="00567F12" w:rsidP="006200F6">
      <w:pPr>
        <w:pStyle w:val="BodyText"/>
      </w:pPr>
    </w:p>
    <w:p w:rsidR="00000000" w:rsidRPr="006200F6" w:rsidP="006200F6">
      <w:pPr>
        <w:pStyle w:val="Heading1"/>
      </w:pPr>
      <w:bookmarkStart w:id="4" w:name="O_278461"/>
      <w:bookmarkEnd w:id="4"/>
      <w:r w:rsidRPr="006200F6">
        <w:t>Licensing/Regulatory Information</w:t>
      </w:r>
    </w:p>
    <w:p w:rsidR="00000000" w:rsidRPr="006200F6" w:rsidP="006200F6">
      <w:pPr>
        <w:pStyle w:val="BodyText"/>
      </w:pPr>
      <w:r w:rsidRPr="006200F6">
        <w:t>Refer to Unit Descriptor</w:t>
      </w:r>
    </w:p>
    <w:p w:rsidR="00000000" w:rsidRPr="006200F6" w:rsidP="006200F6">
      <w:pPr>
        <w:pStyle w:val="AllowPageBreak"/>
      </w:pPr>
    </w:p>
    <w:p w:rsidR="00000000" w:rsidRPr="006200F6" w:rsidP="006200F6">
      <w:pPr>
        <w:pStyle w:val="Heading1"/>
      </w:pPr>
      <w:bookmarkStart w:id="5" w:name="O_283582"/>
      <w:bookmarkEnd w:id="5"/>
      <w:r w:rsidRPr="006200F6">
        <w:t>Pre-Requisites</w:t>
      </w:r>
    </w:p>
    <w:p w:rsidR="00000000" w:rsidRPr="006200F6" w:rsidP="006200F6">
      <w:pPr>
        <w:pStyle w:val="BodyText"/>
      </w:pPr>
      <w:r w:rsidRPr="006200F6">
        <w:t>Not Applicable</w:t>
      </w:r>
    </w:p>
    <w:p w:rsidR="00000000" w:rsidRPr="006200F6" w:rsidP="006200F6">
      <w:pPr>
        <w:pStyle w:val="AllowPageBreak"/>
      </w:pPr>
    </w:p>
    <w:p w:rsidR="00000000" w:rsidRPr="006200F6" w:rsidP="006200F6">
      <w:pPr>
        <w:pStyle w:val="Heading1"/>
      </w:pPr>
      <w:bookmarkStart w:id="6" w:name="O_201801"/>
      <w:bookmarkEnd w:id="6"/>
      <w:r w:rsidRPr="006200F6">
        <w:t>Employability Skills Information</w:t>
      </w:r>
    </w:p>
    <w:tbl>
      <w:tblPr>
        <w:tblW w:w="0" w:type="auto"/>
        <w:tblLayout w:type="fixed"/>
        <w:tblCellMar>
          <w:left w:w="62" w:type="dxa"/>
          <w:right w:w="62" w:type="dxa"/>
        </w:tblCellMar>
        <w:tblLook w:val="0000"/>
      </w:tblPr>
      <w:tblGrid>
        <w:gridCol w:w="2624"/>
        <w:gridCol w:w="5898"/>
      </w:tblGrid>
      <w:tr w:rsidTr="00567F12">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6200F6" w:rsidP="006200F6">
            <w:pPr>
              <w:pStyle w:val="BodyText"/>
            </w:pPr>
            <w:r w:rsidRPr="006200F6">
              <w:t>This unit contains employability skills.</w:t>
            </w:r>
          </w:p>
        </w:tc>
      </w:tr>
    </w:tbl>
    <w:p w:rsidR="00567F12" w:rsidP="006200F6">
      <w:pPr>
        <w:pStyle w:val="BodyText"/>
      </w:pPr>
    </w:p>
    <w:p w:rsidR="00567F12" w:rsidP="006200F6">
      <w:pPr>
        <w:pStyle w:val="BodyText"/>
      </w:pPr>
    </w:p>
    <w:p w:rsidR="00000000" w:rsidRPr="006200F6" w:rsidP="006200F6">
      <w:pPr>
        <w:pStyle w:val="Heading1"/>
      </w:pPr>
      <w:bookmarkStart w:id="7" w:name="O_288247"/>
      <w:bookmarkEnd w:id="7"/>
      <w:r w:rsidRPr="006200F6">
        <w:t>Elements and Performance Criteria Pre-Content</w:t>
      </w:r>
    </w:p>
    <w:tbl>
      <w:tblPr>
        <w:tblW w:w="0" w:type="auto"/>
        <w:tblLayout w:type="fixed"/>
        <w:tblCellMar>
          <w:left w:w="62" w:type="dxa"/>
          <w:right w:w="62" w:type="dxa"/>
        </w:tblCellMar>
        <w:tblLook w:val="0000"/>
      </w:tblPr>
      <w:tblGrid>
        <w:gridCol w:w="2412"/>
        <w:gridCol w:w="6110"/>
      </w:tblGrid>
      <w:tr w:rsidTr="00567F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6200F6" w:rsidP="006200F6">
            <w:pPr>
              <w:pStyle w:val="BodyText"/>
            </w:pPr>
            <w:r w:rsidRPr="006200F6">
              <w:t xml:space="preserve">Performance criteria describe the required performance needed to demonstrate achievement of the element. Where </w:t>
            </w:r>
            <w:r w:rsidRPr="006200F6">
              <w:rPr>
                <w:rStyle w:val="BoldandItalics"/>
              </w:rPr>
              <w:t>bold italicised</w:t>
            </w:r>
            <w:r w:rsidRPr="006200F6">
              <w:t xml:space="preserve"> text is used, further information is detailed in the required skills and knowledge section and/or the range statement. Assessment</w:t>
            </w:r>
            <w:r w:rsidRPr="006200F6">
              <w:t xml:space="preserve"> of performance is to be consistent with the evidence guide.</w:t>
            </w:r>
          </w:p>
        </w:tc>
      </w:tr>
    </w:tbl>
    <w:p w:rsidR="00000000" w:rsidRPr="006200F6" w:rsidP="006200F6">
      <w:pPr>
        <w:pStyle w:val="BodyText"/>
      </w:pPr>
    </w:p>
    <w:p w:rsidR="00000000" w:rsidRPr="006200F6" w:rsidP="006200F6">
      <w:pPr>
        <w:pStyle w:val="AllowPageBreak"/>
      </w:pPr>
    </w:p>
    <w:p w:rsidR="00000000" w:rsidRPr="006200F6" w:rsidP="006200F6">
      <w:pPr>
        <w:pStyle w:val="Heading1"/>
      </w:pPr>
      <w:bookmarkStart w:id="8" w:name="O_234914"/>
      <w:bookmarkEnd w:id="8"/>
      <w:r w:rsidRPr="006200F6">
        <w:t>Elements and Performance Criteria</w:t>
      </w:r>
    </w:p>
    <w:tbl>
      <w:tblPr>
        <w:tblW w:w="0" w:type="auto"/>
        <w:tblLayout w:type="fixed"/>
        <w:tblCellMar>
          <w:left w:w="62" w:type="dxa"/>
          <w:right w:w="62" w:type="dxa"/>
        </w:tblCellMar>
        <w:tblLook w:val="0000"/>
      </w:tblPr>
      <w:tblGrid>
        <w:gridCol w:w="2412"/>
        <w:gridCol w:w="6110"/>
      </w:tblGrid>
      <w:tr w:rsidTr="00567F12">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6200F6" w:rsidP="006200F6">
            <w:pPr>
              <w:pStyle w:val="List"/>
            </w:pPr>
            <w:r w:rsidRPr="006200F6">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6200F6">
            <w:pPr>
              <w:pStyle w:val="List"/>
              <w:rPr>
                <w:lang w:val="en-NZ"/>
              </w:rPr>
            </w:pPr>
            <w:r w:rsidRPr="006200F6">
              <w:rPr>
                <w:rStyle w:val="SpecialBold"/>
              </w:rPr>
              <w:t>PERFORMANCE CRITERIA</w:t>
            </w:r>
          </w:p>
        </w:tc>
      </w:tr>
      <w:tr w:rsidTr="00567F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200F6">
            <w:pPr>
              <w:pStyle w:val="List"/>
              <w:rPr>
                <w:lang w:val="en-NZ"/>
              </w:rPr>
            </w:pPr>
            <w:r w:rsidRPr="006200F6">
              <w:rPr>
                <w:rStyle w:val="SpecialBold"/>
              </w:rPr>
              <w:t>1</w:t>
            </w:r>
            <w:r w:rsidRPr="006200F6">
              <w:tab/>
            </w:r>
            <w:r w:rsidRPr="006200F6">
              <w:rPr>
                <w:rStyle w:val="SpecialBold"/>
              </w:rPr>
              <w:t>Identify security risk situation</w:t>
            </w:r>
            <w:r w:rsidRPr="006200F6">
              <w:t>.</w:t>
            </w:r>
          </w:p>
        </w:tc>
        <w:tc>
          <w:tcPr>
            <w:tcW w:w="6110" w:type="dxa"/>
            <w:tcBorders>
              <w:top w:val="nil"/>
              <w:left w:val="nil"/>
              <w:bottom w:val="nil"/>
              <w:right w:val="nil"/>
            </w:tcBorders>
            <w:tcMar>
              <w:top w:w="0" w:type="dxa"/>
              <w:left w:w="62" w:type="dxa"/>
              <w:bottom w:w="0" w:type="dxa"/>
              <w:right w:w="62" w:type="dxa"/>
            </w:tcMar>
          </w:tcPr>
          <w:p w:rsidR="00000000" w:rsidRPr="006200F6" w:rsidP="006200F6">
            <w:pPr>
              <w:pStyle w:val="List"/>
            </w:pPr>
            <w:r w:rsidRPr="006200F6">
              <w:t>1.1</w:t>
            </w:r>
            <w:r w:rsidRPr="006200F6">
              <w:tab/>
              <w:t xml:space="preserve">Applicable provisions of </w:t>
            </w:r>
            <w:r w:rsidRPr="006200F6">
              <w:rPr>
                <w:rStyle w:val="BoldandItalics"/>
              </w:rPr>
              <w:t>legislative</w:t>
            </w:r>
            <w:r w:rsidRPr="006200F6">
              <w:t xml:space="preserve"> and </w:t>
            </w:r>
            <w:r w:rsidRPr="006200F6">
              <w:rPr>
                <w:rStyle w:val="BoldandItalics"/>
              </w:rPr>
              <w:t>organisational requirements</w:t>
            </w:r>
            <w:r w:rsidRPr="006200F6">
              <w:t xml:space="preserve"> relevant to security risk operations identified and complied with.</w:t>
            </w:r>
          </w:p>
          <w:p w:rsidR="00000000" w:rsidRPr="006200F6" w:rsidP="006200F6">
            <w:pPr>
              <w:pStyle w:val="List"/>
            </w:pPr>
            <w:r w:rsidRPr="006200F6">
              <w:t>1.2</w:t>
            </w:r>
            <w:r w:rsidRPr="006200F6">
              <w:tab/>
              <w:t xml:space="preserve">Information on </w:t>
            </w:r>
            <w:r w:rsidRPr="006200F6">
              <w:rPr>
                <w:rStyle w:val="BoldandItalics"/>
              </w:rPr>
              <w:t>security risk situation</w:t>
            </w:r>
            <w:r w:rsidRPr="006200F6">
              <w:t xml:space="preserve"> is received and verified for reliability and authenticity.</w:t>
            </w:r>
          </w:p>
          <w:p w:rsidR="00000000" w:rsidRPr="006200F6" w:rsidP="006200F6">
            <w:pPr>
              <w:pStyle w:val="List"/>
            </w:pPr>
            <w:r w:rsidRPr="006200F6">
              <w:t>1.3</w:t>
            </w:r>
            <w:r w:rsidRPr="006200F6">
              <w:tab/>
            </w:r>
            <w:r w:rsidRPr="006200F6">
              <w:rPr>
                <w:rStyle w:val="BoldandItalics"/>
              </w:rPr>
              <w:t>Environmental factors</w:t>
            </w:r>
            <w:r w:rsidRPr="006200F6">
              <w:t xml:space="preserve"> relevant to security risk situation are identified and monit</w:t>
            </w:r>
            <w:r w:rsidRPr="006200F6">
              <w:t xml:space="preserve">ored for changes in characteristics that may impact on security response. </w:t>
            </w:r>
          </w:p>
          <w:p w:rsidR="00000000" w:rsidRPr="006200F6" w:rsidP="006200F6">
            <w:pPr>
              <w:pStyle w:val="List"/>
            </w:pPr>
            <w:r w:rsidRPr="006200F6">
              <w:t>1.4</w:t>
            </w:r>
            <w:r w:rsidRPr="006200F6">
              <w:tab/>
              <w:t xml:space="preserve">Additional information required to assess degree of risk is sourced as required. </w:t>
            </w:r>
          </w:p>
          <w:p w:rsidR="00000000" w:rsidP="006200F6">
            <w:pPr>
              <w:pStyle w:val="List"/>
              <w:rPr>
                <w:lang w:val="en-NZ"/>
              </w:rPr>
            </w:pPr>
            <w:r w:rsidRPr="006200F6">
              <w:t>1.5</w:t>
            </w:r>
            <w:r w:rsidRPr="006200F6">
              <w:tab/>
            </w:r>
            <w:r w:rsidRPr="006200F6">
              <w:rPr>
                <w:rStyle w:val="BoldandItalics"/>
              </w:rPr>
              <w:t>Communication channels and processes</w:t>
            </w:r>
            <w:r w:rsidRPr="006200F6">
              <w:t xml:space="preserve"> are used to maintain an accurate and up to date exchan</w:t>
            </w:r>
            <w:r w:rsidRPr="006200F6">
              <w:t xml:space="preserve">ge of information with </w:t>
            </w:r>
            <w:r w:rsidRPr="006200F6">
              <w:rPr>
                <w:rStyle w:val="BoldandItalics"/>
              </w:rPr>
              <w:t>relevant persons</w:t>
            </w:r>
            <w:r w:rsidRPr="006200F6">
              <w:t xml:space="preserve">. </w:t>
            </w:r>
          </w:p>
        </w:tc>
      </w:tr>
      <w:tr w:rsidTr="00567F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200F6">
            <w:pPr>
              <w:pStyle w:val="List"/>
              <w:rPr>
                <w:lang w:val="en-NZ"/>
              </w:rPr>
            </w:pPr>
            <w:r w:rsidRPr="006200F6">
              <w:rPr>
                <w:rStyle w:val="SpecialBold"/>
              </w:rPr>
              <w:t>2</w:t>
            </w:r>
            <w:r w:rsidRPr="006200F6">
              <w:tab/>
            </w:r>
            <w:r w:rsidRPr="006200F6">
              <w:rPr>
                <w:rStyle w:val="SpecialBold"/>
              </w:rPr>
              <w:t>Assess security risk situation</w:t>
            </w:r>
            <w:r w:rsidRPr="006200F6">
              <w:t>.</w:t>
            </w:r>
          </w:p>
        </w:tc>
        <w:tc>
          <w:tcPr>
            <w:tcW w:w="6110" w:type="dxa"/>
            <w:tcBorders>
              <w:top w:val="nil"/>
              <w:left w:val="nil"/>
              <w:bottom w:val="nil"/>
              <w:right w:val="nil"/>
            </w:tcBorders>
            <w:tcMar>
              <w:top w:w="0" w:type="dxa"/>
              <w:left w:w="62" w:type="dxa"/>
              <w:bottom w:w="0" w:type="dxa"/>
              <w:right w:w="62" w:type="dxa"/>
            </w:tcMar>
          </w:tcPr>
          <w:p w:rsidR="00000000" w:rsidRPr="006200F6" w:rsidP="006200F6">
            <w:pPr>
              <w:pStyle w:val="List"/>
            </w:pPr>
            <w:r w:rsidRPr="006200F6">
              <w:t>2.1</w:t>
            </w:r>
            <w:r w:rsidRPr="006200F6">
              <w:tab/>
            </w:r>
            <w:r w:rsidRPr="006200F6">
              <w:rPr>
                <w:rStyle w:val="BoldandItalics"/>
              </w:rPr>
              <w:t>Assessment</w:t>
            </w:r>
            <w:r w:rsidRPr="006200F6">
              <w:t xml:space="preserve"> of security risk situation is conducted in accordance with organisational procedures.</w:t>
            </w:r>
          </w:p>
          <w:p w:rsidR="00000000" w:rsidRPr="006200F6" w:rsidP="006200F6">
            <w:pPr>
              <w:pStyle w:val="List"/>
            </w:pPr>
            <w:r w:rsidRPr="006200F6">
              <w:t>2.2</w:t>
            </w:r>
            <w:r w:rsidRPr="006200F6">
              <w:tab/>
              <w:t>Security risk situation is assessed for degree of risk to persons, propert</w:t>
            </w:r>
            <w:r w:rsidRPr="006200F6">
              <w:t xml:space="preserve">y and premises. </w:t>
            </w:r>
          </w:p>
          <w:p w:rsidR="00000000" w:rsidRPr="006200F6" w:rsidP="006200F6">
            <w:pPr>
              <w:pStyle w:val="List"/>
            </w:pPr>
            <w:r w:rsidRPr="006200F6">
              <w:t>2.3</w:t>
            </w:r>
            <w:r w:rsidRPr="006200F6">
              <w:tab/>
              <w:t xml:space="preserve">Appropriate risk control measures to ensure the safety and security of persons, property and premises are determined. </w:t>
            </w:r>
          </w:p>
          <w:p w:rsidR="00000000" w:rsidRPr="006200F6" w:rsidP="006200F6">
            <w:pPr>
              <w:pStyle w:val="List"/>
            </w:pPr>
            <w:r w:rsidRPr="006200F6">
              <w:t>2.4</w:t>
            </w:r>
            <w:r w:rsidRPr="006200F6">
              <w:tab/>
              <w:t xml:space="preserve">Suitable </w:t>
            </w:r>
            <w:r w:rsidRPr="006200F6">
              <w:rPr>
                <w:rStyle w:val="BoldandItalics"/>
              </w:rPr>
              <w:t>equipment and resource requirements</w:t>
            </w:r>
            <w:r w:rsidRPr="006200F6">
              <w:t xml:space="preserve"> appropriate to security risk situation are determined. </w:t>
            </w:r>
          </w:p>
          <w:p w:rsidR="00000000" w:rsidP="006200F6">
            <w:pPr>
              <w:pStyle w:val="List"/>
              <w:rPr>
                <w:lang w:val="en-NZ"/>
              </w:rPr>
            </w:pPr>
            <w:r w:rsidRPr="006200F6">
              <w:t>2.5</w:t>
            </w:r>
            <w:r w:rsidRPr="006200F6">
              <w:tab/>
              <w:t>Special</w:t>
            </w:r>
            <w:r w:rsidRPr="006200F6">
              <w:t>ist advice is sought as required in accordance with organisational procedures.</w:t>
            </w:r>
          </w:p>
        </w:tc>
      </w:tr>
      <w:tr w:rsidTr="00567F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200F6">
            <w:pPr>
              <w:pStyle w:val="List"/>
              <w:rPr>
                <w:lang w:val="en-NZ"/>
              </w:rPr>
            </w:pPr>
            <w:r w:rsidRPr="006200F6">
              <w:rPr>
                <w:rStyle w:val="SpecialBold"/>
              </w:rPr>
              <w:t>3</w:t>
            </w:r>
            <w:r w:rsidRPr="006200F6">
              <w:tab/>
            </w:r>
            <w:r w:rsidRPr="006200F6">
              <w:rPr>
                <w:rStyle w:val="SpecialBold"/>
              </w:rPr>
              <w:t>Determine response options</w:t>
            </w:r>
            <w:r w:rsidRPr="006200F6">
              <w:t>.</w:t>
            </w:r>
          </w:p>
        </w:tc>
        <w:tc>
          <w:tcPr>
            <w:tcW w:w="6110" w:type="dxa"/>
            <w:tcBorders>
              <w:top w:val="nil"/>
              <w:left w:val="nil"/>
              <w:bottom w:val="nil"/>
              <w:right w:val="nil"/>
            </w:tcBorders>
            <w:tcMar>
              <w:top w:w="0" w:type="dxa"/>
              <w:left w:w="62" w:type="dxa"/>
              <w:bottom w:w="0" w:type="dxa"/>
              <w:right w:w="62" w:type="dxa"/>
            </w:tcMar>
          </w:tcPr>
          <w:p w:rsidR="00000000" w:rsidRPr="006200F6" w:rsidP="006200F6">
            <w:pPr>
              <w:pStyle w:val="List"/>
            </w:pPr>
            <w:r w:rsidRPr="006200F6">
              <w:t>3.1</w:t>
            </w:r>
            <w:r w:rsidRPr="006200F6">
              <w:tab/>
              <w:t xml:space="preserve">Options for </w:t>
            </w:r>
            <w:r w:rsidRPr="006200F6">
              <w:rPr>
                <w:rStyle w:val="BoldandItalics"/>
              </w:rPr>
              <w:t>response</w:t>
            </w:r>
            <w:r w:rsidRPr="006200F6">
              <w:t xml:space="preserve"> to security risk situation are evaluated and determined.</w:t>
            </w:r>
          </w:p>
          <w:p w:rsidR="00000000" w:rsidRPr="006200F6" w:rsidP="006200F6">
            <w:pPr>
              <w:pStyle w:val="List"/>
            </w:pPr>
            <w:r w:rsidRPr="006200F6">
              <w:t>3.2</w:t>
            </w:r>
            <w:r w:rsidRPr="006200F6">
              <w:tab/>
            </w:r>
            <w:r w:rsidRPr="006200F6">
              <w:t>Response is within the scope of own responsibility, competence and authority.</w:t>
            </w:r>
          </w:p>
          <w:p w:rsidR="00000000" w:rsidRPr="006200F6" w:rsidP="006200F6">
            <w:pPr>
              <w:pStyle w:val="List"/>
            </w:pPr>
            <w:r w:rsidRPr="006200F6">
              <w:t>3.3</w:t>
            </w:r>
            <w:r w:rsidRPr="006200F6">
              <w:tab/>
              <w:t xml:space="preserve">Response maximises the safety and security of persons, property and premises. </w:t>
            </w:r>
          </w:p>
          <w:p w:rsidR="00000000" w:rsidRPr="006200F6" w:rsidP="006200F6">
            <w:pPr>
              <w:pStyle w:val="List"/>
            </w:pPr>
            <w:r w:rsidRPr="006200F6">
              <w:t>3.4</w:t>
            </w:r>
            <w:r w:rsidRPr="006200F6">
              <w:tab/>
              <w:t>Response involves the appropriate selection and efficient use of equipment and resources.</w:t>
            </w:r>
          </w:p>
          <w:p w:rsidR="00000000" w:rsidRPr="006200F6" w:rsidP="006200F6">
            <w:pPr>
              <w:pStyle w:val="List"/>
            </w:pPr>
            <w:r w:rsidRPr="006200F6">
              <w:t>3</w:t>
            </w:r>
            <w:r w:rsidRPr="006200F6">
              <w:t>.5</w:t>
            </w:r>
            <w:r w:rsidRPr="006200F6">
              <w:tab/>
              <w:t xml:space="preserve">Relevant </w:t>
            </w:r>
            <w:r w:rsidRPr="006200F6">
              <w:rPr>
                <w:rStyle w:val="BoldandItalics"/>
              </w:rPr>
              <w:t>documentation</w:t>
            </w:r>
            <w:r w:rsidRPr="006200F6">
              <w:t xml:space="preserve"> is completed and securely maintained with due regard to confidentiality in accordance with organisational procedures.</w:t>
            </w:r>
          </w:p>
        </w:tc>
      </w:tr>
    </w:tbl>
    <w:p w:rsidR="00567F12" w:rsidP="006200F6">
      <w:pPr>
        <w:pStyle w:val="BodyText"/>
      </w:pPr>
    </w:p>
    <w:p w:rsidR="00567F12" w:rsidP="006200F6">
      <w:pPr>
        <w:pStyle w:val="BodyText"/>
      </w:pPr>
    </w:p>
    <w:p w:rsidR="00000000" w:rsidRPr="006200F6" w:rsidP="006200F6">
      <w:pPr>
        <w:pStyle w:val="Heading1"/>
      </w:pPr>
      <w:bookmarkStart w:id="9" w:name="O_258864"/>
      <w:bookmarkEnd w:id="9"/>
      <w:r w:rsidRPr="006200F6">
        <w:t>Required Skills and Knowledge</w:t>
      </w:r>
    </w:p>
    <w:tbl>
      <w:tblPr>
        <w:tblW w:w="0" w:type="auto"/>
        <w:tblLayout w:type="fixed"/>
        <w:tblCellMar>
          <w:left w:w="62" w:type="dxa"/>
          <w:right w:w="62" w:type="dxa"/>
        </w:tblCellMar>
        <w:tblLook w:val="0000"/>
      </w:tblPr>
      <w:tblGrid>
        <w:gridCol w:w="8522"/>
      </w:tblGrid>
      <w:tr w:rsidTr="00567F1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SpecialBold"/>
              </w:rPr>
              <w:t>REQUIRED SKILLS AND KNOWLEDGE</w:t>
            </w:r>
          </w:p>
        </w:tc>
      </w:tr>
      <w:tr w:rsidTr="00567F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t>This section describes the ski</w:t>
            </w:r>
            <w:r w:rsidRPr="006200F6">
              <w:t>lls and knowledge and their level required for this unit.</w:t>
            </w:r>
          </w:p>
        </w:tc>
      </w:tr>
      <w:tr w:rsidTr="00567F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SpecialBold"/>
              </w:rPr>
              <w:t>Required skills</w:t>
            </w:r>
          </w:p>
        </w:tc>
      </w:tr>
      <w:tr w:rsidTr="00567F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200F6" w:rsidP="006200F6">
            <w:pPr>
              <w:pStyle w:val="ListBullet"/>
            </w:pPr>
            <w:r w:rsidRPr="006200F6">
              <w:t>assess information and determine response appropriate to security risk situation</w:t>
            </w:r>
          </w:p>
          <w:p w:rsidR="00000000" w:rsidRPr="006200F6" w:rsidP="006200F6">
            <w:pPr>
              <w:pStyle w:val="ListBullet"/>
            </w:pPr>
            <w:r w:rsidRPr="006200F6">
              <w:t xml:space="preserve">communicate effectively with people from different social, cultural and ethnic backgrounds and of varying physical and mental abilities </w:t>
            </w:r>
          </w:p>
          <w:p w:rsidR="00000000" w:rsidRPr="006200F6" w:rsidP="006200F6">
            <w:pPr>
              <w:pStyle w:val="ListBullet"/>
            </w:pPr>
            <w:r w:rsidRPr="006200F6">
              <w:t xml:space="preserve">communicate using appropriate channels and clear and concise language </w:t>
            </w:r>
          </w:p>
          <w:p w:rsidR="00000000" w:rsidRPr="006200F6" w:rsidP="006200F6">
            <w:pPr>
              <w:pStyle w:val="ListBullet"/>
            </w:pPr>
            <w:r w:rsidRPr="006200F6">
              <w:t>conduct risk assessment of security risk situati</w:t>
            </w:r>
            <w:r w:rsidRPr="006200F6">
              <w:t>on</w:t>
            </w:r>
          </w:p>
          <w:p w:rsidR="00000000" w:rsidRPr="006200F6" w:rsidP="006200F6">
            <w:pPr>
              <w:pStyle w:val="ListBullet"/>
            </w:pPr>
            <w:r w:rsidRPr="006200F6">
              <w:t xml:space="preserve">determine suitable security and personal protection equipment </w:t>
            </w:r>
          </w:p>
          <w:p w:rsidR="00000000" w:rsidRPr="006200F6" w:rsidP="006200F6">
            <w:pPr>
              <w:pStyle w:val="ListBullet"/>
            </w:pPr>
            <w:r w:rsidRPr="006200F6">
              <w:t>facilitate commonsense solutions within operating parameters</w:t>
            </w:r>
          </w:p>
          <w:p w:rsidR="00000000" w:rsidRPr="006200F6" w:rsidP="006200F6">
            <w:pPr>
              <w:pStyle w:val="ListBullet"/>
            </w:pPr>
            <w:r w:rsidRPr="006200F6">
              <w:t>identify and comply with applicable legal and procedural requirements including licensing requirements</w:t>
            </w:r>
          </w:p>
          <w:p w:rsidR="00000000" w:rsidRPr="006200F6" w:rsidP="006200F6">
            <w:pPr>
              <w:pStyle w:val="ListBullet"/>
            </w:pPr>
            <w:r w:rsidRPr="006200F6">
              <w:t>identify and comply with s</w:t>
            </w:r>
            <w:r w:rsidRPr="006200F6">
              <w:t>ecurity incident response procedures</w:t>
            </w:r>
          </w:p>
          <w:p w:rsidR="00000000" w:rsidRPr="006200F6" w:rsidP="006200F6">
            <w:pPr>
              <w:pStyle w:val="ListBullet"/>
            </w:pPr>
            <w:r w:rsidRPr="006200F6">
              <w:t>identify support and assistance requirements</w:t>
            </w:r>
          </w:p>
          <w:p w:rsidR="00000000" w:rsidP="006200F6">
            <w:pPr>
              <w:pStyle w:val="ListBullet"/>
              <w:rPr>
                <w:lang w:val="en-NZ"/>
              </w:rPr>
            </w:pPr>
            <w:r w:rsidRPr="006200F6">
              <w:t>operate security and communications equipment.</w:t>
            </w:r>
          </w:p>
        </w:tc>
      </w:tr>
      <w:tr w:rsidTr="00567F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SpecialBold"/>
              </w:rPr>
              <w:t>Required knowledge</w:t>
            </w:r>
          </w:p>
        </w:tc>
      </w:tr>
      <w:tr w:rsidTr="00567F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200F6" w:rsidP="006200F6">
            <w:pPr>
              <w:pStyle w:val="ListBullet"/>
            </w:pPr>
            <w:r w:rsidRPr="006200F6">
              <w:t>approved communication terminology and codes and signals</w:t>
            </w:r>
          </w:p>
          <w:p w:rsidR="00000000" w:rsidRPr="006200F6" w:rsidP="006200F6">
            <w:pPr>
              <w:pStyle w:val="ListBullet"/>
            </w:pPr>
            <w:r w:rsidRPr="006200F6">
              <w:t>emergency and evacuation procedures and instructions</w:t>
            </w:r>
          </w:p>
          <w:p w:rsidR="00000000" w:rsidRPr="006200F6" w:rsidP="006200F6">
            <w:pPr>
              <w:pStyle w:val="ListBullet"/>
            </w:pPr>
            <w:r w:rsidRPr="006200F6">
              <w:t>instructions and procedures for responding to security risk situations</w:t>
            </w:r>
          </w:p>
          <w:p w:rsidR="00000000" w:rsidRPr="006200F6" w:rsidP="006200F6">
            <w:pPr>
              <w:pStyle w:val="ListBullet"/>
            </w:pPr>
            <w:r w:rsidRPr="006200F6">
              <w:t>observation and monitoring techniques</w:t>
            </w:r>
          </w:p>
          <w:p w:rsidR="00000000" w:rsidRPr="006200F6" w:rsidP="006200F6">
            <w:pPr>
              <w:pStyle w:val="ListBullet"/>
            </w:pPr>
            <w:r w:rsidRPr="006200F6">
              <w:t>operational functions and procedures for the use of communications, security and personal prot</w:t>
            </w:r>
            <w:r w:rsidRPr="006200F6">
              <w:t xml:space="preserve">ection equipment </w:t>
            </w:r>
          </w:p>
          <w:p w:rsidR="00000000" w:rsidRPr="006200F6" w:rsidP="006200F6">
            <w:pPr>
              <w:pStyle w:val="ListBullet"/>
            </w:pPr>
            <w:r w:rsidRPr="006200F6">
              <w:t>phonetic alphabet</w:t>
            </w:r>
          </w:p>
          <w:p w:rsidR="00000000" w:rsidRPr="006200F6" w:rsidP="006200F6">
            <w:pPr>
              <w:pStyle w:val="ListBullet"/>
            </w:pPr>
            <w:r w:rsidRPr="006200F6">
              <w:t>principles of effective communication including interpersonal techniques</w:t>
            </w:r>
          </w:p>
          <w:p w:rsidR="00000000" w:rsidRPr="006200F6" w:rsidP="006200F6">
            <w:pPr>
              <w:pStyle w:val="ListBullet"/>
            </w:pPr>
            <w:r w:rsidRPr="006200F6">
              <w:t xml:space="preserve">procedures and requirements for documenting security incidents </w:t>
            </w:r>
          </w:p>
          <w:p w:rsidR="00000000" w:rsidRPr="006200F6" w:rsidP="006200F6">
            <w:pPr>
              <w:pStyle w:val="ListBullet"/>
            </w:pPr>
            <w:r w:rsidRPr="006200F6">
              <w:t>range of available resources and equipment</w:t>
            </w:r>
          </w:p>
          <w:p w:rsidR="00000000" w:rsidRPr="006200F6" w:rsidP="006200F6">
            <w:pPr>
              <w:pStyle w:val="ListBullet"/>
            </w:pPr>
            <w:r w:rsidRPr="006200F6">
              <w:t>range of potential security incidents an</w:t>
            </w:r>
            <w:r w:rsidRPr="006200F6">
              <w:t>d appropriate responses</w:t>
            </w:r>
          </w:p>
          <w:p w:rsidR="00000000" w:rsidRPr="006200F6" w:rsidP="006200F6">
            <w:pPr>
              <w:pStyle w:val="ListBullet"/>
            </w:pPr>
            <w:r w:rsidRPr="006200F6">
              <w:t>reporting processes</w:t>
            </w:r>
          </w:p>
          <w:p w:rsidR="00000000" w:rsidRPr="006200F6" w:rsidP="006200F6">
            <w:pPr>
              <w:pStyle w:val="ListBullet"/>
            </w:pPr>
            <w:r w:rsidRPr="006200F6">
              <w:t>risk assessment processes</w:t>
            </w:r>
          </w:p>
          <w:p w:rsidR="00000000" w:rsidRPr="006200F6" w:rsidP="006200F6">
            <w:pPr>
              <w:pStyle w:val="ListBullet"/>
            </w:pPr>
            <w:r w:rsidRPr="006200F6">
              <w:t>structure and responsibilities of the emergency services agencies.</w:t>
            </w:r>
          </w:p>
        </w:tc>
      </w:tr>
    </w:tbl>
    <w:p w:rsidR="00567F12" w:rsidP="006200F6">
      <w:pPr>
        <w:pStyle w:val="BodyText"/>
      </w:pPr>
    </w:p>
    <w:p w:rsidR="00567F12" w:rsidP="006200F6">
      <w:pPr>
        <w:pStyle w:val="BodyText"/>
      </w:pPr>
    </w:p>
    <w:p w:rsidR="00000000" w:rsidRPr="006200F6" w:rsidP="006200F6">
      <w:pPr>
        <w:pStyle w:val="Heading1"/>
      </w:pPr>
      <w:bookmarkStart w:id="10" w:name="O_242898"/>
      <w:bookmarkEnd w:id="10"/>
      <w:r w:rsidRPr="006200F6">
        <w:t>Evidence Guide</w:t>
      </w:r>
    </w:p>
    <w:tbl>
      <w:tblPr>
        <w:tblW w:w="9287" w:type="dxa"/>
        <w:tblLayout w:type="fixed"/>
        <w:tblCellMar>
          <w:left w:w="62" w:type="dxa"/>
          <w:right w:w="62" w:type="dxa"/>
        </w:tblCellMar>
        <w:tblLook w:val="0000"/>
      </w:tblPr>
      <w:tblGrid>
        <w:gridCol w:w="2621"/>
        <w:gridCol w:w="6659"/>
        <w:gridCol w:w="7"/>
      </w:tblGrid>
      <w:tr w:rsidTr="00567F1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SpecialBold"/>
              </w:rPr>
              <w:t>EVIDENCE GUIDE</w:t>
            </w:r>
          </w:p>
        </w:tc>
      </w:tr>
      <w:tr w:rsidTr="00567F1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t>The evidence guide provides advice on assessment and must be read in conjunction with the performance criteria, required skills and knowledge, range statement and the Assessment Guidelines for the Training Package.</w:t>
            </w:r>
          </w:p>
        </w:tc>
      </w:tr>
      <w:tr w:rsidTr="00567F1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SpecialBold"/>
              </w:rPr>
              <w:t>Critical aspects for assessment and evi</w:t>
            </w:r>
            <w:r w:rsidRPr="006200F6">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6200F6" w:rsidP="006200F6">
            <w:pPr>
              <w:pStyle w:val="BodyText"/>
            </w:pPr>
            <w:r w:rsidRPr="006200F6">
              <w:t>A person who demonstrates competency in this unit must be able to provide evidence of:</w:t>
            </w:r>
          </w:p>
          <w:p w:rsidR="00000000" w:rsidRPr="006200F6" w:rsidP="006200F6">
            <w:pPr>
              <w:pStyle w:val="ListBullet"/>
            </w:pPr>
            <w:r w:rsidRPr="006200F6">
              <w:t>determining response options which are most effective for the security risk</w:t>
            </w:r>
          </w:p>
          <w:p w:rsidR="00000000" w:rsidRPr="006200F6" w:rsidP="006200F6">
            <w:pPr>
              <w:pStyle w:val="ListBullet"/>
            </w:pPr>
            <w:r w:rsidRPr="006200F6">
              <w:t>determining response options within specified legal and strategic limits</w:t>
            </w:r>
          </w:p>
          <w:p w:rsidR="00000000" w:rsidRPr="006200F6" w:rsidP="006200F6">
            <w:pPr>
              <w:pStyle w:val="ListBullet"/>
            </w:pPr>
            <w:r w:rsidRPr="006200F6">
              <w:t>identifying current and potential risk factors and their impact on the security risk situation</w:t>
            </w:r>
          </w:p>
          <w:p w:rsidR="00000000" w:rsidRPr="006200F6" w:rsidP="006200F6">
            <w:pPr>
              <w:pStyle w:val="ListBullet"/>
            </w:pPr>
            <w:r w:rsidRPr="006200F6">
              <w:t>interpreting and complying with legal and procedural requirements including licensing re</w:t>
            </w:r>
            <w:r w:rsidRPr="006200F6">
              <w:t>quirements</w:t>
            </w:r>
          </w:p>
          <w:p w:rsidR="00000000" w:rsidRPr="006200F6" w:rsidP="006200F6">
            <w:pPr>
              <w:pStyle w:val="ListBullet"/>
            </w:pPr>
            <w:r w:rsidRPr="006200F6">
              <w:t>reviewing and adjusting response strategies to meet changing circumstances</w:t>
            </w:r>
          </w:p>
          <w:p w:rsidR="00000000" w:rsidP="006200F6">
            <w:pPr>
              <w:pStyle w:val="ListBullet"/>
              <w:rPr>
                <w:lang w:val="en-NZ"/>
              </w:rPr>
            </w:pPr>
            <w:r w:rsidRPr="006200F6">
              <w:t>using appropriate communication modes and terminology to receive and convey information.</w:t>
            </w:r>
          </w:p>
        </w:tc>
      </w:tr>
      <w:tr w:rsidTr="00567F1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6200F6" w:rsidP="006200F6">
            <w:pPr>
              <w:pStyle w:val="BodyText"/>
            </w:pPr>
            <w:r w:rsidRPr="006200F6">
              <w:t>Context of assessment includes:</w:t>
            </w:r>
          </w:p>
          <w:p w:rsidR="00000000" w:rsidRPr="006200F6" w:rsidP="006200F6">
            <w:pPr>
              <w:pStyle w:val="ListBullet"/>
            </w:pPr>
            <w:r w:rsidRPr="006200F6">
              <w:t>a setting in the workplace or environment that simulates the conditions of performance described in the elements, performance criteria and range statement.</w:t>
            </w:r>
          </w:p>
          <w:p w:rsidR="00000000" w:rsidRPr="006200F6" w:rsidP="006200F6">
            <w:pPr>
              <w:pStyle w:val="BodyText"/>
            </w:pPr>
            <w:r w:rsidRPr="006200F6">
              <w:t>Resource implications for assessment include:</w:t>
            </w:r>
          </w:p>
          <w:p w:rsidR="00000000" w:rsidRPr="006200F6" w:rsidP="006200F6">
            <w:pPr>
              <w:pStyle w:val="ListBullet"/>
            </w:pPr>
            <w:r w:rsidRPr="006200F6">
              <w:t>access to a registered provider of assessment servi</w:t>
            </w:r>
            <w:r w:rsidRPr="006200F6">
              <w:t>ces</w:t>
            </w:r>
          </w:p>
          <w:p w:rsidR="00000000" w:rsidRPr="006200F6" w:rsidP="006200F6">
            <w:pPr>
              <w:pStyle w:val="ListBullet"/>
            </w:pPr>
            <w:r w:rsidRPr="006200F6">
              <w:t>access to a suitable venue and equipment</w:t>
            </w:r>
          </w:p>
          <w:p w:rsidR="00000000" w:rsidRPr="006200F6" w:rsidP="006200F6">
            <w:pPr>
              <w:pStyle w:val="ListBullet"/>
            </w:pPr>
            <w:r w:rsidRPr="006200F6">
              <w:t>access to plain English version of relevant statutes and procedures</w:t>
            </w:r>
          </w:p>
          <w:p w:rsidR="00000000" w:rsidRPr="006200F6" w:rsidP="006200F6">
            <w:pPr>
              <w:pStyle w:val="ListBullet"/>
            </w:pPr>
            <w:r w:rsidRPr="006200F6">
              <w:t>assessment instruments including personal planner and assessment record book</w:t>
            </w:r>
          </w:p>
          <w:p w:rsidR="00000000" w:rsidRPr="006200F6" w:rsidP="006200F6">
            <w:pPr>
              <w:pStyle w:val="ListBullet"/>
            </w:pPr>
            <w:r w:rsidRPr="006200F6">
              <w:t>work schedules, organisational policies and duty statements.</w:t>
            </w:r>
          </w:p>
          <w:p w:rsidR="00000000" w:rsidP="006200F6">
            <w:pPr>
              <w:pStyle w:val="BodyText"/>
              <w:rPr>
                <w:lang w:val="en-NZ"/>
              </w:rPr>
            </w:pPr>
            <w:r w:rsidRPr="006200F6">
              <w:t>Reasonable adjustments must be made to assessment processes where required for people with disabilities. This could include access to modified equipment and other physical resources, and the provision of appropriate assessment support.</w:t>
            </w:r>
          </w:p>
        </w:tc>
      </w:tr>
      <w:tr w:rsidTr="00567F1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SpecialBold"/>
              </w:rPr>
              <w:t>Method of assessmen</w:t>
            </w:r>
            <w:r w:rsidRPr="006200F6">
              <w:rPr>
                <w:rStyle w:val="SpecialBold"/>
              </w:rPr>
              <w:t>t</w:t>
            </w:r>
          </w:p>
        </w:tc>
        <w:tc>
          <w:tcPr>
            <w:tcW w:w="6659" w:type="dxa"/>
            <w:tcBorders>
              <w:top w:val="nil"/>
              <w:left w:val="nil"/>
              <w:bottom w:val="nil"/>
              <w:right w:val="nil"/>
            </w:tcBorders>
            <w:tcMar>
              <w:top w:w="0" w:type="dxa"/>
              <w:left w:w="62" w:type="dxa"/>
              <w:bottom w:w="0" w:type="dxa"/>
              <w:right w:w="62" w:type="dxa"/>
            </w:tcMar>
          </w:tcPr>
          <w:p w:rsidR="00000000" w:rsidRPr="006200F6" w:rsidP="006200F6">
            <w:pPr>
              <w:pStyle w:val="BodyText"/>
            </w:pPr>
            <w:r w:rsidRPr="006200F6">
              <w:t>This unit of competency could be assessed using the following methods of assessment:</w:t>
            </w:r>
          </w:p>
          <w:p w:rsidR="00000000" w:rsidRPr="006200F6" w:rsidP="006200F6">
            <w:pPr>
              <w:pStyle w:val="ListBullet"/>
            </w:pPr>
            <w:r w:rsidRPr="006200F6">
              <w:t>observation of processes and procedures</w:t>
            </w:r>
          </w:p>
          <w:p w:rsidR="00000000" w:rsidP="006200F6">
            <w:pPr>
              <w:pStyle w:val="ListBullet"/>
              <w:rPr>
                <w:lang w:val="en-NZ"/>
              </w:rPr>
            </w:pPr>
            <w:r w:rsidRPr="006200F6">
              <w:t>questioning of underpinning knowledge and skills.</w:t>
            </w:r>
          </w:p>
        </w:tc>
      </w:tr>
      <w:tr w:rsidTr="00567F1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6200F6" w:rsidP="006200F6">
            <w:pPr>
              <w:pStyle w:val="BodyText"/>
            </w:pPr>
            <w:r w:rsidRPr="006200F6">
              <w:t xml:space="preserve">Assessment processes and techniques must </w:t>
            </w:r>
            <w:r w:rsidRPr="006200F6">
              <w:t>be culturally appropriate and suitable to the language, literacy and numeracy capacity of the candidate and the competency being assessed. In all cases where practical assessment is used, it should be combined with targeted questioning to assess the underp</w:t>
            </w:r>
            <w:r w:rsidRPr="006200F6">
              <w:t>inning knowledge.</w:t>
            </w:r>
          </w:p>
          <w:p w:rsidR="00000000" w:rsidRPr="006200F6" w:rsidP="006200F6">
            <w:pPr>
              <w:pStyle w:val="BodyText"/>
            </w:pPr>
            <w:r w:rsidRPr="006200F6">
              <w:t>Oral questioning or written assessment may be used to assess underpinning knowledge. In assessment situations where the candidate is offered a choice between oral questioning and written assessment, questions are to be identical.</w:t>
            </w:r>
          </w:p>
          <w:p w:rsidR="00000000" w:rsidRPr="006200F6" w:rsidP="006200F6">
            <w:pPr>
              <w:pStyle w:val="BodyText"/>
            </w:pPr>
            <w:r w:rsidRPr="006200F6">
              <w:t>Suppleme</w:t>
            </w:r>
            <w:r w:rsidRPr="006200F6">
              <w:t>ntary evidence may be obtained from relevant authenticated correspondence from existing supervisors, team leaders or specialist training staff.</w:t>
            </w:r>
          </w:p>
        </w:tc>
      </w:tr>
    </w:tbl>
    <w:p w:rsidR="00567F12" w:rsidP="006200F6">
      <w:pPr>
        <w:pStyle w:val="BodyText"/>
      </w:pPr>
    </w:p>
    <w:p w:rsidR="00567F12" w:rsidP="006200F6">
      <w:pPr>
        <w:pStyle w:val="BodyText"/>
      </w:pPr>
    </w:p>
    <w:p w:rsidR="00000000" w:rsidRPr="006200F6" w:rsidP="006200F6">
      <w:pPr>
        <w:pStyle w:val="Heading1"/>
      </w:pPr>
      <w:bookmarkStart w:id="11" w:name="O_250881"/>
      <w:bookmarkEnd w:id="11"/>
      <w:r w:rsidRPr="006200F6">
        <w:t>Range Statement</w:t>
      </w:r>
    </w:p>
    <w:tbl>
      <w:tblPr>
        <w:tblW w:w="0" w:type="auto"/>
        <w:tblLayout w:type="fixed"/>
        <w:tblCellMar>
          <w:left w:w="62" w:type="dxa"/>
          <w:right w:w="62" w:type="dxa"/>
        </w:tblCellMar>
        <w:tblLook w:val="0000"/>
      </w:tblPr>
      <w:tblGrid>
        <w:gridCol w:w="2412"/>
        <w:gridCol w:w="6110"/>
      </w:tblGrid>
      <w:tr w:rsidTr="00567F1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SpecialBold"/>
              </w:rPr>
              <w:t>RANGE STATEMENT</w:t>
            </w:r>
          </w:p>
        </w:tc>
      </w:tr>
      <w:tr w:rsidTr="00567F1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t>The range statement relates to the unit of competency as a whole. It allows for different work environments and situations that may affect performance. Bold italicised wording, if used in the performance criteria, is detailed below. Essential operating con</w:t>
            </w:r>
            <w:r w:rsidRPr="006200F6">
              <w:t>ditions that may be present with training and assessment (depending on the work situation, needs of the candidate, accessibility of the item, and local industry and regional contexts) may also be included.</w:t>
            </w:r>
          </w:p>
        </w:tc>
      </w:tr>
      <w:tr w:rsidTr="00567F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BoldandItalics"/>
              </w:rPr>
              <w:t>Legislative requirements may relate to</w:t>
            </w:r>
            <w:r w:rsidRPr="006200F6">
              <w:t xml:space="preserve">: </w:t>
            </w:r>
          </w:p>
        </w:tc>
        <w:tc>
          <w:tcPr>
            <w:tcW w:w="6110" w:type="dxa"/>
            <w:tcBorders>
              <w:top w:val="nil"/>
              <w:left w:val="nil"/>
              <w:bottom w:val="nil"/>
              <w:right w:val="nil"/>
            </w:tcBorders>
            <w:tcMar>
              <w:top w:w="0" w:type="dxa"/>
              <w:left w:w="62" w:type="dxa"/>
              <w:bottom w:w="0" w:type="dxa"/>
              <w:right w:w="62" w:type="dxa"/>
            </w:tcMar>
          </w:tcPr>
          <w:p w:rsidR="00000000" w:rsidRPr="006200F6" w:rsidP="006200F6">
            <w:pPr>
              <w:pStyle w:val="ListBullet"/>
            </w:pPr>
            <w:r w:rsidRPr="006200F6">
              <w:t>appreh</w:t>
            </w:r>
            <w:r w:rsidRPr="006200F6">
              <w:t xml:space="preserve">ension and powers of arrest </w:t>
            </w:r>
          </w:p>
          <w:p w:rsidR="00000000" w:rsidRPr="006200F6" w:rsidP="006200F6">
            <w:pPr>
              <w:pStyle w:val="ListBullet"/>
            </w:pPr>
            <w:r w:rsidRPr="006200F6">
              <w:t>Australian standards and quality assurance requirements</w:t>
            </w:r>
          </w:p>
          <w:p w:rsidR="00000000" w:rsidRPr="006200F6" w:rsidP="006200F6">
            <w:pPr>
              <w:pStyle w:val="ListBullet"/>
            </w:pPr>
            <w:r w:rsidRPr="006200F6">
              <w:t>counter-terrorism</w:t>
            </w:r>
          </w:p>
          <w:p w:rsidR="00000000" w:rsidRPr="006200F6" w:rsidP="006200F6">
            <w:pPr>
              <w:pStyle w:val="ListBullet"/>
            </w:pPr>
            <w:r w:rsidRPr="006200F6">
              <w:t>crowd control and control of persons under the influence of intoxicating substances</w:t>
            </w:r>
          </w:p>
          <w:p w:rsidR="00000000" w:rsidRPr="006200F6" w:rsidP="006200F6">
            <w:pPr>
              <w:pStyle w:val="ListBullet"/>
            </w:pPr>
            <w:r w:rsidRPr="006200F6">
              <w:t>force continuum, use of force guidelines</w:t>
            </w:r>
          </w:p>
          <w:p w:rsidR="00000000" w:rsidRPr="006200F6" w:rsidP="006200F6">
            <w:pPr>
              <w:pStyle w:val="ListBullet"/>
            </w:pPr>
            <w:r w:rsidRPr="006200F6">
              <w:t>general 'duty of care' responsibilities</w:t>
            </w:r>
          </w:p>
          <w:p w:rsidR="00000000" w:rsidRPr="006200F6" w:rsidP="006200F6">
            <w:pPr>
              <w:pStyle w:val="ListBullet"/>
            </w:pPr>
            <w:r w:rsidRPr="006200F6">
              <w:t>inspection of people and property, and search and seizure of goods</w:t>
            </w:r>
          </w:p>
          <w:p w:rsidR="00000000" w:rsidRPr="006200F6" w:rsidP="006200F6">
            <w:pPr>
              <w:pStyle w:val="ListBullet"/>
            </w:pPr>
            <w:r w:rsidRPr="006200F6">
              <w:t>licensing or certification requirements</w:t>
            </w:r>
          </w:p>
          <w:p w:rsidR="00000000" w:rsidRPr="006200F6" w:rsidP="006200F6">
            <w:pPr>
              <w:pStyle w:val="ListBullet"/>
            </w:pPr>
            <w:r w:rsidRPr="006200F6">
              <w:t>privacy and confidentiality</w:t>
            </w:r>
          </w:p>
          <w:p w:rsidR="00000000" w:rsidRPr="006200F6" w:rsidP="006200F6">
            <w:pPr>
              <w:pStyle w:val="ListBullet"/>
            </w:pPr>
            <w:r w:rsidRPr="006200F6">
              <w:t>relevant commonwealth, state and territory legislation, codes and national standa</w:t>
            </w:r>
            <w:r w:rsidRPr="006200F6">
              <w:t>rds for:</w:t>
            </w:r>
          </w:p>
          <w:p w:rsidR="00000000" w:rsidRPr="006200F6" w:rsidP="006200F6">
            <w:pPr>
              <w:pStyle w:val="ListBullet2"/>
            </w:pPr>
            <w:r w:rsidRPr="006200F6">
              <w:t>anti-discrimination</w:t>
            </w:r>
          </w:p>
          <w:p w:rsidR="00000000" w:rsidRPr="006200F6" w:rsidP="006200F6">
            <w:pPr>
              <w:pStyle w:val="ListBullet2"/>
            </w:pPr>
            <w:r w:rsidRPr="006200F6">
              <w:t>cultural and ethnic diversity</w:t>
            </w:r>
          </w:p>
          <w:p w:rsidR="00000000" w:rsidRPr="006200F6" w:rsidP="006200F6">
            <w:pPr>
              <w:pStyle w:val="ListBullet2"/>
            </w:pPr>
            <w:r w:rsidRPr="006200F6">
              <w:t>environmental issues</w:t>
            </w:r>
          </w:p>
          <w:p w:rsidR="00000000" w:rsidRPr="006200F6" w:rsidP="006200F6">
            <w:pPr>
              <w:pStyle w:val="ListBullet2"/>
            </w:pPr>
            <w:r w:rsidRPr="006200F6">
              <w:t>equal employment opportunity</w:t>
            </w:r>
          </w:p>
          <w:p w:rsidR="00000000" w:rsidRPr="006200F6" w:rsidP="006200F6">
            <w:pPr>
              <w:pStyle w:val="ListBullet2"/>
            </w:pPr>
            <w:r w:rsidRPr="006200F6">
              <w:t>industrial relations</w:t>
            </w:r>
          </w:p>
          <w:p w:rsidR="00000000" w:rsidRPr="006200F6" w:rsidP="006200F6">
            <w:pPr>
              <w:pStyle w:val="ListBullet2"/>
            </w:pPr>
            <w:r w:rsidRPr="006200F6">
              <w:t>Occupational Health and Safety (OHS)</w:t>
            </w:r>
          </w:p>
          <w:p w:rsidR="00000000" w:rsidRPr="006200F6" w:rsidP="006200F6">
            <w:pPr>
              <w:pStyle w:val="ListBullet"/>
            </w:pPr>
            <w:r w:rsidRPr="006200F6">
              <w:t xml:space="preserve">relevant industry codes of practice </w:t>
            </w:r>
          </w:p>
          <w:p w:rsidR="00000000" w:rsidRPr="006200F6" w:rsidP="006200F6">
            <w:pPr>
              <w:pStyle w:val="ListBullet"/>
            </w:pPr>
            <w:r w:rsidRPr="006200F6">
              <w:t>trespass and the removal of persons</w:t>
            </w:r>
          </w:p>
          <w:p w:rsidR="00000000" w:rsidRPr="006200F6" w:rsidP="006200F6">
            <w:pPr>
              <w:pStyle w:val="ListBullet"/>
            </w:pPr>
            <w:r w:rsidRPr="006200F6">
              <w:t>use of restraints and weapons:</w:t>
            </w:r>
          </w:p>
          <w:p w:rsidR="00000000" w:rsidRPr="006200F6" w:rsidP="006200F6">
            <w:pPr>
              <w:pStyle w:val="ListBullet2"/>
            </w:pPr>
            <w:r w:rsidRPr="006200F6">
              <w:t>batons</w:t>
            </w:r>
          </w:p>
          <w:p w:rsidR="00000000" w:rsidRPr="006200F6" w:rsidP="006200F6">
            <w:pPr>
              <w:pStyle w:val="ListBullet2"/>
            </w:pPr>
            <w:r w:rsidRPr="006200F6">
              <w:t>firearms</w:t>
            </w:r>
          </w:p>
          <w:p w:rsidR="00000000" w:rsidRPr="006200F6" w:rsidP="006200F6">
            <w:pPr>
              <w:pStyle w:val="ListBullet2"/>
            </w:pPr>
            <w:r w:rsidRPr="006200F6">
              <w:t>handcuffs</w:t>
            </w:r>
          </w:p>
          <w:p w:rsidR="00000000" w:rsidP="006200F6">
            <w:pPr>
              <w:pStyle w:val="ListBullet2"/>
              <w:rPr>
                <w:lang w:val="en-NZ"/>
              </w:rPr>
            </w:pPr>
            <w:r w:rsidRPr="006200F6">
              <w:t>spray.</w:t>
            </w:r>
          </w:p>
        </w:tc>
      </w:tr>
      <w:tr w:rsidTr="00567F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SpecialBold"/>
              </w:rPr>
              <w:t>Relevant</w:t>
            </w:r>
            <w:r w:rsidRPr="006200F6">
              <w:t xml:space="preserve"> </w:t>
            </w:r>
            <w:r w:rsidRPr="006200F6">
              <w:rPr>
                <w:rStyle w:val="BoldandItalics"/>
              </w:rPr>
              <w:t>legislation may include</w:t>
            </w:r>
            <w:r w:rsidRPr="006200F6">
              <w:t xml:space="preserve">: </w:t>
            </w:r>
          </w:p>
        </w:tc>
        <w:tc>
          <w:tcPr>
            <w:tcW w:w="6110" w:type="dxa"/>
            <w:tcBorders>
              <w:top w:val="nil"/>
              <w:left w:val="nil"/>
              <w:bottom w:val="nil"/>
              <w:right w:val="nil"/>
            </w:tcBorders>
            <w:tcMar>
              <w:top w:w="0" w:type="dxa"/>
              <w:left w:w="62" w:type="dxa"/>
              <w:bottom w:w="0" w:type="dxa"/>
              <w:right w:w="62" w:type="dxa"/>
            </w:tcMar>
          </w:tcPr>
          <w:p w:rsidR="00000000" w:rsidRPr="006200F6" w:rsidP="006200F6">
            <w:pPr>
              <w:pStyle w:val="ListBullet"/>
            </w:pPr>
            <w:r w:rsidRPr="006200F6">
              <w:t>Crimes Act 1900</w:t>
            </w:r>
          </w:p>
          <w:p w:rsidR="00000000" w:rsidRPr="006200F6" w:rsidP="006200F6">
            <w:pPr>
              <w:pStyle w:val="ListBullet"/>
            </w:pPr>
            <w:r w:rsidRPr="006200F6">
              <w:t>Firearms Act 1996 and Firearms (General) Regulations 1997</w:t>
            </w:r>
          </w:p>
          <w:p w:rsidR="00000000" w:rsidRPr="006200F6" w:rsidP="006200F6">
            <w:pPr>
              <w:pStyle w:val="ListBullet"/>
            </w:pPr>
            <w:r w:rsidRPr="006200F6">
              <w:t>general principles of Common Law</w:t>
            </w:r>
          </w:p>
          <w:p w:rsidR="00000000" w:rsidRPr="006200F6" w:rsidP="006200F6">
            <w:pPr>
              <w:pStyle w:val="ListBullet"/>
            </w:pPr>
            <w:r w:rsidRPr="006200F6">
              <w:t>Inclosed Lands Protection Act 1901</w:t>
            </w:r>
          </w:p>
          <w:p w:rsidR="00000000" w:rsidRPr="006200F6" w:rsidP="006200F6">
            <w:pPr>
              <w:pStyle w:val="ListBullet"/>
            </w:pPr>
            <w:r w:rsidRPr="006200F6">
              <w:t>Law Enforcement (Powers and Responsibilities) Act 2002</w:t>
            </w:r>
          </w:p>
          <w:p w:rsidR="00000000" w:rsidRPr="006200F6" w:rsidP="006200F6">
            <w:pPr>
              <w:pStyle w:val="ListBullet"/>
            </w:pPr>
            <w:r w:rsidRPr="006200F6">
              <w:t>Liquor Act 1982</w:t>
            </w:r>
          </w:p>
          <w:p w:rsidR="00000000" w:rsidRPr="006200F6" w:rsidP="006200F6">
            <w:pPr>
              <w:pStyle w:val="ListBullet"/>
            </w:pPr>
            <w:r w:rsidRPr="006200F6">
              <w:t>Listening Devices Act 1984</w:t>
            </w:r>
          </w:p>
          <w:p w:rsidR="00000000" w:rsidRPr="006200F6" w:rsidP="006200F6">
            <w:pPr>
              <w:pStyle w:val="ListBullet"/>
            </w:pPr>
            <w:r w:rsidRPr="006200F6">
              <w:t>Registered Clubs Act 1976</w:t>
            </w:r>
          </w:p>
          <w:p w:rsidR="00000000" w:rsidRPr="006200F6" w:rsidP="006200F6">
            <w:pPr>
              <w:pStyle w:val="ListBullet"/>
            </w:pPr>
            <w:r w:rsidRPr="006200F6">
              <w:t>Security Industry Act 1997 and Regulations 1998</w:t>
            </w:r>
          </w:p>
          <w:p w:rsidR="00000000" w:rsidRPr="006200F6" w:rsidP="006200F6">
            <w:pPr>
              <w:pStyle w:val="ListBullet"/>
            </w:pPr>
            <w:r w:rsidRPr="006200F6">
              <w:t>Trade Practices Act</w:t>
            </w:r>
          </w:p>
          <w:p w:rsidR="00000000" w:rsidP="006200F6">
            <w:pPr>
              <w:pStyle w:val="ListBullet"/>
              <w:rPr>
                <w:lang w:val="en-NZ"/>
              </w:rPr>
            </w:pPr>
            <w:r w:rsidRPr="006200F6">
              <w:t>Workplace Surveillance Act 2005.</w:t>
            </w:r>
          </w:p>
        </w:tc>
      </w:tr>
      <w:tr w:rsidTr="00567F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BoldandItalics"/>
              </w:rPr>
              <w:t>Organisational requirements ma</w:t>
            </w:r>
            <w:r w:rsidRPr="006200F6">
              <w:rPr>
                <w:rStyle w:val="BoldandItalics"/>
              </w:rPr>
              <w:t>y relate to</w:t>
            </w:r>
            <w:r w:rsidRPr="006200F6">
              <w:t>:</w:t>
            </w:r>
          </w:p>
        </w:tc>
        <w:tc>
          <w:tcPr>
            <w:tcW w:w="6110" w:type="dxa"/>
            <w:tcBorders>
              <w:top w:val="nil"/>
              <w:left w:val="nil"/>
              <w:bottom w:val="nil"/>
              <w:right w:val="nil"/>
            </w:tcBorders>
            <w:tcMar>
              <w:top w:w="0" w:type="dxa"/>
              <w:left w:w="62" w:type="dxa"/>
              <w:bottom w:w="0" w:type="dxa"/>
              <w:right w:w="62" w:type="dxa"/>
            </w:tcMar>
          </w:tcPr>
          <w:p w:rsidR="00000000" w:rsidRPr="006200F6" w:rsidP="006200F6">
            <w:pPr>
              <w:pStyle w:val="ListBullet"/>
            </w:pPr>
            <w:r w:rsidRPr="006200F6">
              <w:t>access and equity policies, principles and practices</w:t>
            </w:r>
          </w:p>
          <w:p w:rsidR="00000000" w:rsidRPr="006200F6" w:rsidP="006200F6">
            <w:pPr>
              <w:pStyle w:val="ListBullet"/>
            </w:pPr>
            <w:r w:rsidRPr="006200F6">
              <w:t>business and performance plans</w:t>
            </w:r>
          </w:p>
          <w:p w:rsidR="00000000" w:rsidRPr="006200F6" w:rsidP="006200F6">
            <w:pPr>
              <w:pStyle w:val="ListBullet"/>
            </w:pPr>
            <w:r w:rsidRPr="006200F6">
              <w:t>client service standards</w:t>
            </w:r>
          </w:p>
          <w:p w:rsidR="00000000" w:rsidRPr="006200F6" w:rsidP="006200F6">
            <w:pPr>
              <w:pStyle w:val="ListBullet"/>
            </w:pPr>
            <w:r w:rsidRPr="006200F6">
              <w:t>code of conduct, code of ethics</w:t>
            </w:r>
          </w:p>
          <w:p w:rsidR="00000000" w:rsidRPr="006200F6" w:rsidP="006200F6">
            <w:pPr>
              <w:pStyle w:val="ListBullet"/>
            </w:pPr>
            <w:r w:rsidRPr="006200F6">
              <w:t>communication and reporting procedures</w:t>
            </w:r>
          </w:p>
          <w:p w:rsidR="00000000" w:rsidRPr="006200F6" w:rsidP="006200F6">
            <w:pPr>
              <w:pStyle w:val="ListBullet"/>
            </w:pPr>
            <w:r w:rsidRPr="006200F6">
              <w:t>complaint and dispute resolution procedures</w:t>
            </w:r>
          </w:p>
          <w:p w:rsidR="00000000" w:rsidRPr="006200F6" w:rsidP="006200F6">
            <w:pPr>
              <w:pStyle w:val="ListBullet"/>
            </w:pPr>
            <w:r w:rsidRPr="006200F6">
              <w:t>emergency and evacuation procedures</w:t>
            </w:r>
          </w:p>
          <w:p w:rsidR="00000000" w:rsidRPr="006200F6" w:rsidP="006200F6">
            <w:pPr>
              <w:pStyle w:val="ListBullet"/>
            </w:pPr>
            <w:r w:rsidRPr="006200F6">
              <w:t xml:space="preserve">employer and employee rights and responsibilities </w:t>
            </w:r>
          </w:p>
          <w:p w:rsidR="00000000" w:rsidRPr="006200F6" w:rsidP="006200F6">
            <w:pPr>
              <w:pStyle w:val="ListBullet"/>
            </w:pPr>
            <w:r w:rsidRPr="006200F6">
              <w:t>OHS policies, procedures and programs</w:t>
            </w:r>
          </w:p>
          <w:p w:rsidR="00000000" w:rsidRPr="006200F6" w:rsidP="006200F6">
            <w:pPr>
              <w:pStyle w:val="ListBullet"/>
            </w:pPr>
            <w:r w:rsidRPr="006200F6">
              <w:t xml:space="preserve">own role, responsibility and authority </w:t>
            </w:r>
          </w:p>
          <w:p w:rsidR="00000000" w:rsidRPr="006200F6" w:rsidP="006200F6">
            <w:pPr>
              <w:pStyle w:val="ListBullet"/>
            </w:pPr>
            <w:r w:rsidRPr="006200F6">
              <w:t>personal and professional development</w:t>
            </w:r>
          </w:p>
          <w:p w:rsidR="00000000" w:rsidRPr="006200F6" w:rsidP="006200F6">
            <w:pPr>
              <w:pStyle w:val="ListBullet"/>
            </w:pPr>
            <w:r w:rsidRPr="006200F6">
              <w:t>privacy and confidentiality of information</w:t>
            </w:r>
          </w:p>
          <w:p w:rsidR="00000000" w:rsidRPr="006200F6" w:rsidP="006200F6">
            <w:pPr>
              <w:pStyle w:val="ListBullet"/>
            </w:pPr>
            <w:r w:rsidRPr="006200F6">
              <w:t>quality as</w:t>
            </w:r>
            <w:r w:rsidRPr="006200F6">
              <w:t>surance and continuous improvement processes and standards</w:t>
            </w:r>
          </w:p>
          <w:p w:rsidR="00000000" w:rsidRPr="006200F6" w:rsidP="006200F6">
            <w:pPr>
              <w:pStyle w:val="ListBullet"/>
            </w:pPr>
            <w:r w:rsidRPr="006200F6">
              <w:t>resource parameters and procedures</w:t>
            </w:r>
          </w:p>
          <w:p w:rsidR="00000000" w:rsidRPr="006200F6" w:rsidP="006200F6">
            <w:pPr>
              <w:pStyle w:val="ListBullet"/>
            </w:pPr>
            <w:r w:rsidRPr="006200F6">
              <w:t>roles, functions and responsibilities of security personnel</w:t>
            </w:r>
          </w:p>
          <w:p w:rsidR="00000000" w:rsidP="006200F6">
            <w:pPr>
              <w:pStyle w:val="ListBullet"/>
              <w:rPr>
                <w:lang w:val="en-NZ"/>
              </w:rPr>
            </w:pPr>
            <w:r w:rsidRPr="006200F6">
              <w:t>storage and disposal of information.</w:t>
            </w:r>
          </w:p>
        </w:tc>
      </w:tr>
      <w:tr w:rsidTr="00567F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BoldandItalics"/>
              </w:rPr>
              <w:t>Security risk situation</w:t>
            </w:r>
            <w:r w:rsidRPr="006200F6">
              <w:t xml:space="preserve"> may relate to:</w:t>
            </w:r>
          </w:p>
        </w:tc>
        <w:tc>
          <w:tcPr>
            <w:tcW w:w="6110" w:type="dxa"/>
            <w:tcBorders>
              <w:top w:val="nil"/>
              <w:left w:val="nil"/>
              <w:bottom w:val="nil"/>
              <w:right w:val="nil"/>
            </w:tcBorders>
            <w:tcMar>
              <w:top w:w="0" w:type="dxa"/>
              <w:left w:w="62" w:type="dxa"/>
              <w:bottom w:w="0" w:type="dxa"/>
              <w:right w:w="62" w:type="dxa"/>
            </w:tcMar>
          </w:tcPr>
          <w:p w:rsidR="00000000" w:rsidRPr="006200F6" w:rsidP="006200F6">
            <w:pPr>
              <w:pStyle w:val="ListBullet"/>
            </w:pPr>
            <w:r w:rsidRPr="006200F6">
              <w:t>biological hazards</w:t>
            </w:r>
          </w:p>
          <w:p w:rsidR="00000000" w:rsidRPr="006200F6" w:rsidP="006200F6">
            <w:pPr>
              <w:pStyle w:val="ListBullet"/>
            </w:pPr>
            <w:r w:rsidRPr="006200F6">
              <w:t>chemical spills</w:t>
            </w:r>
          </w:p>
          <w:p w:rsidR="00000000" w:rsidRPr="006200F6" w:rsidP="006200F6">
            <w:pPr>
              <w:pStyle w:val="ListBullet"/>
            </w:pPr>
            <w:r w:rsidRPr="006200F6">
              <w:t>electrical faults</w:t>
            </w:r>
          </w:p>
          <w:p w:rsidR="00000000" w:rsidRPr="006200F6" w:rsidP="006200F6">
            <w:pPr>
              <w:pStyle w:val="ListBullet"/>
            </w:pPr>
            <w:r w:rsidRPr="006200F6">
              <w:t>explosives</w:t>
            </w:r>
          </w:p>
          <w:p w:rsidR="00000000" w:rsidRPr="006200F6" w:rsidP="006200F6">
            <w:pPr>
              <w:pStyle w:val="ListBullet"/>
            </w:pPr>
            <w:r w:rsidRPr="006200F6">
              <w:t>injury to personnel</w:t>
            </w:r>
          </w:p>
          <w:p w:rsidR="00000000" w:rsidRPr="006200F6" w:rsidP="006200F6">
            <w:pPr>
              <w:pStyle w:val="ListBullet"/>
            </w:pPr>
            <w:r w:rsidRPr="006200F6">
              <w:t>noise, light, heat, smoke</w:t>
            </w:r>
          </w:p>
          <w:p w:rsidR="00000000" w:rsidRPr="006200F6" w:rsidP="006200F6">
            <w:pPr>
              <w:pStyle w:val="ListBullet"/>
            </w:pPr>
            <w:r w:rsidRPr="006200F6">
              <w:t>persons carrying weapons</w:t>
            </w:r>
          </w:p>
          <w:p w:rsidR="00000000" w:rsidRPr="006200F6" w:rsidP="006200F6">
            <w:pPr>
              <w:pStyle w:val="ListBullet"/>
            </w:pPr>
            <w:r w:rsidRPr="006200F6">
              <w:t>persons causing a public nuisance</w:t>
            </w:r>
          </w:p>
          <w:p w:rsidR="00000000" w:rsidRPr="006200F6" w:rsidP="006200F6">
            <w:pPr>
              <w:pStyle w:val="ListBullet"/>
            </w:pPr>
            <w:r w:rsidRPr="006200F6">
              <w:t>persons demonstrating suspicious behaviour</w:t>
            </w:r>
          </w:p>
          <w:p w:rsidR="00000000" w:rsidRPr="006200F6" w:rsidP="006200F6">
            <w:pPr>
              <w:pStyle w:val="ListBullet"/>
            </w:pPr>
            <w:r w:rsidRPr="006200F6">
              <w:t>persons suffering from emotional or physical distress</w:t>
            </w:r>
          </w:p>
          <w:p w:rsidR="00000000" w:rsidRPr="006200F6" w:rsidP="006200F6">
            <w:pPr>
              <w:pStyle w:val="ListBullet"/>
            </w:pPr>
            <w:r w:rsidRPr="006200F6">
              <w:t>persons u</w:t>
            </w:r>
            <w:r w:rsidRPr="006200F6">
              <w:t>nder the influence of intoxicating substances</w:t>
            </w:r>
          </w:p>
          <w:p w:rsidR="00000000" w:rsidRPr="006200F6" w:rsidP="006200F6">
            <w:pPr>
              <w:pStyle w:val="ListBullet"/>
            </w:pPr>
            <w:r w:rsidRPr="006200F6">
              <w:t>persons with criminal intent</w:t>
            </w:r>
          </w:p>
          <w:p w:rsidR="00000000" w:rsidRPr="006200F6" w:rsidP="006200F6">
            <w:pPr>
              <w:pStyle w:val="ListBullet"/>
            </w:pPr>
            <w:r w:rsidRPr="006200F6">
              <w:t>persons, vehicles and equipment in unsuitable locations</w:t>
            </w:r>
          </w:p>
          <w:p w:rsidR="00000000" w:rsidRPr="006200F6" w:rsidP="006200F6">
            <w:pPr>
              <w:pStyle w:val="ListBullet"/>
            </w:pPr>
            <w:r w:rsidRPr="006200F6">
              <w:t>suspicious packages or substances</w:t>
            </w:r>
          </w:p>
          <w:p w:rsidR="00000000" w:rsidRPr="006200F6" w:rsidP="006200F6">
            <w:pPr>
              <w:pStyle w:val="ListBullet"/>
            </w:pPr>
            <w:r w:rsidRPr="006200F6">
              <w:t>terrorism</w:t>
            </w:r>
          </w:p>
          <w:p w:rsidR="00000000" w:rsidP="006200F6">
            <w:pPr>
              <w:pStyle w:val="ListBullet"/>
              <w:rPr>
                <w:lang w:val="en-NZ"/>
              </w:rPr>
            </w:pPr>
            <w:r w:rsidRPr="006200F6">
              <w:t>violence or physical threats.</w:t>
            </w:r>
          </w:p>
        </w:tc>
      </w:tr>
      <w:tr w:rsidTr="00567F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BoldandItalics"/>
              </w:rPr>
              <w:t>Environmental factors</w:t>
            </w:r>
            <w:r w:rsidRPr="006200F6">
              <w:t xml:space="preserve"> may relate to:</w:t>
            </w:r>
          </w:p>
        </w:tc>
        <w:tc>
          <w:tcPr>
            <w:tcW w:w="6110" w:type="dxa"/>
            <w:tcBorders>
              <w:top w:val="nil"/>
              <w:left w:val="nil"/>
              <w:bottom w:val="nil"/>
              <w:right w:val="nil"/>
            </w:tcBorders>
            <w:tcMar>
              <w:top w:w="0" w:type="dxa"/>
              <w:left w:w="62" w:type="dxa"/>
              <w:bottom w:w="0" w:type="dxa"/>
              <w:right w:w="62" w:type="dxa"/>
            </w:tcMar>
          </w:tcPr>
          <w:p w:rsidR="00000000" w:rsidRPr="006200F6" w:rsidP="006200F6">
            <w:pPr>
              <w:pStyle w:val="ListBullet"/>
            </w:pPr>
            <w:r w:rsidRPr="006200F6">
              <w:t>access to assistance and resources</w:t>
            </w:r>
          </w:p>
          <w:p w:rsidR="00000000" w:rsidRPr="006200F6" w:rsidP="006200F6">
            <w:pPr>
              <w:pStyle w:val="ListBullet"/>
            </w:pPr>
            <w:r w:rsidRPr="006200F6">
              <w:t>availability of exits and opportunities for escape</w:t>
            </w:r>
          </w:p>
          <w:p w:rsidR="00000000" w:rsidRPr="006200F6" w:rsidP="006200F6">
            <w:pPr>
              <w:pStyle w:val="ListBullet"/>
            </w:pPr>
            <w:r w:rsidRPr="006200F6">
              <w:t>crowds</w:t>
            </w:r>
          </w:p>
          <w:p w:rsidR="00000000" w:rsidRPr="006200F6" w:rsidP="006200F6">
            <w:pPr>
              <w:pStyle w:val="ListBullet"/>
            </w:pPr>
            <w:r w:rsidRPr="006200F6">
              <w:t>different degrees of light including low light and darkness</w:t>
            </w:r>
          </w:p>
          <w:p w:rsidR="00000000" w:rsidRPr="006200F6" w:rsidP="006200F6">
            <w:pPr>
              <w:pStyle w:val="ListBullet"/>
            </w:pPr>
            <w:r w:rsidRPr="006200F6">
              <w:t>presence of several sources of threat</w:t>
            </w:r>
          </w:p>
          <w:p w:rsidR="00000000" w:rsidRPr="006200F6" w:rsidP="006200F6">
            <w:pPr>
              <w:pStyle w:val="ListBullet"/>
            </w:pPr>
            <w:r w:rsidRPr="006200F6">
              <w:t>time of day</w:t>
            </w:r>
          </w:p>
          <w:p w:rsidR="00000000" w:rsidP="006200F6">
            <w:pPr>
              <w:pStyle w:val="ListBullet"/>
              <w:rPr>
                <w:lang w:val="en-NZ"/>
              </w:rPr>
            </w:pPr>
            <w:r w:rsidRPr="006200F6">
              <w:t>weather.</w:t>
            </w:r>
          </w:p>
        </w:tc>
      </w:tr>
      <w:tr w:rsidTr="00567F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BoldandItalics"/>
              </w:rPr>
              <w:t>Communication channels and processes may re</w:t>
            </w:r>
            <w:r w:rsidRPr="006200F6">
              <w:rPr>
                <w:rStyle w:val="BoldandItalics"/>
              </w:rPr>
              <w:t>late to</w:t>
            </w:r>
            <w:r w:rsidRPr="006200F6">
              <w:t xml:space="preserve">: </w:t>
            </w:r>
          </w:p>
        </w:tc>
        <w:tc>
          <w:tcPr>
            <w:tcW w:w="6110" w:type="dxa"/>
            <w:tcBorders>
              <w:top w:val="nil"/>
              <w:left w:val="nil"/>
              <w:bottom w:val="nil"/>
              <w:right w:val="nil"/>
            </w:tcBorders>
            <w:tcMar>
              <w:top w:w="0" w:type="dxa"/>
              <w:left w:w="62" w:type="dxa"/>
              <w:bottom w:w="0" w:type="dxa"/>
              <w:right w:w="62" w:type="dxa"/>
            </w:tcMar>
          </w:tcPr>
          <w:p w:rsidR="00000000" w:rsidRPr="006200F6" w:rsidP="006200F6">
            <w:pPr>
              <w:pStyle w:val="ListBullet"/>
            </w:pPr>
            <w:r w:rsidRPr="006200F6">
              <w:t>direct line supervision paths</w:t>
            </w:r>
          </w:p>
          <w:p w:rsidR="00000000" w:rsidRPr="006200F6" w:rsidP="006200F6">
            <w:pPr>
              <w:pStyle w:val="ListBullet"/>
            </w:pPr>
            <w:r w:rsidRPr="006200F6">
              <w:t>established communication protocols</w:t>
            </w:r>
          </w:p>
          <w:p w:rsidR="00000000" w:rsidRPr="006200F6" w:rsidP="006200F6">
            <w:pPr>
              <w:pStyle w:val="ListBullet"/>
            </w:pPr>
            <w:r w:rsidRPr="006200F6">
              <w:t>formal communication pathways</w:t>
            </w:r>
          </w:p>
          <w:p w:rsidR="00000000" w:rsidRPr="006200F6" w:rsidP="006200F6">
            <w:pPr>
              <w:pStyle w:val="ListBullet"/>
            </w:pPr>
            <w:r w:rsidRPr="006200F6">
              <w:t>lateral supervision paths</w:t>
            </w:r>
          </w:p>
          <w:p w:rsidR="00000000" w:rsidRPr="006200F6" w:rsidP="006200F6">
            <w:pPr>
              <w:pStyle w:val="ListBullet"/>
            </w:pPr>
            <w:r w:rsidRPr="006200F6">
              <w:t>organisational communication networks</w:t>
            </w:r>
          </w:p>
          <w:p w:rsidR="00000000" w:rsidP="006200F6">
            <w:pPr>
              <w:pStyle w:val="ListBullet"/>
              <w:rPr>
                <w:lang w:val="en-NZ"/>
              </w:rPr>
            </w:pPr>
            <w:r w:rsidRPr="006200F6">
              <w:t>verbal and non-verbal communication procedures eg pro-words, phonetic alpha</w:t>
            </w:r>
            <w:r w:rsidRPr="006200F6">
              <w:t>bet, call signs, coded messages, use of abbreviations, hand signals.</w:t>
            </w:r>
          </w:p>
        </w:tc>
      </w:tr>
      <w:tr w:rsidTr="00567F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BoldandItalics"/>
              </w:rPr>
              <w:t>Relevant persons</w:t>
            </w:r>
            <w:r w:rsidRPr="006200F6">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6200F6" w:rsidP="006200F6">
            <w:pPr>
              <w:pStyle w:val="ListBullet"/>
            </w:pPr>
            <w:r w:rsidRPr="006200F6">
              <w:t>clients</w:t>
            </w:r>
          </w:p>
          <w:p w:rsidR="00000000" w:rsidRPr="006200F6" w:rsidP="006200F6">
            <w:pPr>
              <w:pStyle w:val="ListBullet"/>
            </w:pPr>
            <w:r w:rsidRPr="006200F6">
              <w:t>colleagues</w:t>
            </w:r>
          </w:p>
          <w:p w:rsidR="00000000" w:rsidRPr="006200F6" w:rsidP="006200F6">
            <w:pPr>
              <w:pStyle w:val="ListBullet"/>
            </w:pPr>
            <w:r w:rsidRPr="006200F6">
              <w:t>emergency services personnel</w:t>
            </w:r>
          </w:p>
          <w:p w:rsidR="00000000" w:rsidP="006200F6">
            <w:pPr>
              <w:pStyle w:val="ListBullet"/>
              <w:rPr>
                <w:lang w:val="en-NZ"/>
              </w:rPr>
            </w:pPr>
            <w:r w:rsidRPr="006200F6">
              <w:t>supervisor.</w:t>
            </w:r>
          </w:p>
        </w:tc>
      </w:tr>
      <w:tr w:rsidTr="00567F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BoldandItalics"/>
              </w:rPr>
              <w:t>Factors for assessment may include</w:t>
            </w:r>
            <w:r w:rsidRPr="006200F6">
              <w:t>:</w:t>
            </w:r>
          </w:p>
        </w:tc>
        <w:tc>
          <w:tcPr>
            <w:tcW w:w="6110" w:type="dxa"/>
            <w:tcBorders>
              <w:top w:val="nil"/>
              <w:left w:val="nil"/>
              <w:bottom w:val="nil"/>
              <w:right w:val="nil"/>
            </w:tcBorders>
            <w:tcMar>
              <w:top w:w="0" w:type="dxa"/>
              <w:left w:w="62" w:type="dxa"/>
              <w:bottom w:w="0" w:type="dxa"/>
              <w:right w:w="62" w:type="dxa"/>
            </w:tcMar>
          </w:tcPr>
          <w:p w:rsidR="00000000" w:rsidRPr="006200F6" w:rsidP="006200F6">
            <w:pPr>
              <w:pStyle w:val="ListBullet"/>
            </w:pPr>
            <w:r w:rsidRPr="006200F6">
              <w:t>available resources including emergency support, team ba</w:t>
            </w:r>
            <w:r w:rsidRPr="006200F6">
              <w:t>ck-up or security equipment</w:t>
            </w:r>
          </w:p>
          <w:p w:rsidR="00000000" w:rsidRPr="006200F6" w:rsidP="006200F6">
            <w:pPr>
              <w:pStyle w:val="ListBullet"/>
            </w:pPr>
            <w:r w:rsidRPr="006200F6">
              <w:t xml:space="preserve">known information about persons involved in the security risk </w:t>
            </w:r>
          </w:p>
          <w:p w:rsidR="00000000" w:rsidRPr="006200F6" w:rsidP="006200F6">
            <w:pPr>
              <w:pStyle w:val="ListBullet"/>
            </w:pPr>
            <w:r w:rsidRPr="006200F6">
              <w:t xml:space="preserve">known information about the circumstances of the security risk </w:t>
            </w:r>
          </w:p>
          <w:p w:rsidR="00000000" w:rsidRPr="006200F6" w:rsidP="006200F6">
            <w:pPr>
              <w:pStyle w:val="ListBullet"/>
            </w:pPr>
            <w:r w:rsidRPr="006200F6">
              <w:t>observation of the environment and physical conditions</w:t>
            </w:r>
          </w:p>
          <w:p w:rsidR="00000000" w:rsidRPr="006200F6" w:rsidP="006200F6">
            <w:pPr>
              <w:pStyle w:val="ListBullet"/>
            </w:pPr>
            <w:r w:rsidRPr="006200F6">
              <w:t xml:space="preserve">options for controlling and defusing security risk </w:t>
            </w:r>
          </w:p>
          <w:p w:rsidR="00000000" w:rsidRPr="006200F6" w:rsidP="006200F6">
            <w:pPr>
              <w:pStyle w:val="ListBullet"/>
            </w:pPr>
            <w:r w:rsidRPr="006200F6">
              <w:t xml:space="preserve">potential triggers for escalation of security risk </w:t>
            </w:r>
          </w:p>
          <w:p w:rsidR="00000000" w:rsidP="006200F6">
            <w:pPr>
              <w:pStyle w:val="ListBullet"/>
              <w:rPr>
                <w:lang w:val="en-NZ"/>
              </w:rPr>
            </w:pPr>
            <w:r w:rsidRPr="006200F6">
              <w:t>the nature of the security risk.</w:t>
            </w:r>
          </w:p>
        </w:tc>
      </w:tr>
      <w:tr w:rsidTr="00567F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BoldandItalics"/>
              </w:rPr>
              <w:t>Resources and equipment may include</w:t>
            </w:r>
            <w:r w:rsidRPr="006200F6">
              <w:t>:</w:t>
            </w:r>
          </w:p>
        </w:tc>
        <w:tc>
          <w:tcPr>
            <w:tcW w:w="6110" w:type="dxa"/>
            <w:tcBorders>
              <w:top w:val="nil"/>
              <w:left w:val="nil"/>
              <w:bottom w:val="nil"/>
              <w:right w:val="nil"/>
            </w:tcBorders>
            <w:tcMar>
              <w:top w:w="0" w:type="dxa"/>
              <w:left w:w="62" w:type="dxa"/>
              <w:bottom w:w="0" w:type="dxa"/>
              <w:right w:w="62" w:type="dxa"/>
            </w:tcMar>
          </w:tcPr>
          <w:p w:rsidR="00000000" w:rsidRPr="006200F6" w:rsidP="006200F6">
            <w:pPr>
              <w:pStyle w:val="ListBullet"/>
            </w:pPr>
            <w:r w:rsidRPr="006200F6">
              <w:t>communications equipment</w:t>
            </w:r>
          </w:p>
          <w:p w:rsidR="00000000" w:rsidRPr="006200F6" w:rsidP="006200F6">
            <w:pPr>
              <w:pStyle w:val="ListBullet2"/>
            </w:pPr>
            <w:r w:rsidRPr="006200F6">
              <w:t>pager</w:t>
            </w:r>
          </w:p>
          <w:p w:rsidR="00000000" w:rsidRPr="006200F6" w:rsidP="006200F6">
            <w:pPr>
              <w:pStyle w:val="ListBullet2"/>
            </w:pPr>
            <w:r w:rsidRPr="006200F6">
              <w:t>portable and mounted two-way radio</w:t>
            </w:r>
          </w:p>
          <w:p w:rsidR="00000000" w:rsidRPr="006200F6" w:rsidP="006200F6">
            <w:pPr>
              <w:pStyle w:val="ListBullet2"/>
            </w:pPr>
            <w:r w:rsidRPr="006200F6">
              <w:t>telephone and mobile phone</w:t>
            </w:r>
          </w:p>
          <w:p w:rsidR="00000000" w:rsidRPr="006200F6" w:rsidP="006200F6">
            <w:pPr>
              <w:pStyle w:val="ListBullet"/>
            </w:pPr>
            <w:r w:rsidRPr="006200F6">
              <w:t>maps</w:t>
            </w:r>
          </w:p>
          <w:p w:rsidR="00000000" w:rsidRPr="006200F6" w:rsidP="006200F6">
            <w:pPr>
              <w:pStyle w:val="ListBullet"/>
            </w:pPr>
            <w:r w:rsidRPr="006200F6">
              <w:t>pen and security notebook</w:t>
            </w:r>
          </w:p>
          <w:p w:rsidR="00000000" w:rsidRPr="006200F6" w:rsidP="006200F6">
            <w:pPr>
              <w:pStyle w:val="ListBullet"/>
            </w:pPr>
            <w:r w:rsidRPr="006200F6">
              <w:t>personal protection equipment</w:t>
            </w:r>
          </w:p>
          <w:p w:rsidR="00000000" w:rsidRPr="006200F6" w:rsidP="006200F6">
            <w:pPr>
              <w:pStyle w:val="ListBullet"/>
            </w:pPr>
            <w:r w:rsidRPr="006200F6">
              <w:t>security equipment</w:t>
            </w:r>
          </w:p>
          <w:p w:rsidR="00000000" w:rsidRPr="006200F6" w:rsidP="006200F6">
            <w:pPr>
              <w:pStyle w:val="ListBullet2"/>
            </w:pPr>
            <w:r w:rsidRPr="006200F6">
              <w:t>restraints</w:t>
            </w:r>
          </w:p>
          <w:p w:rsidR="00000000" w:rsidRPr="006200F6" w:rsidP="006200F6">
            <w:pPr>
              <w:pStyle w:val="ListBullet2"/>
            </w:pPr>
            <w:r w:rsidRPr="006200F6">
              <w:t>weapons</w:t>
            </w:r>
          </w:p>
          <w:p w:rsidR="00000000" w:rsidRPr="006200F6" w:rsidP="006200F6">
            <w:pPr>
              <w:pStyle w:val="ListBullet"/>
            </w:pPr>
            <w:r w:rsidRPr="006200F6">
              <w:t xml:space="preserve">security personnel and specialist services </w:t>
            </w:r>
          </w:p>
          <w:p w:rsidR="00000000" w:rsidP="006200F6">
            <w:pPr>
              <w:pStyle w:val="ListBullet"/>
              <w:rPr>
                <w:lang w:val="en-NZ"/>
              </w:rPr>
            </w:pPr>
            <w:r w:rsidRPr="006200F6">
              <w:t>transport.</w:t>
            </w:r>
          </w:p>
        </w:tc>
      </w:tr>
      <w:tr w:rsidTr="00567F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BoldandItalics"/>
              </w:rPr>
              <w:t>Response</w:t>
            </w:r>
            <w:r w:rsidRPr="006200F6">
              <w:t xml:space="preserve"> </w:t>
            </w:r>
            <w:r w:rsidRPr="006200F6">
              <w:rPr>
                <w:rStyle w:val="SpecialBold"/>
              </w:rPr>
              <w:t>may involve</w:t>
            </w:r>
            <w:r w:rsidRPr="006200F6">
              <w:t>:</w:t>
            </w:r>
          </w:p>
        </w:tc>
        <w:tc>
          <w:tcPr>
            <w:tcW w:w="6110" w:type="dxa"/>
            <w:tcBorders>
              <w:top w:val="nil"/>
              <w:left w:val="nil"/>
              <w:bottom w:val="nil"/>
              <w:right w:val="nil"/>
            </w:tcBorders>
            <w:tcMar>
              <w:top w:w="0" w:type="dxa"/>
              <w:left w:w="62" w:type="dxa"/>
              <w:bottom w:w="0" w:type="dxa"/>
              <w:right w:w="62" w:type="dxa"/>
            </w:tcMar>
          </w:tcPr>
          <w:p w:rsidR="00000000" w:rsidRPr="006200F6" w:rsidP="006200F6">
            <w:pPr>
              <w:pStyle w:val="ListBullet"/>
            </w:pPr>
            <w:r w:rsidRPr="006200F6">
              <w:t>defusing the situation</w:t>
            </w:r>
          </w:p>
          <w:p w:rsidR="00000000" w:rsidRPr="006200F6" w:rsidP="006200F6">
            <w:pPr>
              <w:pStyle w:val="ListBullet"/>
            </w:pPr>
            <w:r w:rsidRPr="006200F6">
              <w:t>evacuating the premises</w:t>
            </w:r>
          </w:p>
          <w:p w:rsidR="00000000" w:rsidRPr="006200F6" w:rsidP="006200F6">
            <w:pPr>
              <w:pStyle w:val="ListBullet"/>
            </w:pPr>
            <w:r w:rsidRPr="006200F6">
              <w:t>isolating area of potential risk</w:t>
            </w:r>
          </w:p>
          <w:p w:rsidR="00000000" w:rsidRPr="006200F6" w:rsidP="006200F6">
            <w:pPr>
              <w:pStyle w:val="ListBullet"/>
            </w:pPr>
            <w:r w:rsidRPr="006200F6">
              <w:t>isolating risk</w:t>
            </w:r>
          </w:p>
          <w:p w:rsidR="00000000" w:rsidRPr="006200F6" w:rsidP="006200F6">
            <w:pPr>
              <w:pStyle w:val="ListBullet"/>
            </w:pPr>
            <w:r w:rsidRPr="006200F6">
              <w:t>notifying relevant emergency services agencies</w:t>
            </w:r>
          </w:p>
          <w:p w:rsidR="00000000" w:rsidRPr="006200F6" w:rsidP="006200F6">
            <w:pPr>
              <w:pStyle w:val="ListBullet"/>
            </w:pPr>
            <w:r w:rsidRPr="006200F6">
              <w:t>providing access for emergency services</w:t>
            </w:r>
          </w:p>
          <w:p w:rsidR="00000000" w:rsidRPr="006200F6" w:rsidP="006200F6">
            <w:pPr>
              <w:pStyle w:val="ListBullet"/>
            </w:pPr>
            <w:r w:rsidRPr="006200F6">
              <w:t>provision of first aid</w:t>
            </w:r>
          </w:p>
          <w:p w:rsidR="00000000" w:rsidRPr="006200F6" w:rsidP="006200F6">
            <w:pPr>
              <w:pStyle w:val="ListBullet"/>
            </w:pPr>
            <w:r w:rsidRPr="006200F6">
              <w:t xml:space="preserve">request for support and assistance </w:t>
            </w:r>
          </w:p>
          <w:p w:rsidR="00000000" w:rsidRPr="006200F6" w:rsidP="006200F6">
            <w:pPr>
              <w:pStyle w:val="ListBullet"/>
            </w:pPr>
            <w:r w:rsidRPr="006200F6">
              <w:t>restraint of person</w:t>
            </w:r>
          </w:p>
          <w:p w:rsidR="00000000" w:rsidRPr="006200F6" w:rsidP="006200F6">
            <w:pPr>
              <w:pStyle w:val="ListBullet"/>
            </w:pPr>
            <w:r w:rsidRPr="006200F6">
              <w:t>tactical withdrawal</w:t>
            </w:r>
          </w:p>
          <w:p w:rsidR="00000000" w:rsidRPr="006200F6" w:rsidP="006200F6">
            <w:pPr>
              <w:pStyle w:val="ListBullet"/>
            </w:pPr>
            <w:r w:rsidRPr="006200F6">
              <w:t>use of batons, handcuf</w:t>
            </w:r>
            <w:r w:rsidRPr="006200F6">
              <w:t>fs or spray</w:t>
            </w:r>
          </w:p>
          <w:p w:rsidR="00000000" w:rsidRPr="006200F6" w:rsidP="006200F6">
            <w:pPr>
              <w:pStyle w:val="ListBullet"/>
            </w:pPr>
            <w:r w:rsidRPr="006200F6">
              <w:t>use of empty hand techniques</w:t>
            </w:r>
          </w:p>
          <w:p w:rsidR="00000000" w:rsidRPr="006200F6" w:rsidP="006200F6">
            <w:pPr>
              <w:pStyle w:val="ListBullet"/>
            </w:pPr>
            <w:r w:rsidRPr="006200F6">
              <w:t>use of negotiation techniques</w:t>
            </w:r>
          </w:p>
          <w:p w:rsidR="00000000" w:rsidP="006200F6">
            <w:pPr>
              <w:pStyle w:val="ListBullet"/>
              <w:rPr>
                <w:lang w:val="en-NZ"/>
              </w:rPr>
            </w:pPr>
            <w:r w:rsidRPr="006200F6">
              <w:t>use of restraints.</w:t>
            </w:r>
          </w:p>
        </w:tc>
      </w:tr>
      <w:tr w:rsidTr="00567F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BoldandItalics"/>
              </w:rPr>
              <w:t>Documentation</w:t>
            </w:r>
            <w:r w:rsidRPr="006200F6">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6200F6" w:rsidP="006200F6">
            <w:pPr>
              <w:pStyle w:val="ListBullet"/>
            </w:pPr>
            <w:r w:rsidRPr="006200F6">
              <w:t>activity logs</w:t>
            </w:r>
          </w:p>
          <w:p w:rsidR="00000000" w:rsidRPr="006200F6" w:rsidP="006200F6">
            <w:pPr>
              <w:pStyle w:val="ListBullet"/>
            </w:pPr>
            <w:r w:rsidRPr="006200F6">
              <w:t>incident reports</w:t>
            </w:r>
          </w:p>
          <w:p w:rsidR="00000000" w:rsidRPr="006200F6" w:rsidP="006200F6">
            <w:pPr>
              <w:pStyle w:val="ListBullet"/>
            </w:pPr>
            <w:r w:rsidRPr="006200F6">
              <w:t>request for assistance forms</w:t>
            </w:r>
          </w:p>
          <w:p w:rsidR="00000000" w:rsidRPr="006200F6" w:rsidP="006200F6">
            <w:pPr>
              <w:pStyle w:val="ListBullet"/>
            </w:pPr>
            <w:r w:rsidRPr="006200F6">
              <w:t>vehicle and personnel movements</w:t>
            </w:r>
          </w:p>
          <w:p w:rsidR="00000000" w:rsidRPr="006200F6" w:rsidP="006200F6">
            <w:pPr>
              <w:pStyle w:val="ListBullet"/>
            </w:pPr>
            <w:r w:rsidRPr="006200F6">
              <w:t>written and electronic reports.</w:t>
            </w:r>
          </w:p>
        </w:tc>
      </w:tr>
    </w:tbl>
    <w:p w:rsidR="00567F12" w:rsidP="006200F6">
      <w:pPr>
        <w:pStyle w:val="BodyText"/>
      </w:pPr>
    </w:p>
    <w:p w:rsidR="00567F12" w:rsidP="006200F6">
      <w:pPr>
        <w:pStyle w:val="BodyText"/>
      </w:pPr>
    </w:p>
    <w:p w:rsidR="00000000" w:rsidRPr="006200F6" w:rsidP="006200F6">
      <w:pPr>
        <w:pStyle w:val="Heading1"/>
      </w:pPr>
      <w:bookmarkStart w:id="12" w:name="O_201804"/>
      <w:bookmarkEnd w:id="12"/>
      <w:r w:rsidRPr="006200F6">
        <w:t>Unit Sector(s)</w:t>
      </w:r>
    </w:p>
    <w:tbl>
      <w:tblPr>
        <w:tblW w:w="0" w:type="auto"/>
        <w:tblLayout w:type="fixed"/>
        <w:tblCellMar>
          <w:left w:w="62" w:type="dxa"/>
          <w:right w:w="62" w:type="dxa"/>
        </w:tblCellMar>
        <w:tblLook w:val="0000"/>
      </w:tblPr>
      <w:tblGrid>
        <w:gridCol w:w="2391"/>
        <w:gridCol w:w="6131"/>
      </w:tblGrid>
      <w:tr w:rsidTr="00567F12">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6200F6" w:rsidP="006200F6">
            <w:pPr>
              <w:pStyle w:val="BodyText"/>
            </w:pPr>
            <w:r w:rsidRPr="006200F6">
              <w:t>Security</w:t>
            </w:r>
          </w:p>
        </w:tc>
      </w:tr>
    </w:tbl>
    <w:p w:rsidR="00567F12" w:rsidP="006200F6">
      <w:pPr>
        <w:pStyle w:val="BodyText"/>
      </w:pPr>
    </w:p>
    <w:p w:rsidR="00567F12" w:rsidP="006200F6">
      <w:pPr>
        <w:pStyle w:val="BodyText"/>
      </w:pPr>
    </w:p>
    <w:p w:rsidR="00000000" w:rsidRPr="006200F6" w:rsidP="006200F6">
      <w:pPr>
        <w:pStyle w:val="Heading1"/>
      </w:pPr>
      <w:bookmarkStart w:id="13" w:name="O_201803"/>
      <w:bookmarkEnd w:id="13"/>
      <w:r w:rsidRPr="006200F6">
        <w:t>Competency field</w:t>
      </w:r>
    </w:p>
    <w:tbl>
      <w:tblPr>
        <w:tblW w:w="0" w:type="auto"/>
        <w:tblLayout w:type="fixed"/>
        <w:tblCellMar>
          <w:left w:w="62" w:type="dxa"/>
          <w:right w:w="62" w:type="dxa"/>
        </w:tblCellMar>
        <w:tblLook w:val="0000"/>
      </w:tblPr>
      <w:tblGrid>
        <w:gridCol w:w="2450"/>
        <w:gridCol w:w="6072"/>
      </w:tblGrid>
      <w:tr w:rsidTr="00567F12">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6200F6">
            <w:pPr>
              <w:pStyle w:val="BodyText"/>
              <w:rPr>
                <w:lang w:val="en-NZ"/>
              </w:rPr>
            </w:pPr>
            <w:r w:rsidRPr="006200F6">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6200F6" w:rsidP="006200F6">
            <w:pPr>
              <w:pStyle w:val="BodyText"/>
            </w:pPr>
            <w:r w:rsidRPr="006200F6">
              <w:t>Operations</w:t>
            </w:r>
          </w:p>
        </w:tc>
      </w:tr>
    </w:tbl>
    <w:p w:rsidR="00567F12" w:rsidP="006200F6">
      <w:pPr>
        <w:pStyle w:val="BodyText"/>
      </w:pPr>
    </w:p>
    <w:p w:rsidR="00567F12" w:rsidP="006200F6">
      <w:pPr>
        <w:pStyle w:val="BodyText"/>
      </w:pPr>
    </w:p>
    <w:p w:rsidR="00000000" w:rsidRPr="006200F6" w:rsidP="006200F6"/>
    <w:sectPr w:rsidSect="006200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F12" w:rsidP="00567F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F12" w:rsidP="006200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67F12" w:rsidP="006200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67F12" w:rsidP="006200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F12" w:rsidP="00567F1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F12" w:rsidP="006200F6">
    <w:pPr>
      <w:pStyle w:val="Header"/>
      <w:framePr w:wrap="around"/>
    </w:pPr>
    <w:r>
      <w:fldChar w:fldCharType="begin"/>
    </w:r>
    <w:r>
      <w:instrText xml:space="preserve"> TITLE   \* MERGEFORMAT </w:instrText>
    </w:r>
    <w:r>
      <w:fldChar w:fldCharType="separate"/>
    </w:r>
    <w:r>
      <w:t>CPPSEC3003A Determine response to security risk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7F12" w:rsidP="006200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7A3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F6E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32D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0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00F6"/>
    <w:pPr>
      <w:spacing w:before="360" w:after="60"/>
      <w:outlineLvl w:val="0"/>
    </w:pPr>
    <w:rPr>
      <w:sz w:val="32"/>
    </w:rPr>
  </w:style>
  <w:style w:type="paragraph" w:styleId="Heading2">
    <w:name w:val="heading 2"/>
    <w:basedOn w:val="HeadingBase"/>
    <w:next w:val="BodyText"/>
    <w:link w:val="Heading2Char"/>
    <w:qFormat/>
    <w:rsid w:val="006200F6"/>
    <w:pPr>
      <w:keepLines/>
      <w:spacing w:before="240" w:after="120"/>
      <w:outlineLvl w:val="1"/>
    </w:pPr>
    <w:rPr>
      <w:sz w:val="28"/>
      <w:szCs w:val="40"/>
    </w:rPr>
  </w:style>
  <w:style w:type="paragraph" w:styleId="Heading3">
    <w:name w:val="heading 3"/>
    <w:basedOn w:val="HeadingBase"/>
    <w:next w:val="BodyText"/>
    <w:link w:val="Heading3Char"/>
    <w:qFormat/>
    <w:rsid w:val="006200F6"/>
    <w:pPr>
      <w:spacing w:before="180" w:after="120"/>
      <w:outlineLvl w:val="2"/>
    </w:pPr>
    <w:rPr>
      <w:spacing w:val="-10"/>
      <w:kern w:val="32"/>
    </w:rPr>
  </w:style>
  <w:style w:type="paragraph" w:styleId="Heading4">
    <w:name w:val="heading 4"/>
    <w:basedOn w:val="HeadingBase"/>
    <w:next w:val="BodyText"/>
    <w:link w:val="Heading4Char"/>
    <w:qFormat/>
    <w:rsid w:val="006200F6"/>
    <w:pPr>
      <w:spacing w:before="160" w:after="120"/>
      <w:outlineLvl w:val="3"/>
    </w:pPr>
    <w:rPr>
      <w:sz w:val="22"/>
    </w:rPr>
  </w:style>
  <w:style w:type="paragraph" w:styleId="Heading5">
    <w:name w:val="heading 5"/>
    <w:basedOn w:val="HeadingBase"/>
    <w:next w:val="Normal"/>
    <w:link w:val="Heading5Char"/>
    <w:qFormat/>
    <w:rsid w:val="006200F6"/>
    <w:pPr>
      <w:spacing w:before="80"/>
      <w:outlineLvl w:val="4"/>
    </w:pPr>
    <w:rPr>
      <w:color w:val="918585"/>
      <w:sz w:val="20"/>
    </w:rPr>
  </w:style>
  <w:style w:type="paragraph" w:styleId="Heading6">
    <w:name w:val="heading 6"/>
    <w:basedOn w:val="HeadingBase"/>
    <w:next w:val="Normal"/>
    <w:link w:val="Heading6Char"/>
    <w:qFormat/>
    <w:rsid w:val="006200F6"/>
    <w:pPr>
      <w:spacing w:before="60"/>
      <w:outlineLvl w:val="5"/>
    </w:pPr>
    <w:rPr>
      <w:color w:val="918585"/>
      <w:sz w:val="20"/>
    </w:rPr>
  </w:style>
  <w:style w:type="paragraph" w:styleId="Heading7">
    <w:name w:val="heading 7"/>
    <w:basedOn w:val="Normal"/>
    <w:next w:val="Normal"/>
    <w:link w:val="Heading7Char"/>
    <w:qFormat/>
    <w:rsid w:val="006200F6"/>
    <w:pPr>
      <w:ind w:left="720"/>
      <w:outlineLvl w:val="6"/>
    </w:pPr>
    <w:rPr>
      <w:i/>
    </w:rPr>
  </w:style>
  <w:style w:type="paragraph" w:styleId="Heading8">
    <w:name w:val="heading 8"/>
    <w:basedOn w:val="Normal"/>
    <w:next w:val="Normal"/>
    <w:link w:val="Heading8Char"/>
    <w:qFormat/>
    <w:rsid w:val="006200F6"/>
    <w:pPr>
      <w:ind w:left="720"/>
      <w:outlineLvl w:val="7"/>
    </w:pPr>
    <w:rPr>
      <w:i/>
    </w:rPr>
  </w:style>
  <w:style w:type="paragraph" w:styleId="Heading9">
    <w:name w:val="heading 9"/>
    <w:basedOn w:val="Normal"/>
    <w:next w:val="Normal"/>
    <w:link w:val="Heading9Char"/>
    <w:qFormat/>
    <w:rsid w:val="006200F6"/>
    <w:pPr>
      <w:ind w:left="720"/>
      <w:outlineLvl w:val="8"/>
    </w:pPr>
    <w:rPr>
      <w:i/>
    </w:rPr>
  </w:style>
  <w:style w:type="character" w:default="1" w:styleId="DefaultParagraphFont">
    <w:name w:val="Default Paragraph Font"/>
    <w:uiPriority w:val="1"/>
    <w:unhideWhenUsed/>
    <w:rsid w:val="00620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0F6"/>
  </w:style>
  <w:style w:type="character" w:customStyle="1" w:styleId="Heading1Char">
    <w:name w:val="Heading 1 Char"/>
    <w:link w:val="Heading1"/>
    <w:rsid w:val="006200F6"/>
    <w:rPr>
      <w:rFonts w:ascii="Times New Roman" w:eastAsia="Times New Roman" w:hAnsi="Times New Roman" w:cs="Times New Roman"/>
      <w:b/>
      <w:sz w:val="32"/>
      <w:szCs w:val="20"/>
      <w:lang w:eastAsia="en-US"/>
    </w:rPr>
  </w:style>
  <w:style w:type="paragraph" w:styleId="BodyText">
    <w:name w:val="Body Text"/>
    <w:basedOn w:val="Normal"/>
    <w:link w:val="BodyTextChar"/>
    <w:rsid w:val="006200F6"/>
    <w:pPr>
      <w:spacing w:before="120" w:after="120"/>
      <w:contextualSpacing/>
    </w:pPr>
    <w:rPr>
      <w:rFonts w:ascii="Times New Roman" w:hAnsi="Times New Roman"/>
      <w:sz w:val="24"/>
      <w:szCs w:val="22"/>
    </w:rPr>
  </w:style>
  <w:style w:type="character" w:customStyle="1" w:styleId="BodyTextChar">
    <w:name w:val="Body Text Char"/>
    <w:link w:val="BodyText"/>
    <w:rsid w:val="006200F6"/>
    <w:rPr>
      <w:rFonts w:ascii="Times New Roman" w:eastAsia="Times New Roman" w:hAnsi="Times New Roman" w:cs="Times New Roman"/>
      <w:sz w:val="24"/>
      <w:lang w:val="en-US" w:eastAsia="en-US"/>
    </w:rPr>
  </w:style>
  <w:style w:type="paragraph" w:styleId="Footer">
    <w:name w:val="footer"/>
    <w:basedOn w:val="Normal"/>
    <w:link w:val="FooterChar"/>
    <w:rsid w:val="00620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200F6"/>
    <w:rPr>
      <w:rFonts w:ascii="Times New Roman" w:eastAsia="Times New Roman" w:hAnsi="Times New Roman" w:cs="Times New Roman"/>
      <w:sz w:val="16"/>
      <w:lang w:val="en-US" w:eastAsia="en-US"/>
    </w:rPr>
  </w:style>
  <w:style w:type="paragraph" w:styleId="List">
    <w:name w:val="List"/>
    <w:basedOn w:val="BodyText"/>
    <w:next w:val="BodyText"/>
    <w:rsid w:val="006200F6"/>
    <w:pPr>
      <w:tabs>
        <w:tab w:val="left" w:pos="340"/>
      </w:tabs>
      <w:spacing w:before="60" w:after="60"/>
      <w:ind w:left="340" w:hanging="340"/>
    </w:pPr>
  </w:style>
  <w:style w:type="paragraph" w:styleId="ListBullet">
    <w:name w:val="List Bullet"/>
    <w:basedOn w:val="List"/>
    <w:rsid w:val="006200F6"/>
    <w:pPr>
      <w:numPr>
        <w:numId w:val="13"/>
      </w:numPr>
      <w:tabs>
        <w:tab w:val="clear" w:pos="340"/>
      </w:tabs>
      <w:spacing w:before="40" w:after="40"/>
    </w:pPr>
  </w:style>
  <w:style w:type="character" w:customStyle="1" w:styleId="SpecialBold">
    <w:name w:val="Special Bold"/>
    <w:rsid w:val="006200F6"/>
    <w:rPr>
      <w:b/>
      <w:spacing w:val="0"/>
    </w:rPr>
  </w:style>
  <w:style w:type="paragraph" w:styleId="ListBullet2">
    <w:name w:val="List Bullet 2"/>
    <w:basedOn w:val="List2"/>
    <w:rsid w:val="006200F6"/>
    <w:pPr>
      <w:numPr>
        <w:numId w:val="14"/>
      </w:numPr>
      <w:tabs>
        <w:tab w:val="clear" w:pos="680"/>
      </w:tabs>
    </w:pPr>
  </w:style>
  <w:style w:type="paragraph" w:styleId="Header">
    <w:name w:val="header"/>
    <w:basedOn w:val="Normal"/>
    <w:link w:val="HeaderChar"/>
    <w:rsid w:val="00620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200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00F6"/>
    <w:pPr>
      <w:spacing w:before="240" w:after="120"/>
      <w:outlineLvl w:val="0"/>
    </w:pPr>
    <w:rPr>
      <w:rFonts w:ascii="Times New Roman" w:hAnsi="Times New Roman"/>
      <w:b/>
      <w:sz w:val="28"/>
    </w:rPr>
  </w:style>
  <w:style w:type="paragraph" w:customStyle="1" w:styleId="AllowPageBreak">
    <w:name w:val="AllowPageBreak"/>
    <w:rsid w:val="006200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00F6"/>
    <w:rPr>
      <w:b/>
      <w:i/>
      <w:u w:val="none"/>
    </w:rPr>
  </w:style>
  <w:style w:type="character" w:customStyle="1" w:styleId="Heading2Char">
    <w:name w:val="Heading 2 Char"/>
    <w:link w:val="Heading2"/>
    <w:rsid w:val="006200F6"/>
    <w:rPr>
      <w:rFonts w:ascii="Times New Roman" w:eastAsia="Times New Roman" w:hAnsi="Times New Roman" w:cs="Times New Roman"/>
      <w:b/>
      <w:sz w:val="28"/>
      <w:szCs w:val="40"/>
      <w:lang w:eastAsia="en-US"/>
    </w:rPr>
  </w:style>
  <w:style w:type="character" w:customStyle="1" w:styleId="Heading3Char">
    <w:name w:val="Heading 3 Char"/>
    <w:link w:val="Heading3"/>
    <w:rsid w:val="006200F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200F6"/>
    <w:rPr>
      <w:rFonts w:ascii="Times New Roman" w:eastAsia="Times New Roman" w:hAnsi="Times New Roman" w:cs="Times New Roman"/>
      <w:b/>
      <w:szCs w:val="20"/>
      <w:lang w:eastAsia="en-US"/>
    </w:rPr>
  </w:style>
  <w:style w:type="character" w:customStyle="1" w:styleId="Heading5Char">
    <w:name w:val="Heading 5 Char"/>
    <w:link w:val="Heading5"/>
    <w:rsid w:val="006200F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20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0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00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00F6"/>
    <w:rPr>
      <w:rFonts w:ascii="Courier New" w:eastAsia="Times New Roman" w:hAnsi="Courier New" w:cs="Times New Roman"/>
      <w:i/>
      <w:szCs w:val="20"/>
      <w:lang w:val="en-US" w:eastAsia="en-US"/>
    </w:rPr>
  </w:style>
  <w:style w:type="paragraph" w:customStyle="1" w:styleId="HeadingBase">
    <w:name w:val="Heading Base"/>
    <w:rsid w:val="00620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0F6"/>
    <w:pPr>
      <w:tabs>
        <w:tab w:val="right" w:leader="dot" w:pos="9072"/>
      </w:tabs>
      <w:ind w:left="567"/>
    </w:pPr>
    <w:rPr>
      <w:szCs w:val="22"/>
    </w:rPr>
  </w:style>
  <w:style w:type="paragraph" w:customStyle="1" w:styleId="TOCBase">
    <w:name w:val="TOC Base"/>
    <w:rsid w:val="00620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0F6"/>
    <w:pPr>
      <w:tabs>
        <w:tab w:val="right" w:leader="dot" w:pos="9072"/>
      </w:tabs>
      <w:spacing w:before="40" w:after="40"/>
      <w:ind w:left="284"/>
    </w:pPr>
    <w:rPr>
      <w:rFonts w:ascii="Times New Roman" w:hAnsi="Times New Roman"/>
    </w:rPr>
  </w:style>
  <w:style w:type="paragraph" w:styleId="TOC1">
    <w:name w:val="toc 1"/>
    <w:basedOn w:val="TOCBase"/>
    <w:next w:val="Normal"/>
    <w:rsid w:val="006200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00F6"/>
    <w:pPr>
      <w:spacing w:before="5040"/>
      <w:jc w:val="center"/>
    </w:pPr>
    <w:rPr>
      <w:sz w:val="48"/>
      <w:szCs w:val="72"/>
      <w:lang w:val="en-US"/>
    </w:rPr>
  </w:style>
  <w:style w:type="character" w:customStyle="1" w:styleId="TitleChar">
    <w:name w:val="Title Char"/>
    <w:link w:val="Title"/>
    <w:rsid w:val="00620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0F6"/>
    <w:pPr>
      <w:tabs>
        <w:tab w:val="left" w:pos="3600"/>
        <w:tab w:val="left" w:pos="3958"/>
      </w:tabs>
    </w:pPr>
  </w:style>
  <w:style w:type="paragraph" w:customStyle="1" w:styleId="Note">
    <w:name w:val="Note"/>
    <w:basedOn w:val="BodyText"/>
    <w:rsid w:val="006200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0F6"/>
    <w:pPr>
      <w:framePr w:wrap="auto" w:hAnchor="text" w:y="6049"/>
    </w:pPr>
    <w:rPr>
      <w:color w:val="000000"/>
      <w:sz w:val="40"/>
    </w:rPr>
  </w:style>
  <w:style w:type="paragraph" w:customStyle="1" w:styleId="TOCTitle">
    <w:name w:val="TOCTitle"/>
    <w:basedOn w:val="Heading1"/>
    <w:rsid w:val="006200F6"/>
    <w:pPr>
      <w:spacing w:after="240"/>
      <w:jc w:val="center"/>
      <w:outlineLvl w:val="9"/>
    </w:pPr>
    <w:rPr>
      <w:caps/>
    </w:rPr>
  </w:style>
  <w:style w:type="paragraph" w:customStyle="1" w:styleId="Version">
    <w:name w:val="Version"/>
    <w:rsid w:val="006200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00F6"/>
    <w:pPr>
      <w:keepNext w:val="0"/>
      <w:tabs>
        <w:tab w:val="right" w:pos="4176"/>
      </w:tabs>
      <w:ind w:left="198" w:hanging="198"/>
    </w:pPr>
    <w:rPr>
      <w:rFonts w:ascii="Garamond" w:hAnsi="Garamond"/>
    </w:rPr>
  </w:style>
  <w:style w:type="paragraph" w:styleId="IndexHeading">
    <w:name w:val="index heading"/>
    <w:basedOn w:val="Normal"/>
    <w:next w:val="Index1"/>
    <w:semiHidden/>
    <w:rsid w:val="006200F6"/>
    <w:pPr>
      <w:spacing w:before="120" w:after="120"/>
    </w:pPr>
    <w:rPr>
      <w:rFonts w:ascii="Arial" w:hAnsi="Arial"/>
      <w:b/>
      <w:color w:val="918585"/>
      <w:sz w:val="24"/>
    </w:rPr>
  </w:style>
  <w:style w:type="paragraph" w:customStyle="1" w:styleId="Chapter">
    <w:name w:val="Chapter"/>
    <w:basedOn w:val="Normal"/>
    <w:rsid w:val="006200F6"/>
    <w:pPr>
      <w:spacing w:before="240"/>
    </w:pPr>
    <w:rPr>
      <w:rFonts w:ascii="Times New Roman" w:hAnsi="Times New Roman"/>
      <w:smallCaps/>
      <w:spacing w:val="80"/>
      <w:sz w:val="28"/>
    </w:rPr>
  </w:style>
  <w:style w:type="paragraph" w:customStyle="1" w:styleId="InChapter">
    <w:name w:val="InChapter"/>
    <w:basedOn w:val="Heading3"/>
    <w:rsid w:val="006200F6"/>
    <w:pPr>
      <w:spacing w:after="240"/>
      <w:outlineLvl w:val="9"/>
    </w:pPr>
    <w:rPr>
      <w:noProof/>
    </w:rPr>
  </w:style>
  <w:style w:type="paragraph" w:styleId="Index2">
    <w:name w:val="index 2"/>
    <w:basedOn w:val="Normal"/>
    <w:next w:val="Normal"/>
    <w:semiHidden/>
    <w:rsid w:val="006200F6"/>
    <w:pPr>
      <w:tabs>
        <w:tab w:val="right" w:pos="4176"/>
      </w:tabs>
      <w:ind w:left="568" w:hanging="284"/>
    </w:pPr>
    <w:rPr>
      <w:rFonts w:ascii="Garamond" w:hAnsi="Garamond"/>
    </w:rPr>
  </w:style>
  <w:style w:type="paragraph" w:customStyle="1" w:styleId="Byline">
    <w:name w:val="Byline"/>
    <w:rsid w:val="00620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0F6"/>
    <w:pPr>
      <w:tabs>
        <w:tab w:val="clear" w:pos="3600"/>
        <w:tab w:val="clear" w:pos="3958"/>
      </w:tabs>
      <w:jc w:val="right"/>
    </w:pPr>
  </w:style>
  <w:style w:type="character" w:styleId="Emphasis">
    <w:name w:val="Emphasis"/>
    <w:qFormat/>
    <w:rsid w:val="006200F6"/>
    <w:rPr>
      <w:i/>
    </w:rPr>
  </w:style>
  <w:style w:type="paragraph" w:styleId="Caption">
    <w:name w:val="caption"/>
    <w:basedOn w:val="BodyText"/>
    <w:next w:val="Normal"/>
    <w:qFormat/>
    <w:rsid w:val="006200F6"/>
    <w:pPr>
      <w:framePr w:w="2268" w:hSpace="181" w:vSpace="181" w:wrap="around" w:vAnchor="text" w:hAnchor="page" w:x="1135" w:y="285" w:anchorLock="1"/>
    </w:pPr>
    <w:rPr>
      <w:i/>
    </w:rPr>
  </w:style>
  <w:style w:type="paragraph" w:customStyle="1" w:styleId="MiniTOCTitle">
    <w:name w:val="MiniTOCTitle"/>
    <w:basedOn w:val="Heading4"/>
    <w:rsid w:val="006200F6"/>
    <w:pPr>
      <w:spacing w:before="240"/>
      <w:outlineLvl w:val="9"/>
    </w:pPr>
    <w:rPr>
      <w:noProof/>
      <w:sz w:val="24"/>
    </w:rPr>
  </w:style>
  <w:style w:type="paragraph" w:customStyle="1" w:styleId="MiniTOCItem">
    <w:name w:val="MiniTOCItem"/>
    <w:basedOn w:val="ListBullet"/>
    <w:rsid w:val="006200F6"/>
    <w:pPr>
      <w:numPr>
        <w:numId w:val="0"/>
      </w:numPr>
      <w:tabs>
        <w:tab w:val="right" w:leader="dot" w:pos="6521"/>
      </w:tabs>
      <w:spacing w:before="0" w:after="0"/>
    </w:pPr>
  </w:style>
  <w:style w:type="paragraph" w:customStyle="1" w:styleId="TOFTitle">
    <w:name w:val="TOFTitle"/>
    <w:basedOn w:val="TOCTitle"/>
    <w:rsid w:val="006200F6"/>
  </w:style>
  <w:style w:type="paragraph" w:styleId="TableofFigures">
    <w:name w:val="table of figures"/>
    <w:basedOn w:val="Normal"/>
    <w:next w:val="Normal"/>
    <w:semiHidden/>
    <w:rsid w:val="006200F6"/>
    <w:pPr>
      <w:tabs>
        <w:tab w:val="right" w:leader="dot" w:pos="9072"/>
      </w:tabs>
      <w:ind w:left="970" w:hanging="403"/>
    </w:pPr>
    <w:rPr>
      <w:rFonts w:ascii="Times New Roman" w:hAnsi="Times New Roman"/>
      <w:b/>
    </w:rPr>
  </w:style>
  <w:style w:type="paragraph" w:styleId="ListNumber">
    <w:name w:val="List Number"/>
    <w:basedOn w:val="List"/>
    <w:rsid w:val="006200F6"/>
    <w:pPr>
      <w:numPr>
        <w:numId w:val="11"/>
      </w:numPr>
    </w:pPr>
  </w:style>
  <w:style w:type="character" w:customStyle="1" w:styleId="WingdingSymbols">
    <w:name w:val="Wingding Symbols"/>
    <w:rsid w:val="006200F6"/>
    <w:rPr>
      <w:rFonts w:ascii="Wingdings" w:hAnsi="Wingdings"/>
    </w:rPr>
  </w:style>
  <w:style w:type="paragraph" w:customStyle="1" w:styleId="TableHeading">
    <w:name w:val="Table Heading"/>
    <w:basedOn w:val="HeadingBase"/>
    <w:rsid w:val="006200F6"/>
    <w:pPr>
      <w:keepLines/>
      <w:pBdr>
        <w:bottom w:val="single" w:sz="6" w:space="1" w:color="918585"/>
      </w:pBdr>
      <w:spacing w:before="240"/>
    </w:pPr>
  </w:style>
  <w:style w:type="character" w:customStyle="1" w:styleId="HotSpot">
    <w:name w:val="HotSpot"/>
    <w:rsid w:val="006200F6"/>
    <w:rPr>
      <w:color w:val="0033CC"/>
      <w:u w:val="none"/>
    </w:rPr>
  </w:style>
  <w:style w:type="paragraph" w:customStyle="1" w:styleId="BodyTextRight">
    <w:name w:val="Body Text Right"/>
    <w:basedOn w:val="BodyText"/>
    <w:rsid w:val="006200F6"/>
    <w:pPr>
      <w:spacing w:before="0" w:after="0"/>
      <w:jc w:val="right"/>
    </w:pPr>
  </w:style>
  <w:style w:type="paragraph" w:styleId="Index3">
    <w:name w:val="index 3"/>
    <w:basedOn w:val="ListNumber2"/>
    <w:next w:val="Normal"/>
    <w:semiHidden/>
    <w:rsid w:val="006200F6"/>
    <w:pPr>
      <w:numPr>
        <w:numId w:val="0"/>
      </w:numPr>
      <w:tabs>
        <w:tab w:val="right" w:leader="dot" w:pos="4176"/>
      </w:tabs>
    </w:pPr>
  </w:style>
  <w:style w:type="paragraph" w:styleId="ListNumber2">
    <w:name w:val="List Number 2"/>
    <w:basedOn w:val="List2"/>
    <w:rsid w:val="006200F6"/>
    <w:pPr>
      <w:numPr>
        <w:numId w:val="10"/>
      </w:numPr>
      <w:tabs>
        <w:tab w:val="clear" w:pos="1060"/>
      </w:tabs>
    </w:pPr>
  </w:style>
  <w:style w:type="paragraph" w:customStyle="1" w:styleId="MarginNote">
    <w:name w:val="Margin Note"/>
    <w:basedOn w:val="BodyText"/>
    <w:rsid w:val="00620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200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00F6"/>
    <w:rPr>
      <w:sz w:val="32"/>
    </w:rPr>
  </w:style>
  <w:style w:type="paragraph" w:customStyle="1" w:styleId="HeadingProcedure">
    <w:name w:val="Heading Procedure"/>
    <w:basedOn w:val="HeadingBase"/>
    <w:next w:val="Normal"/>
    <w:rsid w:val="006200F6"/>
    <w:pPr>
      <w:tabs>
        <w:tab w:val="left" w:pos="0"/>
      </w:tabs>
      <w:spacing w:before="120" w:after="60"/>
    </w:pPr>
    <w:rPr>
      <w:i/>
      <w:color w:val="918585"/>
      <w:sz w:val="22"/>
    </w:rPr>
  </w:style>
  <w:style w:type="paragraph" w:customStyle="1" w:styleId="TableBodyText">
    <w:name w:val="Table Body Text"/>
    <w:basedOn w:val="BodyText"/>
    <w:rsid w:val="006200F6"/>
    <w:pPr>
      <w:spacing w:before="60" w:after="60"/>
    </w:pPr>
  </w:style>
  <w:style w:type="paragraph" w:styleId="ListContinue">
    <w:name w:val="List Continue"/>
    <w:basedOn w:val="List"/>
    <w:rsid w:val="006200F6"/>
    <w:pPr>
      <w:ind w:firstLine="0"/>
    </w:pPr>
  </w:style>
  <w:style w:type="paragraph" w:customStyle="1" w:styleId="ListNote">
    <w:name w:val="List Note"/>
    <w:basedOn w:val="List"/>
    <w:rsid w:val="006200F6"/>
    <w:pPr>
      <w:pBdr>
        <w:top w:val="single" w:sz="6" w:space="2" w:color="918585"/>
        <w:bottom w:val="single" w:sz="6" w:space="2" w:color="918585"/>
      </w:pBdr>
      <w:tabs>
        <w:tab w:val="left" w:pos="1021"/>
      </w:tabs>
      <w:ind w:firstLine="0"/>
    </w:pPr>
  </w:style>
  <w:style w:type="paragraph" w:customStyle="1" w:styleId="Warning">
    <w:name w:val="Warning"/>
    <w:basedOn w:val="BodyText"/>
    <w:rsid w:val="006200F6"/>
    <w:pPr>
      <w:shd w:val="clear" w:color="auto" w:fill="D9D9D9"/>
      <w:tabs>
        <w:tab w:val="left" w:pos="992"/>
      </w:tabs>
      <w:ind w:left="119" w:right="119"/>
    </w:pPr>
    <w:rPr>
      <w:sz w:val="20"/>
    </w:rPr>
  </w:style>
  <w:style w:type="paragraph" w:customStyle="1" w:styleId="MarginIcons">
    <w:name w:val="Margin Icons"/>
    <w:basedOn w:val="BodyText"/>
    <w:rsid w:val="006200F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200F6"/>
    <w:rPr>
      <w:rFonts w:ascii="Courier New" w:hAnsi="Courier New"/>
    </w:rPr>
  </w:style>
  <w:style w:type="paragraph" w:customStyle="1" w:styleId="NoteBullet">
    <w:name w:val="Note Bullet"/>
    <w:basedOn w:val="Note"/>
    <w:rsid w:val="006200F6"/>
    <w:pPr>
      <w:tabs>
        <w:tab w:val="clear" w:pos="680"/>
      </w:tabs>
      <w:spacing w:before="60" w:after="60"/>
    </w:pPr>
  </w:style>
  <w:style w:type="paragraph" w:customStyle="1" w:styleId="SubHeading2">
    <w:name w:val="SubHeading2"/>
    <w:basedOn w:val="HeadingBase"/>
    <w:rsid w:val="006200F6"/>
    <w:pPr>
      <w:spacing w:before="240" w:after="60"/>
    </w:pPr>
    <w:rPr>
      <w:sz w:val="20"/>
    </w:rPr>
  </w:style>
  <w:style w:type="paragraph" w:customStyle="1" w:styleId="SubHeading1">
    <w:name w:val="SubHeading1"/>
    <w:basedOn w:val="HeadingBase"/>
    <w:rsid w:val="006200F6"/>
    <w:pPr>
      <w:spacing w:before="240" w:after="60"/>
    </w:pPr>
    <w:rPr>
      <w:color w:val="918585"/>
      <w:sz w:val="22"/>
    </w:rPr>
  </w:style>
  <w:style w:type="paragraph" w:customStyle="1" w:styleId="SideHeading">
    <w:name w:val="Side Heading"/>
    <w:basedOn w:val="HeadingBase"/>
    <w:rsid w:val="00620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0F6"/>
    <w:pPr>
      <w:numPr>
        <w:numId w:val="12"/>
      </w:numPr>
    </w:pPr>
  </w:style>
  <w:style w:type="paragraph" w:styleId="PlainText">
    <w:name w:val="Plain Text"/>
    <w:basedOn w:val="Normal"/>
    <w:link w:val="PlainTextChar"/>
    <w:rsid w:val="006200F6"/>
    <w:rPr>
      <w:sz w:val="20"/>
    </w:rPr>
  </w:style>
  <w:style w:type="character" w:customStyle="1" w:styleId="PlainTextChar">
    <w:name w:val="Plain Text Char"/>
    <w:basedOn w:val="DefaultParagraphFont"/>
    <w:link w:val="PlainText"/>
    <w:rsid w:val="006200F6"/>
    <w:rPr>
      <w:rFonts w:ascii="Courier New" w:eastAsia="Times New Roman" w:hAnsi="Courier New" w:cs="Times New Roman"/>
      <w:sz w:val="20"/>
      <w:szCs w:val="20"/>
      <w:lang w:val="en-US" w:eastAsia="en-US"/>
    </w:rPr>
  </w:style>
  <w:style w:type="character" w:customStyle="1" w:styleId="MenuOption">
    <w:name w:val="Menu Option"/>
    <w:rsid w:val="006200F6"/>
    <w:rPr>
      <w:b/>
      <w:smallCaps/>
    </w:rPr>
  </w:style>
  <w:style w:type="paragraph" w:customStyle="1" w:styleId="TableListNumber">
    <w:name w:val="Table List Number"/>
    <w:basedOn w:val="ListNumber"/>
    <w:rsid w:val="006200F6"/>
    <w:pPr>
      <w:numPr>
        <w:numId w:val="0"/>
      </w:numPr>
    </w:pPr>
  </w:style>
  <w:style w:type="paragraph" w:styleId="TOC4">
    <w:name w:val="toc 4"/>
    <w:basedOn w:val="TOCBase"/>
    <w:next w:val="Normal"/>
    <w:semiHidden/>
    <w:rsid w:val="006200F6"/>
    <w:pPr>
      <w:tabs>
        <w:tab w:val="right" w:leader="dot" w:pos="9071"/>
      </w:tabs>
      <w:ind w:left="1701"/>
    </w:pPr>
  </w:style>
  <w:style w:type="paragraph" w:customStyle="1" w:styleId="ListAlpha">
    <w:name w:val="List Alpha"/>
    <w:basedOn w:val="List"/>
    <w:rsid w:val="006200F6"/>
    <w:pPr>
      <w:numPr>
        <w:numId w:val="9"/>
      </w:numPr>
    </w:pPr>
  </w:style>
  <w:style w:type="paragraph" w:customStyle="1" w:styleId="ListAlpha2">
    <w:name w:val="List Alpha 2"/>
    <w:basedOn w:val="List2"/>
    <w:rsid w:val="006200F6"/>
    <w:pPr>
      <w:numPr>
        <w:numId w:val="8"/>
      </w:numPr>
    </w:pPr>
  </w:style>
  <w:style w:type="paragraph" w:styleId="List2">
    <w:name w:val="List 2"/>
    <w:basedOn w:val="BodyText"/>
    <w:rsid w:val="006200F6"/>
    <w:pPr>
      <w:tabs>
        <w:tab w:val="left" w:pos="680"/>
      </w:tabs>
      <w:spacing w:before="60" w:after="60"/>
      <w:ind w:left="680" w:hanging="340"/>
    </w:pPr>
  </w:style>
  <w:style w:type="paragraph" w:styleId="List3">
    <w:name w:val="List 3"/>
    <w:basedOn w:val="BodyText"/>
    <w:rsid w:val="006200F6"/>
    <w:pPr>
      <w:tabs>
        <w:tab w:val="left" w:pos="1021"/>
      </w:tabs>
      <w:spacing w:before="60" w:after="60"/>
      <w:ind w:left="1020" w:hanging="340"/>
    </w:pPr>
  </w:style>
  <w:style w:type="paragraph" w:styleId="List4">
    <w:name w:val="List 4"/>
    <w:basedOn w:val="BodyText"/>
    <w:rsid w:val="006200F6"/>
    <w:pPr>
      <w:tabs>
        <w:tab w:val="left" w:pos="1361"/>
      </w:tabs>
      <w:spacing w:before="60" w:after="60"/>
      <w:ind w:left="1361" w:hanging="340"/>
    </w:pPr>
  </w:style>
  <w:style w:type="paragraph" w:styleId="List5">
    <w:name w:val="List 5"/>
    <w:basedOn w:val="BodyText"/>
    <w:rsid w:val="006200F6"/>
    <w:pPr>
      <w:tabs>
        <w:tab w:val="left" w:pos="1701"/>
      </w:tabs>
      <w:spacing w:before="60" w:after="60"/>
      <w:ind w:left="1701" w:hanging="340"/>
    </w:pPr>
  </w:style>
  <w:style w:type="paragraph" w:styleId="ListBullet3">
    <w:name w:val="List Bullet 3"/>
    <w:basedOn w:val="List3"/>
    <w:rsid w:val="006200F6"/>
    <w:pPr>
      <w:numPr>
        <w:numId w:val="15"/>
      </w:numPr>
      <w:tabs>
        <w:tab w:val="clear" w:pos="1021"/>
      </w:tabs>
      <w:ind w:left="1037" w:hanging="357"/>
    </w:pPr>
  </w:style>
  <w:style w:type="paragraph" w:styleId="ListBullet4">
    <w:name w:val="List Bullet 4"/>
    <w:basedOn w:val="List4"/>
    <w:rsid w:val="006200F6"/>
    <w:pPr>
      <w:numPr>
        <w:numId w:val="3"/>
      </w:numPr>
    </w:pPr>
  </w:style>
  <w:style w:type="paragraph" w:styleId="ListBullet5">
    <w:name w:val="List Bullet 5"/>
    <w:basedOn w:val="List5"/>
    <w:rsid w:val="006200F6"/>
    <w:pPr>
      <w:numPr>
        <w:numId w:val="4"/>
      </w:numPr>
    </w:pPr>
  </w:style>
  <w:style w:type="paragraph" w:styleId="ListContinue2">
    <w:name w:val="List Continue 2"/>
    <w:basedOn w:val="List2"/>
    <w:rsid w:val="006200F6"/>
    <w:pPr>
      <w:ind w:firstLine="0"/>
    </w:pPr>
  </w:style>
  <w:style w:type="paragraph" w:styleId="ListContinue3">
    <w:name w:val="List Continue 3"/>
    <w:basedOn w:val="List3"/>
    <w:rsid w:val="006200F6"/>
    <w:pPr>
      <w:ind w:left="1021" w:firstLine="0"/>
    </w:pPr>
  </w:style>
  <w:style w:type="paragraph" w:styleId="ListContinue4">
    <w:name w:val="List Continue 4"/>
    <w:basedOn w:val="List4"/>
    <w:rsid w:val="006200F6"/>
    <w:pPr>
      <w:ind w:firstLine="0"/>
    </w:pPr>
  </w:style>
  <w:style w:type="paragraph" w:styleId="ListContinue5">
    <w:name w:val="List Continue 5"/>
    <w:basedOn w:val="List5"/>
    <w:rsid w:val="006200F6"/>
    <w:pPr>
      <w:ind w:firstLine="0"/>
    </w:pPr>
  </w:style>
  <w:style w:type="paragraph" w:styleId="ListNumber3">
    <w:name w:val="List Number 3"/>
    <w:basedOn w:val="List3"/>
    <w:rsid w:val="006200F6"/>
    <w:pPr>
      <w:numPr>
        <w:numId w:val="5"/>
      </w:numPr>
    </w:pPr>
  </w:style>
  <w:style w:type="paragraph" w:styleId="ListNumber4">
    <w:name w:val="List Number 4"/>
    <w:basedOn w:val="List4"/>
    <w:rsid w:val="006200F6"/>
    <w:pPr>
      <w:numPr>
        <w:numId w:val="6"/>
      </w:numPr>
    </w:pPr>
  </w:style>
  <w:style w:type="paragraph" w:styleId="ListNumber5">
    <w:name w:val="List Number 5"/>
    <w:basedOn w:val="List5"/>
    <w:rsid w:val="006200F6"/>
    <w:pPr>
      <w:numPr>
        <w:numId w:val="7"/>
      </w:numPr>
    </w:pPr>
  </w:style>
  <w:style w:type="paragraph" w:styleId="BlockText">
    <w:name w:val="Block Text"/>
    <w:basedOn w:val="Normal"/>
    <w:rsid w:val="006200F6"/>
    <w:pPr>
      <w:spacing w:after="120"/>
      <w:ind w:left="1440" w:right="1440"/>
    </w:pPr>
  </w:style>
  <w:style w:type="character" w:customStyle="1" w:styleId="Subscript">
    <w:name w:val="Subscript"/>
    <w:rsid w:val="006200F6"/>
    <w:rPr>
      <w:sz w:val="16"/>
      <w:vertAlign w:val="subscript"/>
    </w:rPr>
  </w:style>
  <w:style w:type="character" w:customStyle="1" w:styleId="Superscript">
    <w:name w:val="Superscript"/>
    <w:rsid w:val="006200F6"/>
    <w:rPr>
      <w:sz w:val="16"/>
      <w:vertAlign w:val="superscript"/>
    </w:rPr>
  </w:style>
  <w:style w:type="character" w:customStyle="1" w:styleId="Symbols">
    <w:name w:val="Symbols"/>
    <w:rsid w:val="006200F6"/>
    <w:rPr>
      <w:rFonts w:ascii="Symbol" w:hAnsi="Symbol"/>
    </w:rPr>
  </w:style>
  <w:style w:type="character" w:customStyle="1" w:styleId="MenuOptions">
    <w:name w:val="Menu Options"/>
    <w:rsid w:val="006200F6"/>
    <w:rPr>
      <w:rFonts w:ascii="Arial Narrow" w:hAnsi="Arial Narrow"/>
      <w:smallCaps/>
    </w:rPr>
  </w:style>
  <w:style w:type="character" w:customStyle="1" w:styleId="Buttons">
    <w:name w:val="Buttons"/>
    <w:rsid w:val="006200F6"/>
    <w:rPr>
      <w:b/>
    </w:rPr>
  </w:style>
  <w:style w:type="character" w:customStyle="1" w:styleId="Underlined">
    <w:name w:val="Underlined"/>
    <w:rsid w:val="006200F6"/>
    <w:rPr>
      <w:u w:val="single"/>
    </w:rPr>
  </w:style>
  <w:style w:type="paragraph" w:customStyle="1" w:styleId="TableBodyTextRight">
    <w:name w:val="Table Body Text Right"/>
    <w:basedOn w:val="TableBodyText"/>
    <w:rsid w:val="006200F6"/>
    <w:pPr>
      <w:widowControl w:val="0"/>
      <w:autoSpaceDE w:val="0"/>
      <w:autoSpaceDN w:val="0"/>
      <w:adjustRightInd w:val="0"/>
      <w:jc w:val="right"/>
    </w:pPr>
    <w:rPr>
      <w:rFonts w:cs="Arial"/>
      <w:szCs w:val="18"/>
    </w:rPr>
  </w:style>
  <w:style w:type="paragraph" w:customStyle="1" w:styleId="CopyrightText">
    <w:name w:val="Copyright Text"/>
    <w:basedOn w:val="BodyText"/>
    <w:rsid w:val="006200F6"/>
    <w:rPr>
      <w:sz w:val="18"/>
    </w:rPr>
  </w:style>
  <w:style w:type="paragraph" w:customStyle="1" w:styleId="BodySmallRight">
    <w:name w:val="Body Small Right"/>
    <w:basedOn w:val="BodyTextRight"/>
    <w:rsid w:val="006200F6"/>
    <w:rPr>
      <w:sz w:val="18"/>
      <w:szCs w:val="18"/>
    </w:rPr>
  </w:style>
  <w:style w:type="paragraph" w:customStyle="1" w:styleId="MarginEdition">
    <w:name w:val="Margin Edition"/>
    <w:basedOn w:val="MarginNote"/>
    <w:rsid w:val="006200F6"/>
    <w:pPr>
      <w:spacing w:before="0" w:after="0"/>
    </w:pPr>
    <w:rPr>
      <w:rFonts w:ascii="Times New Roman" w:hAnsi="Times New Roman"/>
      <w:color w:val="999999"/>
    </w:rPr>
  </w:style>
  <w:style w:type="paragraph" w:customStyle="1" w:styleId="Spacer">
    <w:name w:val="Spacer"/>
    <w:basedOn w:val="Normal"/>
    <w:rsid w:val="006200F6"/>
    <w:rPr>
      <w:sz w:val="2"/>
      <w:szCs w:val="2"/>
    </w:rPr>
  </w:style>
  <w:style w:type="character" w:customStyle="1" w:styleId="Small">
    <w:name w:val="Small"/>
    <w:rsid w:val="006200F6"/>
    <w:rPr>
      <w:sz w:val="16"/>
    </w:rPr>
  </w:style>
  <w:style w:type="paragraph" w:customStyle="1" w:styleId="WideTable">
    <w:name w:val="Wide Table"/>
    <w:basedOn w:val="Normal"/>
    <w:rsid w:val="006200F6"/>
    <w:pPr>
      <w:ind w:left="-1418"/>
    </w:pPr>
    <w:rPr>
      <w:sz w:val="2"/>
      <w:szCs w:val="2"/>
    </w:rPr>
  </w:style>
  <w:style w:type="character" w:styleId="PageNumber">
    <w:name w:val="page number"/>
    <w:rsid w:val="006200F6"/>
  </w:style>
  <w:style w:type="paragraph" w:styleId="Quote">
    <w:name w:val="Quote"/>
    <w:basedOn w:val="Heading1"/>
    <w:link w:val="QuoteChar"/>
    <w:qFormat/>
    <w:rsid w:val="006200F6"/>
    <w:rPr>
      <w:b w:val="0"/>
      <w:sz w:val="72"/>
      <w:szCs w:val="72"/>
      <w:lang w:val="en-NZ"/>
    </w:rPr>
  </w:style>
  <w:style w:type="character" w:customStyle="1" w:styleId="QuoteChar">
    <w:name w:val="Quote Char"/>
    <w:link w:val="Quote"/>
    <w:rsid w:val="00620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0F6"/>
    <w:pPr>
      <w:pageBreakBefore/>
    </w:pPr>
  </w:style>
  <w:style w:type="paragraph" w:customStyle="1" w:styleId="Border">
    <w:name w:val="Border"/>
    <w:basedOn w:val="Normal"/>
    <w:qFormat/>
    <w:rsid w:val="006200F6"/>
    <w:pPr>
      <w:pBdr>
        <w:top w:val="single" w:sz="18" w:space="1" w:color="auto"/>
      </w:pBdr>
    </w:pPr>
    <w:rPr>
      <w:rFonts w:ascii="Times New Roman" w:hAnsi="Times New Roman"/>
      <w:color w:val="FFFFFF"/>
      <w:sz w:val="2"/>
    </w:rPr>
  </w:style>
  <w:style w:type="character" w:styleId="IntenseEmphasis">
    <w:name w:val="Intense Emphasis"/>
    <w:uiPriority w:val="21"/>
    <w:qFormat/>
    <w:rsid w:val="006200F6"/>
    <w:rPr>
      <w:b/>
      <w:bCs/>
      <w:i/>
      <w:iCs/>
      <w:color w:val="auto"/>
    </w:rPr>
  </w:style>
  <w:style w:type="paragraph" w:styleId="IntenseQuote">
    <w:name w:val="Intense Quote"/>
    <w:basedOn w:val="Normal"/>
    <w:next w:val="Normal"/>
    <w:link w:val="IntenseQuoteChar"/>
    <w:uiPriority w:val="30"/>
    <w:qFormat/>
    <w:rsid w:val="006200F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200F6"/>
    <w:rPr>
      <w:rFonts w:ascii="Courier New" w:eastAsia="Times New Roman" w:hAnsi="Courier New" w:cs="Times New Roman"/>
      <w:b/>
      <w:bCs/>
      <w:i/>
      <w:iCs/>
      <w:szCs w:val="20"/>
      <w:lang w:val="en-US" w:eastAsia="en-US"/>
    </w:rPr>
  </w:style>
  <w:style w:type="character" w:styleId="SubtleReference">
    <w:name w:val="Subtle Reference"/>
    <w:uiPriority w:val="31"/>
    <w:qFormat/>
    <w:rsid w:val="006200F6"/>
    <w:rPr>
      <w:smallCaps/>
      <w:color w:val="auto"/>
      <w:u w:val="single"/>
    </w:rPr>
  </w:style>
  <w:style w:type="character" w:styleId="IntenseReference">
    <w:name w:val="Intense Reference"/>
    <w:uiPriority w:val="32"/>
    <w:qFormat/>
    <w:rsid w:val="006200F6"/>
    <w:rPr>
      <w:b/>
      <w:bCs/>
      <w:smallCaps/>
      <w:color w:val="auto"/>
      <w:spacing w:val="5"/>
      <w:u w:val="single"/>
    </w:rPr>
  </w:style>
  <w:style w:type="paragraph" w:customStyle="1" w:styleId="2ColumnHeading">
    <w:name w:val="2Column Heading"/>
    <w:basedOn w:val="BodyText"/>
    <w:qFormat/>
    <w:rsid w:val="006200F6"/>
    <w:pPr>
      <w:spacing w:after="60"/>
      <w:ind w:left="-2268"/>
    </w:pPr>
    <w:rPr>
      <w:b/>
    </w:rPr>
  </w:style>
  <w:style w:type="paragraph" w:customStyle="1" w:styleId="Heading1TOC">
    <w:name w:val="Heading1 TOC"/>
    <w:basedOn w:val="Normal"/>
    <w:qFormat/>
    <w:rsid w:val="006200F6"/>
    <w:pPr>
      <w:spacing w:before="240" w:after="120"/>
    </w:pPr>
    <w:rPr>
      <w:rFonts w:ascii="Times New Roman" w:hAnsi="Times New Roman"/>
      <w:b/>
      <w:sz w:val="32"/>
    </w:rPr>
  </w:style>
  <w:style w:type="paragraph" w:customStyle="1" w:styleId="Heading2TOC">
    <w:name w:val="Heading2 TOC"/>
    <w:basedOn w:val="Normal"/>
    <w:qFormat/>
    <w:rsid w:val="006200F6"/>
    <w:pPr>
      <w:spacing w:before="240" w:after="60"/>
    </w:pPr>
    <w:rPr>
      <w:rFonts w:ascii="Times New Roman" w:hAnsi="Times New Roman"/>
      <w:b/>
      <w:sz w:val="28"/>
    </w:rPr>
  </w:style>
  <w:style w:type="character" w:customStyle="1" w:styleId="Underline">
    <w:name w:val="Underline"/>
    <w:qFormat/>
    <w:rsid w:val="006200F6"/>
    <w:rPr>
      <w:u w:val="single"/>
    </w:rPr>
  </w:style>
  <w:style w:type="paragraph" w:styleId="BalloonText">
    <w:name w:val="Balloon Text"/>
    <w:basedOn w:val="Normal"/>
    <w:link w:val="BalloonTextChar"/>
    <w:rsid w:val="006200F6"/>
    <w:rPr>
      <w:rFonts w:ascii="Tahoma" w:hAnsi="Tahoma" w:cs="Tahoma"/>
      <w:sz w:val="16"/>
      <w:szCs w:val="16"/>
    </w:rPr>
  </w:style>
  <w:style w:type="character" w:customStyle="1" w:styleId="BalloonTextChar">
    <w:name w:val="Balloon Text Char"/>
    <w:link w:val="BalloonText"/>
    <w:rsid w:val="006200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00F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200F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F2960F8.dotm</Template>
  <TotalTime>0</TotalTime>
  <Pages>8</Pages>
  <Words>1690</Words>
  <Characters>11173</Characters>
  <Application>Microsoft Office Word</Application>
  <DocSecurity>0</DocSecurity>
  <Lines>374</Lines>
  <Paragraphs>241</Paragraphs>
  <ScaleCrop>false</ScaleCrop>
  <Company>Author-it Software Corporation Ltd.</Company>
  <LinksUpToDate>false</LinksUpToDate>
  <CharactersWithSpaces>12808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CPPSEC3003A Determine response to security risk situation</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2012-05-26T06:20:00Z</dcterms:created>
  <dcterms:modified xsi:type="dcterms:W3CDTF">2012-05-26T06:20:00Z</dcterms:modified>
</cp:coreProperties>
</file>