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1BD" w:rsidP="00B741BD">
      <w:pPr>
        <w:pStyle w:val="Title"/>
      </w:pPr>
      <w:r>
        <w:fldChar w:fldCharType="begin"/>
      </w:r>
      <w:r>
        <w:instrText xml:space="preserve"> TITLE   \* MERGEFORMAT </w:instrText>
      </w:r>
      <w:r>
        <w:fldChar w:fldCharType="separate"/>
      </w:r>
      <w:r>
        <w:t>CPPSEC2024A Implement electronic monitoring procedures</w:t>
      </w:r>
      <w:r>
        <w:fldChar w:fldCharType="end"/>
      </w:r>
    </w:p>
    <w:p w:rsidR="00B741BD" w:rsidP="00B741BD">
      <w:pPr>
        <w:pStyle w:val="Version"/>
        <w:sectPr w:rsidSect="005A4F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4F3B" w:rsidP="005A4F3B">
      <w:pPr>
        <w:pStyle w:val="SuperHeading"/>
      </w:pPr>
      <w:r w:rsidRPr="005A4F3B">
        <w:t>CPPSEC2024A Implement electronic monitoring procedures</w:t>
      </w:r>
    </w:p>
    <w:p w:rsidR="00000000" w:rsidRPr="005A4F3B" w:rsidP="005A4F3B">
      <w:pPr>
        <w:pStyle w:val="Heading1"/>
      </w:pPr>
      <w:bookmarkStart w:id="1" w:name="O_270196"/>
      <w:bookmarkEnd w:id="1"/>
      <w:r w:rsidRPr="005A4F3B">
        <w:t>Modification History</w:t>
      </w:r>
    </w:p>
    <w:p w:rsidR="00000000" w:rsidRPr="005A4F3B" w:rsidP="005A4F3B">
      <w:pPr>
        <w:pStyle w:val="BodyText"/>
      </w:pPr>
      <w:r w:rsidRPr="005A4F3B">
        <w:t>Not Applicable</w:t>
      </w:r>
    </w:p>
    <w:p w:rsidR="00000000" w:rsidRPr="005A4F3B" w:rsidP="005A4F3B">
      <w:pPr>
        <w:pStyle w:val="AllowPageBreak"/>
      </w:pPr>
    </w:p>
    <w:p w:rsidR="00000000" w:rsidRPr="005A4F3B" w:rsidP="005A4F3B">
      <w:pPr>
        <w:pStyle w:val="Heading1"/>
      </w:pPr>
      <w:bookmarkStart w:id="2" w:name="O_201775"/>
      <w:bookmarkEnd w:id="2"/>
      <w:r w:rsidRPr="005A4F3B">
        <w:t>Unit Descriptor</w:t>
      </w:r>
    </w:p>
    <w:tbl>
      <w:tblPr>
        <w:tblW w:w="0" w:type="auto"/>
        <w:tblLayout w:type="fixed"/>
        <w:tblCellMar>
          <w:left w:w="62" w:type="dxa"/>
          <w:right w:w="62" w:type="dxa"/>
        </w:tblCellMar>
        <w:tblLook w:val="0000"/>
      </w:tblPr>
      <w:tblGrid>
        <w:gridCol w:w="2391"/>
        <w:gridCol w:w="6131"/>
      </w:tblGrid>
      <w:tr w:rsidTr="00B741BD">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5A4F3B" w:rsidP="005A4F3B">
            <w:pPr>
              <w:pStyle w:val="BodyText"/>
            </w:pPr>
            <w:r w:rsidRPr="005A4F3B">
              <w:t>This unit of competency specifies the outcomes required to monitor and respond to information re</w:t>
            </w:r>
            <w:r w:rsidRPr="005A4F3B">
              <w:t>ceived from security equipment and systems.  It requires the ability to accurately interpret information and implement appropriate responses to a range of security situations.  Work is usually conducted from a secure electronic reporting facility, monitori</w:t>
            </w:r>
            <w:r w:rsidRPr="005A4F3B">
              <w:t>ng centre or control room.</w:t>
            </w:r>
          </w:p>
          <w:p w:rsidR="00000000" w:rsidRPr="005A4F3B" w:rsidP="005A4F3B">
            <w:pPr>
              <w:pStyle w:val="BodyText"/>
            </w:pPr>
            <w:r w:rsidRPr="005A4F3B">
              <w:t>This unit may form part of the licensing requirements for persons engaged in monitoring information received from electronic security systems in those states and territories where these are regulated activities.</w:t>
            </w:r>
          </w:p>
        </w:tc>
      </w:tr>
    </w:tbl>
    <w:p w:rsidR="00B741BD" w:rsidP="005A4F3B">
      <w:pPr>
        <w:pStyle w:val="BodyText"/>
      </w:pPr>
    </w:p>
    <w:p w:rsidR="00B741BD" w:rsidP="005A4F3B">
      <w:pPr>
        <w:pStyle w:val="BodyText"/>
      </w:pPr>
    </w:p>
    <w:p w:rsidR="00000000" w:rsidRPr="005A4F3B" w:rsidP="005A4F3B">
      <w:pPr>
        <w:pStyle w:val="Heading1"/>
      </w:pPr>
      <w:bookmarkStart w:id="3" w:name="O_201777"/>
      <w:bookmarkEnd w:id="3"/>
      <w:r w:rsidRPr="005A4F3B">
        <w:t>Application of the Unit</w:t>
      </w:r>
    </w:p>
    <w:tbl>
      <w:tblPr>
        <w:tblW w:w="0" w:type="auto"/>
        <w:tblLayout w:type="fixed"/>
        <w:tblCellMar>
          <w:left w:w="62" w:type="dxa"/>
          <w:right w:w="62" w:type="dxa"/>
        </w:tblCellMar>
        <w:tblLook w:val="0000"/>
      </w:tblPr>
      <w:tblGrid>
        <w:gridCol w:w="2391"/>
        <w:gridCol w:w="6131"/>
      </w:tblGrid>
      <w:tr w:rsidTr="00B741BD">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5A4F3B" w:rsidP="005A4F3B">
            <w:pPr>
              <w:pStyle w:val="BodyText"/>
            </w:pPr>
            <w:r w:rsidRPr="005A4F3B">
              <w:t>This unit of competency has wide application in the security industry in those roles involving the monitoring of electronic security systems. Competency requires legal and operational knowledge applic</w:t>
            </w:r>
            <w:r w:rsidRPr="005A4F3B">
              <w:t>able to relevant sectors of the security industry. The knowledge and skills described in this unit are to be applied within relevant legislative and organisational guidelines.</w:t>
            </w:r>
          </w:p>
        </w:tc>
      </w:tr>
    </w:tbl>
    <w:p w:rsidR="00B741BD" w:rsidP="005A4F3B">
      <w:pPr>
        <w:pStyle w:val="BodyText"/>
      </w:pPr>
    </w:p>
    <w:p w:rsidR="00B741BD" w:rsidP="005A4F3B">
      <w:pPr>
        <w:pStyle w:val="BodyText"/>
      </w:pPr>
    </w:p>
    <w:p w:rsidR="00000000" w:rsidRPr="005A4F3B" w:rsidP="005A4F3B">
      <w:pPr>
        <w:pStyle w:val="Heading1"/>
      </w:pPr>
      <w:bookmarkStart w:id="4" w:name="O_278456"/>
      <w:bookmarkEnd w:id="4"/>
      <w:r w:rsidRPr="005A4F3B">
        <w:t>Licensing/Regulatory Information</w:t>
      </w:r>
    </w:p>
    <w:p w:rsidR="00000000" w:rsidRPr="005A4F3B" w:rsidP="005A4F3B">
      <w:pPr>
        <w:pStyle w:val="BodyText"/>
      </w:pPr>
      <w:r w:rsidRPr="005A4F3B">
        <w:t>Refer to Unit Descriptor</w:t>
      </w:r>
    </w:p>
    <w:p w:rsidR="00000000" w:rsidRPr="005A4F3B" w:rsidP="005A4F3B">
      <w:pPr>
        <w:pStyle w:val="AllowPageBreak"/>
      </w:pPr>
    </w:p>
    <w:p w:rsidR="00000000" w:rsidRPr="005A4F3B" w:rsidP="005A4F3B">
      <w:pPr>
        <w:pStyle w:val="Heading1"/>
      </w:pPr>
      <w:bookmarkStart w:id="5" w:name="O_283577"/>
      <w:bookmarkEnd w:id="5"/>
      <w:r w:rsidRPr="005A4F3B">
        <w:t>Pre-Requisites</w:t>
      </w:r>
    </w:p>
    <w:p w:rsidR="00000000" w:rsidRPr="005A4F3B" w:rsidP="005A4F3B">
      <w:pPr>
        <w:pStyle w:val="BodyText"/>
      </w:pPr>
      <w:r w:rsidRPr="005A4F3B">
        <w:t>Not Applicable</w:t>
      </w:r>
    </w:p>
    <w:p w:rsidR="00000000" w:rsidRPr="005A4F3B" w:rsidP="005A4F3B">
      <w:pPr>
        <w:pStyle w:val="AllowPageBreak"/>
      </w:pPr>
    </w:p>
    <w:p w:rsidR="00000000" w:rsidRPr="005A4F3B" w:rsidP="005A4F3B">
      <w:pPr>
        <w:pStyle w:val="Heading1"/>
      </w:pPr>
      <w:bookmarkStart w:id="6" w:name="O_201776"/>
      <w:bookmarkEnd w:id="6"/>
      <w:r w:rsidRPr="005A4F3B">
        <w:t>Employability Skills Information</w:t>
      </w:r>
    </w:p>
    <w:tbl>
      <w:tblPr>
        <w:tblW w:w="0" w:type="auto"/>
        <w:tblLayout w:type="fixed"/>
        <w:tblCellMar>
          <w:left w:w="62" w:type="dxa"/>
          <w:right w:w="62" w:type="dxa"/>
        </w:tblCellMar>
        <w:tblLook w:val="0000"/>
      </w:tblPr>
      <w:tblGrid>
        <w:gridCol w:w="2624"/>
        <w:gridCol w:w="5898"/>
      </w:tblGrid>
      <w:tr w:rsidTr="00B741BD">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5A4F3B" w:rsidP="005A4F3B">
            <w:pPr>
              <w:pStyle w:val="BodyText"/>
            </w:pPr>
            <w:r w:rsidRPr="005A4F3B">
              <w:t>This unit contains employability skills.</w:t>
            </w:r>
          </w:p>
        </w:tc>
      </w:tr>
    </w:tbl>
    <w:p w:rsidR="00B741BD" w:rsidP="005A4F3B">
      <w:pPr>
        <w:pStyle w:val="BodyText"/>
      </w:pPr>
    </w:p>
    <w:p w:rsidR="00B741BD" w:rsidP="005A4F3B">
      <w:pPr>
        <w:pStyle w:val="BodyText"/>
      </w:pPr>
    </w:p>
    <w:p w:rsidR="00000000" w:rsidRPr="005A4F3B" w:rsidP="005A4F3B">
      <w:pPr>
        <w:pStyle w:val="Heading1"/>
      </w:pPr>
      <w:bookmarkStart w:id="7" w:name="O_288242"/>
      <w:bookmarkEnd w:id="7"/>
      <w:r w:rsidRPr="005A4F3B">
        <w:t>Elements and Performance Criteria Pre-Content</w:t>
      </w:r>
    </w:p>
    <w:tbl>
      <w:tblPr>
        <w:tblW w:w="0" w:type="auto"/>
        <w:tblLayout w:type="fixed"/>
        <w:tblCellMar>
          <w:left w:w="62" w:type="dxa"/>
          <w:right w:w="62" w:type="dxa"/>
        </w:tblCellMar>
        <w:tblLook w:val="0000"/>
      </w:tblPr>
      <w:tblGrid>
        <w:gridCol w:w="2412"/>
        <w:gridCol w:w="6110"/>
      </w:tblGrid>
      <w:tr w:rsidTr="00B741B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5A4F3B" w:rsidP="005A4F3B">
            <w:pPr>
              <w:pStyle w:val="BodyText"/>
            </w:pPr>
            <w:r w:rsidRPr="005A4F3B">
              <w:t xml:space="preserve">Performance criteria describe the required performance needed to demonstrate achievement of the element. Where </w:t>
            </w:r>
            <w:r w:rsidRPr="005A4F3B">
              <w:rPr>
                <w:rStyle w:val="BoldandItalics"/>
              </w:rPr>
              <w:t>bold italicised</w:t>
            </w:r>
            <w:r w:rsidRPr="005A4F3B">
              <w:t xml:space="preserve"> text is used, further information is detailed in the required s</w:t>
            </w:r>
            <w:r w:rsidRPr="005A4F3B">
              <w:t>kills and knowledge section and/or the range statement. Assessment of performance is to be consistent with the evidence guide.</w:t>
            </w:r>
          </w:p>
        </w:tc>
      </w:tr>
    </w:tbl>
    <w:p w:rsidR="00000000" w:rsidRPr="005A4F3B" w:rsidP="005A4F3B">
      <w:pPr>
        <w:pStyle w:val="BodyText"/>
      </w:pPr>
    </w:p>
    <w:p w:rsidR="00000000" w:rsidRPr="005A4F3B" w:rsidP="005A4F3B">
      <w:pPr>
        <w:pStyle w:val="AllowPageBreak"/>
      </w:pPr>
    </w:p>
    <w:p w:rsidR="00000000" w:rsidRPr="005A4F3B" w:rsidP="005A4F3B">
      <w:pPr>
        <w:pStyle w:val="Heading1"/>
      </w:pPr>
      <w:bookmarkStart w:id="8" w:name="O_234909"/>
      <w:bookmarkEnd w:id="8"/>
      <w:r w:rsidRPr="005A4F3B">
        <w:t>Elements and Performance Criteria</w:t>
      </w:r>
    </w:p>
    <w:tbl>
      <w:tblPr>
        <w:tblW w:w="0" w:type="auto"/>
        <w:tblLayout w:type="fixed"/>
        <w:tblCellMar>
          <w:left w:w="62" w:type="dxa"/>
          <w:right w:w="62" w:type="dxa"/>
        </w:tblCellMar>
        <w:tblLook w:val="0000"/>
      </w:tblPr>
      <w:tblGrid>
        <w:gridCol w:w="2412"/>
        <w:gridCol w:w="6110"/>
      </w:tblGrid>
      <w:tr w:rsidTr="00B741BD">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5A4F3B" w:rsidP="005A4F3B">
            <w:pPr>
              <w:pStyle w:val="List"/>
            </w:pPr>
            <w:r w:rsidRPr="005A4F3B">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5A4F3B">
            <w:pPr>
              <w:pStyle w:val="List"/>
              <w:rPr>
                <w:lang w:val="en-NZ"/>
              </w:rPr>
            </w:pPr>
            <w:r w:rsidRPr="005A4F3B">
              <w:rPr>
                <w:rStyle w:val="SpecialBold"/>
              </w:rPr>
              <w:t>PERFORMANCE CRITERIA</w:t>
            </w:r>
          </w:p>
        </w:tc>
      </w:tr>
      <w:tr w:rsidTr="00B741B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A4F3B">
            <w:pPr>
              <w:pStyle w:val="List"/>
              <w:rPr>
                <w:lang w:val="en-NZ"/>
              </w:rPr>
            </w:pPr>
            <w:r w:rsidRPr="005A4F3B">
              <w:rPr>
                <w:rStyle w:val="SpecialBold"/>
              </w:rPr>
              <w:t>1</w:t>
            </w:r>
            <w:r w:rsidRPr="005A4F3B">
              <w:tab/>
            </w:r>
            <w:r w:rsidRPr="005A4F3B">
              <w:rPr>
                <w:rStyle w:val="SpecialBold"/>
              </w:rPr>
              <w:t>Monitor data and information</w:t>
            </w:r>
            <w:r w:rsidRPr="005A4F3B">
              <w:t>.</w:t>
            </w:r>
          </w:p>
        </w:tc>
        <w:tc>
          <w:tcPr>
            <w:tcW w:w="6110" w:type="dxa"/>
            <w:tcBorders>
              <w:top w:val="nil"/>
              <w:left w:val="nil"/>
              <w:bottom w:val="nil"/>
              <w:right w:val="nil"/>
            </w:tcBorders>
            <w:tcMar>
              <w:top w:w="0" w:type="dxa"/>
              <w:left w:w="62" w:type="dxa"/>
              <w:bottom w:w="0" w:type="dxa"/>
              <w:right w:w="62" w:type="dxa"/>
            </w:tcMar>
          </w:tcPr>
          <w:p w:rsidR="00000000" w:rsidRPr="005A4F3B" w:rsidP="005A4F3B">
            <w:pPr>
              <w:pStyle w:val="List"/>
            </w:pPr>
            <w:r w:rsidRPr="005A4F3B">
              <w:t>1.1</w:t>
            </w:r>
            <w:r w:rsidRPr="005A4F3B">
              <w:tab/>
            </w:r>
            <w:r w:rsidRPr="005A4F3B">
              <w:t xml:space="preserve">Applicable provisions of </w:t>
            </w:r>
            <w:r w:rsidRPr="005A4F3B">
              <w:rPr>
                <w:rStyle w:val="BoldandItalics"/>
              </w:rPr>
              <w:t>legislative</w:t>
            </w:r>
            <w:r w:rsidRPr="005A4F3B">
              <w:t xml:space="preserve"> and </w:t>
            </w:r>
            <w:r w:rsidRPr="005A4F3B">
              <w:rPr>
                <w:rStyle w:val="BoldandItalics"/>
              </w:rPr>
              <w:t>organisational requirements</w:t>
            </w:r>
            <w:r w:rsidRPr="005A4F3B">
              <w:t xml:space="preserve"> relevant to </w:t>
            </w:r>
            <w:r w:rsidRPr="005A4F3B">
              <w:rPr>
                <w:rStyle w:val="BoldandItalics"/>
              </w:rPr>
              <w:t>assignment instructions</w:t>
            </w:r>
            <w:r w:rsidRPr="005A4F3B">
              <w:t xml:space="preserve"> are identified and complied with.</w:t>
            </w:r>
          </w:p>
          <w:p w:rsidR="00000000" w:rsidRPr="005A4F3B" w:rsidP="005A4F3B">
            <w:pPr>
              <w:pStyle w:val="List"/>
            </w:pPr>
            <w:r w:rsidRPr="005A4F3B">
              <w:t>1.2</w:t>
            </w:r>
            <w:r w:rsidRPr="005A4F3B">
              <w:tab/>
            </w:r>
            <w:r w:rsidRPr="005A4F3B">
              <w:rPr>
                <w:rStyle w:val="BoldandItalics"/>
              </w:rPr>
              <w:t>Security equipment and systems</w:t>
            </w:r>
            <w:r w:rsidRPr="005A4F3B">
              <w:t xml:space="preserve"> are continually monitored for correct operation in accordance with manufacturer's </w:t>
            </w:r>
            <w:r w:rsidRPr="005A4F3B">
              <w:t>instructions.</w:t>
            </w:r>
          </w:p>
          <w:p w:rsidR="00000000" w:rsidRPr="005A4F3B" w:rsidP="005A4F3B">
            <w:pPr>
              <w:pStyle w:val="List"/>
            </w:pPr>
            <w:r w:rsidRPr="005A4F3B">
              <w:t>1.3</w:t>
            </w:r>
            <w:r w:rsidRPr="005A4F3B">
              <w:tab/>
            </w:r>
            <w:r w:rsidRPr="005A4F3B">
              <w:rPr>
                <w:rStyle w:val="BoldandItalics"/>
              </w:rPr>
              <w:t>Monitoring parameters</w:t>
            </w:r>
            <w:r w:rsidRPr="005A4F3B">
              <w:t xml:space="preserve"> of security equipment and systems are identified and complied with.</w:t>
            </w:r>
          </w:p>
          <w:p w:rsidR="00000000" w:rsidRPr="005A4F3B" w:rsidP="005A4F3B">
            <w:pPr>
              <w:pStyle w:val="List"/>
            </w:pPr>
            <w:r w:rsidRPr="005A4F3B">
              <w:t>1.4</w:t>
            </w:r>
            <w:r w:rsidRPr="005A4F3B">
              <w:tab/>
            </w:r>
            <w:r w:rsidRPr="005A4F3B">
              <w:rPr>
                <w:rStyle w:val="BoldandItalics"/>
              </w:rPr>
              <w:t>Data and information</w:t>
            </w:r>
            <w:r w:rsidRPr="005A4F3B">
              <w:t xml:space="preserve"> is monitored on a systematic basis in accordance with assignment instructions. </w:t>
            </w:r>
          </w:p>
          <w:p w:rsidR="00000000" w:rsidRPr="005A4F3B" w:rsidP="005A4F3B">
            <w:pPr>
              <w:pStyle w:val="List"/>
            </w:pPr>
            <w:r w:rsidRPr="005A4F3B">
              <w:t>1.5</w:t>
            </w:r>
            <w:r w:rsidRPr="005A4F3B">
              <w:tab/>
              <w:t>Security systems are routinely cross-ch</w:t>
            </w:r>
            <w:r w:rsidRPr="005A4F3B">
              <w:t xml:space="preserve">ecked with companion </w:t>
            </w:r>
            <w:r w:rsidRPr="005A4F3B">
              <w:rPr>
                <w:rStyle w:val="BoldandItalics"/>
              </w:rPr>
              <w:t>monitoring systems</w:t>
            </w:r>
            <w:r w:rsidRPr="005A4F3B">
              <w:t xml:space="preserve"> to ensure an accurate and reliable exchange of information.</w:t>
            </w:r>
          </w:p>
          <w:p w:rsidR="00000000" w:rsidP="005A4F3B">
            <w:pPr>
              <w:pStyle w:val="List"/>
              <w:rPr>
                <w:lang w:val="en-NZ"/>
              </w:rPr>
            </w:pPr>
            <w:r w:rsidRPr="005A4F3B">
              <w:t>1.6</w:t>
            </w:r>
            <w:r w:rsidRPr="005A4F3B">
              <w:tab/>
              <w:t>Faults or malfunctions in security systems are identified, corrected or reported for remedial action.</w:t>
            </w:r>
          </w:p>
        </w:tc>
      </w:tr>
      <w:tr w:rsidTr="00B741B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A4F3B">
            <w:pPr>
              <w:pStyle w:val="List"/>
              <w:rPr>
                <w:lang w:val="en-NZ"/>
              </w:rPr>
            </w:pPr>
            <w:r w:rsidRPr="005A4F3B">
              <w:rPr>
                <w:rStyle w:val="SpecialBold"/>
              </w:rPr>
              <w:t>2</w:t>
            </w:r>
            <w:r w:rsidRPr="005A4F3B">
              <w:tab/>
            </w:r>
            <w:r w:rsidRPr="005A4F3B">
              <w:rPr>
                <w:rStyle w:val="SpecialBold"/>
              </w:rPr>
              <w:t>Respond to data and information</w:t>
            </w:r>
            <w:r w:rsidRPr="005A4F3B">
              <w:t>.</w:t>
            </w:r>
          </w:p>
        </w:tc>
        <w:tc>
          <w:tcPr>
            <w:tcW w:w="6110" w:type="dxa"/>
            <w:tcBorders>
              <w:top w:val="nil"/>
              <w:left w:val="nil"/>
              <w:bottom w:val="nil"/>
              <w:right w:val="nil"/>
            </w:tcBorders>
            <w:tcMar>
              <w:top w:w="0" w:type="dxa"/>
              <w:left w:w="62" w:type="dxa"/>
              <w:bottom w:w="0" w:type="dxa"/>
              <w:right w:w="62" w:type="dxa"/>
            </w:tcMar>
          </w:tcPr>
          <w:p w:rsidR="00000000" w:rsidRPr="005A4F3B" w:rsidP="005A4F3B">
            <w:pPr>
              <w:pStyle w:val="List"/>
            </w:pPr>
            <w:r w:rsidRPr="005A4F3B">
              <w:t>2.1</w:t>
            </w:r>
            <w:r w:rsidRPr="005A4F3B">
              <w:tab/>
              <w:t>Establishe</w:t>
            </w:r>
            <w:r w:rsidRPr="005A4F3B">
              <w:t xml:space="preserve">d </w:t>
            </w:r>
            <w:r w:rsidRPr="005A4F3B">
              <w:rPr>
                <w:rStyle w:val="BoldandItalics"/>
              </w:rPr>
              <w:t>communication channels and processes</w:t>
            </w:r>
            <w:r w:rsidRPr="005A4F3B">
              <w:t xml:space="preserve"> are verified with </w:t>
            </w:r>
            <w:r w:rsidRPr="005A4F3B">
              <w:rPr>
                <w:rStyle w:val="BoldandItalics"/>
              </w:rPr>
              <w:t>relevant persons</w:t>
            </w:r>
            <w:r w:rsidRPr="005A4F3B">
              <w:t xml:space="preserve">. </w:t>
            </w:r>
          </w:p>
          <w:p w:rsidR="00000000" w:rsidRPr="005A4F3B" w:rsidP="005A4F3B">
            <w:pPr>
              <w:pStyle w:val="List"/>
            </w:pPr>
            <w:r w:rsidRPr="005A4F3B">
              <w:t>2.2</w:t>
            </w:r>
            <w:r w:rsidRPr="005A4F3B">
              <w:tab/>
              <w:t>Received information is identified and verified for reliability and accuracy in accordance with organisational procedures.</w:t>
            </w:r>
          </w:p>
          <w:p w:rsidR="00000000" w:rsidRPr="005A4F3B" w:rsidP="005A4F3B">
            <w:pPr>
              <w:pStyle w:val="List"/>
            </w:pPr>
            <w:r w:rsidRPr="005A4F3B">
              <w:t>2.3</w:t>
            </w:r>
            <w:r w:rsidRPr="005A4F3B">
              <w:tab/>
              <w:t xml:space="preserve">Information is received and appropriate </w:t>
            </w:r>
            <w:r w:rsidRPr="005A4F3B">
              <w:rPr>
                <w:rStyle w:val="BoldandItalics"/>
              </w:rPr>
              <w:t>response</w:t>
            </w:r>
            <w:r w:rsidRPr="005A4F3B">
              <w:t xml:space="preserve"> </w:t>
            </w:r>
            <w:r w:rsidRPr="005A4F3B">
              <w:t>determined and implemented in accordance with organisational procedures.</w:t>
            </w:r>
          </w:p>
          <w:p w:rsidR="00000000" w:rsidRPr="005A4F3B" w:rsidP="005A4F3B">
            <w:pPr>
              <w:pStyle w:val="List"/>
            </w:pPr>
            <w:r w:rsidRPr="005A4F3B">
              <w:t>2.4</w:t>
            </w:r>
            <w:r w:rsidRPr="005A4F3B">
              <w:tab/>
              <w:t>Responses are prioritised and comply with established monitoring parameters.</w:t>
            </w:r>
          </w:p>
          <w:p w:rsidR="00000000" w:rsidRPr="005A4F3B" w:rsidP="005A4F3B">
            <w:pPr>
              <w:pStyle w:val="List"/>
            </w:pPr>
            <w:r w:rsidRPr="005A4F3B">
              <w:t>2.5</w:t>
            </w:r>
            <w:r w:rsidRPr="005A4F3B">
              <w:tab/>
              <w:t>Changing circumstances are identified and variations to response procedures are implemented in acc</w:t>
            </w:r>
            <w:r w:rsidRPr="005A4F3B">
              <w:t>ordance with organisational procedures.</w:t>
            </w:r>
          </w:p>
          <w:p w:rsidR="00000000" w:rsidP="005A4F3B">
            <w:pPr>
              <w:pStyle w:val="List"/>
              <w:rPr>
                <w:lang w:val="en-NZ"/>
              </w:rPr>
            </w:pPr>
            <w:r w:rsidRPr="005A4F3B">
              <w:t>2.6</w:t>
            </w:r>
            <w:r w:rsidRPr="005A4F3B">
              <w:tab/>
              <w:t>Personal limitations in carrying out response procedures are identified and assistance is sought relevant persons in accordance with organisational procedures.</w:t>
            </w:r>
          </w:p>
        </w:tc>
      </w:tr>
      <w:tr w:rsidTr="00B741B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A4F3B">
            <w:pPr>
              <w:pStyle w:val="List"/>
              <w:rPr>
                <w:lang w:val="en-NZ"/>
              </w:rPr>
            </w:pPr>
            <w:r w:rsidRPr="005A4F3B">
              <w:rPr>
                <w:rStyle w:val="SpecialBold"/>
              </w:rPr>
              <w:t>3</w:t>
            </w:r>
            <w:r w:rsidRPr="005A4F3B">
              <w:tab/>
            </w:r>
            <w:r w:rsidRPr="005A4F3B">
              <w:rPr>
                <w:rStyle w:val="SpecialBold"/>
              </w:rPr>
              <w:t>Complete monitoring activities</w:t>
            </w:r>
            <w:r w:rsidRPr="005A4F3B">
              <w:t>.</w:t>
            </w:r>
          </w:p>
        </w:tc>
        <w:tc>
          <w:tcPr>
            <w:tcW w:w="6110" w:type="dxa"/>
            <w:tcBorders>
              <w:top w:val="nil"/>
              <w:left w:val="nil"/>
              <w:bottom w:val="nil"/>
              <w:right w:val="nil"/>
            </w:tcBorders>
            <w:tcMar>
              <w:top w:w="0" w:type="dxa"/>
              <w:left w:w="62" w:type="dxa"/>
              <w:bottom w:w="0" w:type="dxa"/>
              <w:right w:w="62" w:type="dxa"/>
            </w:tcMar>
          </w:tcPr>
          <w:p w:rsidR="00000000" w:rsidRPr="005A4F3B" w:rsidP="005A4F3B">
            <w:pPr>
              <w:pStyle w:val="List"/>
            </w:pPr>
            <w:r w:rsidRPr="005A4F3B">
              <w:t>3.1</w:t>
            </w:r>
            <w:r w:rsidRPr="005A4F3B">
              <w:tab/>
            </w:r>
            <w:r w:rsidRPr="005A4F3B">
              <w:t>Change of shift procedures are carried out and ensure system and monitoring continuity in accordance with organisational procedures.</w:t>
            </w:r>
          </w:p>
          <w:p w:rsidR="00000000" w:rsidRPr="005A4F3B" w:rsidP="005A4F3B">
            <w:pPr>
              <w:pStyle w:val="List"/>
            </w:pPr>
            <w:r w:rsidRPr="005A4F3B">
              <w:t>3.2</w:t>
            </w:r>
            <w:r w:rsidRPr="005A4F3B">
              <w:tab/>
              <w:t xml:space="preserve">Responses are accurately documented and presented for review in accordance with organisational procedures. </w:t>
            </w:r>
          </w:p>
          <w:p w:rsidR="00000000" w:rsidRPr="005A4F3B" w:rsidP="005A4F3B">
            <w:pPr>
              <w:pStyle w:val="List"/>
            </w:pPr>
            <w:r w:rsidRPr="005A4F3B">
              <w:t>3.3</w:t>
            </w:r>
            <w:r w:rsidRPr="005A4F3B">
              <w:tab/>
              <w:t>Identif</w:t>
            </w:r>
            <w:r w:rsidRPr="005A4F3B">
              <w:t>ied faults or deficiencies in security systems are reported for remedial action in accordance with organisational procedures.</w:t>
            </w:r>
          </w:p>
          <w:p w:rsidR="00000000" w:rsidRPr="005A4F3B" w:rsidP="005A4F3B">
            <w:pPr>
              <w:pStyle w:val="List"/>
            </w:pPr>
            <w:r w:rsidRPr="005A4F3B">
              <w:t>3.4</w:t>
            </w:r>
            <w:r w:rsidRPr="005A4F3B">
              <w:tab/>
              <w:t xml:space="preserve">Relevant </w:t>
            </w:r>
            <w:r w:rsidRPr="005A4F3B">
              <w:rPr>
                <w:rStyle w:val="BoldandItalics"/>
              </w:rPr>
              <w:t>documentation</w:t>
            </w:r>
            <w:r w:rsidRPr="005A4F3B">
              <w:t xml:space="preserve"> is completed and securely maintained with due regard to confidentiality.</w:t>
            </w:r>
          </w:p>
        </w:tc>
      </w:tr>
    </w:tbl>
    <w:p w:rsidR="00B741BD" w:rsidP="005A4F3B">
      <w:pPr>
        <w:pStyle w:val="BodyText"/>
      </w:pPr>
    </w:p>
    <w:p w:rsidR="00B741BD" w:rsidP="005A4F3B">
      <w:pPr>
        <w:pStyle w:val="BodyText"/>
      </w:pPr>
    </w:p>
    <w:p w:rsidR="00000000" w:rsidRPr="005A4F3B" w:rsidP="005A4F3B">
      <w:pPr>
        <w:pStyle w:val="Heading1"/>
      </w:pPr>
      <w:bookmarkStart w:id="9" w:name="O_258859"/>
      <w:bookmarkEnd w:id="9"/>
      <w:r w:rsidRPr="005A4F3B">
        <w:t xml:space="preserve">Required </w:t>
      </w:r>
      <w:r w:rsidRPr="005A4F3B">
        <w:t>Skills and Knowledge</w:t>
      </w:r>
    </w:p>
    <w:tbl>
      <w:tblPr>
        <w:tblW w:w="0" w:type="auto"/>
        <w:tblLayout w:type="fixed"/>
        <w:tblCellMar>
          <w:left w:w="62" w:type="dxa"/>
          <w:right w:w="62" w:type="dxa"/>
        </w:tblCellMar>
        <w:tblLook w:val="0000"/>
      </w:tblPr>
      <w:tblGrid>
        <w:gridCol w:w="8522"/>
      </w:tblGrid>
      <w:tr w:rsidTr="00B741B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rPr>
                <w:rStyle w:val="SpecialBold"/>
              </w:rPr>
              <w:t>REQUIRED SKILLS AND KNOWLEDGE</w:t>
            </w:r>
          </w:p>
        </w:tc>
      </w:tr>
      <w:tr w:rsidTr="00B741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t>This section describes the skills and knowledge and their level required for this unit.</w:t>
            </w:r>
          </w:p>
        </w:tc>
      </w:tr>
      <w:tr w:rsidTr="00B741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rPr>
                <w:rStyle w:val="SpecialBold"/>
              </w:rPr>
              <w:t>Required skills</w:t>
            </w:r>
          </w:p>
        </w:tc>
      </w:tr>
      <w:tr w:rsidTr="00B741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A4F3B" w:rsidP="005A4F3B">
            <w:pPr>
              <w:pStyle w:val="ListBullet"/>
            </w:pPr>
            <w:r w:rsidRPr="005A4F3B">
              <w:t xml:space="preserve">apply safe and efficient work practices </w:t>
            </w:r>
          </w:p>
          <w:p w:rsidR="00000000" w:rsidRPr="005A4F3B" w:rsidP="005A4F3B">
            <w:pPr>
              <w:pStyle w:val="ListBullet"/>
            </w:pPr>
            <w:r w:rsidRPr="005A4F3B">
              <w:t>back-up security systems</w:t>
            </w:r>
          </w:p>
          <w:p w:rsidR="00000000" w:rsidRPr="005A4F3B" w:rsidP="005A4F3B">
            <w:pPr>
              <w:pStyle w:val="ListBullet"/>
            </w:pPr>
            <w:r w:rsidRPr="005A4F3B">
              <w:t>carry out basic data entry and keyboarding</w:t>
            </w:r>
          </w:p>
          <w:p w:rsidR="00000000" w:rsidRPr="005A4F3B" w:rsidP="005A4F3B">
            <w:pPr>
              <w:pStyle w:val="ListBullet"/>
            </w:pPr>
            <w:r w:rsidRPr="005A4F3B">
              <w:t>communicate in a clear and concise manner using appropriate terminology</w:t>
            </w:r>
          </w:p>
          <w:p w:rsidR="00000000" w:rsidRPr="005A4F3B" w:rsidP="005A4F3B">
            <w:pPr>
              <w:pStyle w:val="ListBullet"/>
            </w:pPr>
            <w:r w:rsidRPr="005A4F3B">
              <w:t>comply with relevant legislative requirements including licensing</w:t>
            </w:r>
          </w:p>
          <w:p w:rsidR="00000000" w:rsidRPr="005A4F3B" w:rsidP="005A4F3B">
            <w:pPr>
              <w:pStyle w:val="ListBullet"/>
            </w:pPr>
            <w:r w:rsidRPr="005A4F3B">
              <w:t xml:space="preserve">demonstrate understanding of basic numeracy </w:t>
            </w:r>
          </w:p>
          <w:p w:rsidR="00000000" w:rsidRPr="005A4F3B" w:rsidP="005A4F3B">
            <w:pPr>
              <w:pStyle w:val="ListBullet"/>
            </w:pPr>
            <w:r w:rsidRPr="005A4F3B">
              <w:t>determine and implement appropriate response to received information</w:t>
            </w:r>
          </w:p>
          <w:p w:rsidR="00000000" w:rsidRPr="005A4F3B" w:rsidP="005A4F3B">
            <w:pPr>
              <w:pStyle w:val="ListBullet"/>
            </w:pPr>
            <w:r w:rsidRPr="005A4F3B">
              <w:t>identify basic faults or malfunctions in operation of security systems</w:t>
            </w:r>
          </w:p>
          <w:p w:rsidR="00000000" w:rsidRPr="005A4F3B" w:rsidP="005A4F3B">
            <w:pPr>
              <w:pStyle w:val="ListBullet"/>
            </w:pPr>
            <w:r w:rsidRPr="005A4F3B">
              <w:t>interpret security codes and alarm signals</w:t>
            </w:r>
          </w:p>
          <w:p w:rsidR="00000000" w:rsidRPr="005A4F3B" w:rsidP="005A4F3B">
            <w:pPr>
              <w:pStyle w:val="ListBullet"/>
            </w:pPr>
            <w:r w:rsidRPr="005A4F3B">
              <w:t>monitor, evaluate and interpret data and information</w:t>
            </w:r>
          </w:p>
          <w:p w:rsidR="00000000" w:rsidRPr="005A4F3B" w:rsidP="005A4F3B">
            <w:pPr>
              <w:pStyle w:val="ListBullet"/>
            </w:pPr>
            <w:r w:rsidRPr="005A4F3B">
              <w:t>operate a range of e</w:t>
            </w:r>
            <w:r w:rsidRPr="005A4F3B">
              <w:t xml:space="preserve">lectronic security alarm monitoring management software relating to electronic security systems and tracking equipment </w:t>
            </w:r>
          </w:p>
          <w:p w:rsidR="00000000" w:rsidRPr="005A4F3B" w:rsidP="005A4F3B">
            <w:pPr>
              <w:pStyle w:val="ListBullet"/>
            </w:pPr>
            <w:r w:rsidRPr="005A4F3B">
              <w:t>prepare and present written and computer-based information</w:t>
            </w:r>
          </w:p>
          <w:p w:rsidR="00000000" w:rsidRPr="005A4F3B" w:rsidP="005A4F3B">
            <w:pPr>
              <w:pStyle w:val="ListBullet"/>
            </w:pPr>
            <w:r w:rsidRPr="005A4F3B">
              <w:t>prioritise responses</w:t>
            </w:r>
          </w:p>
          <w:p w:rsidR="00000000" w:rsidRPr="005A4F3B" w:rsidP="005A4F3B">
            <w:pPr>
              <w:pStyle w:val="ListBullet"/>
            </w:pPr>
            <w:r w:rsidRPr="005A4F3B">
              <w:t>read and interpret data, information and instructions</w:t>
            </w:r>
          </w:p>
          <w:p w:rsidR="00000000" w:rsidRPr="005A4F3B" w:rsidP="005A4F3B">
            <w:pPr>
              <w:pStyle w:val="ListBullet"/>
            </w:pPr>
            <w:r w:rsidRPr="005A4F3B">
              <w:t>so</w:t>
            </w:r>
            <w:r w:rsidRPr="005A4F3B">
              <w:t>lve routine problems and make decisions according to set procedures</w:t>
            </w:r>
          </w:p>
          <w:p w:rsidR="00000000" w:rsidP="005A4F3B">
            <w:pPr>
              <w:pStyle w:val="ListBullet"/>
              <w:rPr>
                <w:lang w:val="en-NZ"/>
              </w:rPr>
            </w:pPr>
            <w:r w:rsidRPr="005A4F3B">
              <w:t>use keypads and control panels.</w:t>
            </w:r>
          </w:p>
        </w:tc>
      </w:tr>
      <w:tr w:rsidTr="00B741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rPr>
                <w:rStyle w:val="SpecialBold"/>
              </w:rPr>
              <w:t>Required knowledge</w:t>
            </w:r>
          </w:p>
        </w:tc>
      </w:tr>
      <w:tr w:rsidTr="00B741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A4F3B" w:rsidP="005A4F3B">
            <w:pPr>
              <w:pStyle w:val="ListBullet"/>
            </w:pPr>
            <w:r w:rsidRPr="005A4F3B">
              <w:t>approved communication terminology and codes and signals</w:t>
            </w:r>
          </w:p>
          <w:p w:rsidR="00000000" w:rsidRPr="005A4F3B" w:rsidP="005A4F3B">
            <w:pPr>
              <w:pStyle w:val="ListBullet"/>
            </w:pPr>
            <w:r w:rsidRPr="005A4F3B">
              <w:t>back-up procedures</w:t>
            </w:r>
          </w:p>
          <w:p w:rsidR="00000000" w:rsidRPr="005A4F3B" w:rsidP="005A4F3B">
            <w:pPr>
              <w:pStyle w:val="ListBullet"/>
            </w:pPr>
            <w:r w:rsidRPr="005A4F3B">
              <w:t>change of shift procedures</w:t>
            </w:r>
          </w:p>
          <w:p w:rsidR="00000000" w:rsidRPr="005A4F3B" w:rsidP="005A4F3B">
            <w:pPr>
              <w:pStyle w:val="ListBullet"/>
            </w:pPr>
            <w:r w:rsidRPr="005A4F3B">
              <w:t xml:space="preserve">client confidentiality requirements </w:t>
            </w:r>
          </w:p>
          <w:p w:rsidR="00000000" w:rsidRPr="005A4F3B" w:rsidP="005A4F3B">
            <w:pPr>
              <w:pStyle w:val="ListBullet"/>
            </w:pPr>
            <w:r w:rsidRPr="005A4F3B">
              <w:t>common faults and malfunctions in security systems</w:t>
            </w:r>
          </w:p>
          <w:p w:rsidR="00000000" w:rsidRPr="005A4F3B" w:rsidP="005A4F3B">
            <w:pPr>
              <w:pStyle w:val="ListBullet"/>
            </w:pPr>
            <w:r w:rsidRPr="005A4F3B">
              <w:t xml:space="preserve">computer software used for monitoring functions </w:t>
            </w:r>
          </w:p>
          <w:p w:rsidR="00000000" w:rsidRPr="005A4F3B" w:rsidP="005A4F3B">
            <w:pPr>
              <w:pStyle w:val="ListBullet"/>
            </w:pPr>
            <w:r w:rsidRPr="005A4F3B">
              <w:t xml:space="preserve">electronic equipment and system configurations and programs </w:t>
            </w:r>
          </w:p>
          <w:p w:rsidR="00000000" w:rsidRPr="005A4F3B" w:rsidP="005A4F3B">
            <w:pPr>
              <w:pStyle w:val="ListBullet"/>
            </w:pPr>
            <w:r w:rsidRPr="005A4F3B">
              <w:t xml:space="preserve">emergency procedures </w:t>
            </w:r>
          </w:p>
          <w:p w:rsidR="00000000" w:rsidRPr="005A4F3B" w:rsidP="005A4F3B">
            <w:pPr>
              <w:pStyle w:val="ListBullet"/>
            </w:pPr>
            <w:r w:rsidRPr="005A4F3B">
              <w:t>keypad and control panel types and f</w:t>
            </w:r>
            <w:r w:rsidRPr="005A4F3B">
              <w:t xml:space="preserve">unctions </w:t>
            </w:r>
          </w:p>
          <w:p w:rsidR="00000000" w:rsidRPr="005A4F3B" w:rsidP="005A4F3B">
            <w:pPr>
              <w:pStyle w:val="ListBullet"/>
            </w:pPr>
            <w:r w:rsidRPr="005A4F3B">
              <w:t xml:space="preserve">monitoring and response requirements </w:t>
            </w:r>
          </w:p>
          <w:p w:rsidR="00000000" w:rsidRPr="005A4F3B" w:rsidP="005A4F3B">
            <w:pPr>
              <w:pStyle w:val="ListBullet"/>
            </w:pPr>
            <w:r w:rsidRPr="005A4F3B">
              <w:t xml:space="preserve">operational principles and functions of electronic security systems and equipment </w:t>
            </w:r>
          </w:p>
          <w:p w:rsidR="00000000" w:rsidRPr="005A4F3B" w:rsidP="005A4F3B">
            <w:pPr>
              <w:pStyle w:val="ListBullet"/>
            </w:pPr>
            <w:r w:rsidRPr="005A4F3B">
              <w:t>relevant legislative provisions including Occupational Health and Safety (OHS) and licensing requirements</w:t>
            </w:r>
          </w:p>
          <w:p w:rsidR="00000000" w:rsidRPr="005A4F3B" w:rsidP="005A4F3B">
            <w:pPr>
              <w:pStyle w:val="ListBullet"/>
            </w:pPr>
            <w:r w:rsidRPr="005A4F3B">
              <w:t>reporting, document</w:t>
            </w:r>
            <w:r w:rsidRPr="005A4F3B">
              <w:t>ation requirements and processes</w:t>
            </w:r>
          </w:p>
          <w:p w:rsidR="00000000" w:rsidRPr="005A4F3B" w:rsidP="005A4F3B">
            <w:pPr>
              <w:pStyle w:val="ListBullet"/>
            </w:pPr>
            <w:r w:rsidRPr="005A4F3B">
              <w:t>roles and responsibilities of emergency services</w:t>
            </w:r>
          </w:p>
          <w:p w:rsidR="00000000" w:rsidRPr="005A4F3B" w:rsidP="005A4F3B">
            <w:pPr>
              <w:pStyle w:val="ListBullet"/>
            </w:pPr>
            <w:r w:rsidRPr="005A4F3B">
              <w:t>routine problem solving strategies</w:t>
            </w:r>
          </w:p>
          <w:p w:rsidR="00000000" w:rsidRPr="005A4F3B" w:rsidP="005A4F3B">
            <w:pPr>
              <w:pStyle w:val="ListBullet"/>
            </w:pPr>
            <w:r w:rsidRPr="005A4F3B">
              <w:t xml:space="preserve">software templates for electronic security equipment and systems </w:t>
            </w:r>
          </w:p>
          <w:p w:rsidR="00000000" w:rsidRPr="005A4F3B" w:rsidP="005A4F3B">
            <w:pPr>
              <w:pStyle w:val="ListBullet"/>
            </w:pPr>
            <w:r w:rsidRPr="005A4F3B">
              <w:t xml:space="preserve">technical terminology </w:t>
            </w:r>
          </w:p>
          <w:p w:rsidR="00000000" w:rsidRPr="005A4F3B" w:rsidP="005A4F3B">
            <w:pPr>
              <w:pStyle w:val="ListBullet"/>
            </w:pPr>
            <w:r w:rsidRPr="005A4F3B">
              <w:t>verification procedures and requirements for confi</w:t>
            </w:r>
            <w:r w:rsidRPr="005A4F3B">
              <w:t>rming authenticity of received information.</w:t>
            </w:r>
          </w:p>
        </w:tc>
      </w:tr>
    </w:tbl>
    <w:p w:rsidR="00B741BD" w:rsidP="005A4F3B">
      <w:pPr>
        <w:pStyle w:val="BodyText"/>
      </w:pPr>
    </w:p>
    <w:p w:rsidR="00B741BD" w:rsidP="005A4F3B">
      <w:pPr>
        <w:pStyle w:val="BodyText"/>
      </w:pPr>
    </w:p>
    <w:p w:rsidR="00000000" w:rsidRPr="005A4F3B" w:rsidP="005A4F3B">
      <w:pPr>
        <w:pStyle w:val="Heading1"/>
      </w:pPr>
      <w:bookmarkStart w:id="10" w:name="O_242893"/>
      <w:bookmarkEnd w:id="10"/>
      <w:r w:rsidRPr="005A4F3B">
        <w:t>Evidence Guide</w:t>
      </w:r>
    </w:p>
    <w:tbl>
      <w:tblPr>
        <w:tblW w:w="9287" w:type="dxa"/>
        <w:tblLayout w:type="fixed"/>
        <w:tblCellMar>
          <w:left w:w="62" w:type="dxa"/>
          <w:right w:w="62" w:type="dxa"/>
        </w:tblCellMar>
        <w:tblLook w:val="0000"/>
      </w:tblPr>
      <w:tblGrid>
        <w:gridCol w:w="2621"/>
        <w:gridCol w:w="6659"/>
        <w:gridCol w:w="7"/>
      </w:tblGrid>
      <w:tr w:rsidTr="00B741BD">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rPr>
                <w:rStyle w:val="SpecialBold"/>
              </w:rPr>
              <w:t>EVIDENCE GUIDE</w:t>
            </w:r>
          </w:p>
        </w:tc>
      </w:tr>
      <w:tr w:rsidTr="00B741BD">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t xml:space="preserve">The evidence guide provides advice on assessment and must be read in conjunction with the performance criteria, required skills and knowledge, </w:t>
            </w:r>
            <w:r w:rsidRPr="005A4F3B">
              <w:t>range statement and the Assessment Guidelines for the Training Package.</w:t>
            </w:r>
          </w:p>
        </w:tc>
      </w:tr>
      <w:tr w:rsidTr="00B741B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5A4F3B" w:rsidP="005A4F3B">
            <w:pPr>
              <w:pStyle w:val="BodyText"/>
            </w:pPr>
            <w:r w:rsidRPr="005A4F3B">
              <w:t>A person who demonstrates competency in this unit must be able to provide evidence of:</w:t>
            </w:r>
          </w:p>
          <w:p w:rsidR="00000000" w:rsidRPr="005A4F3B" w:rsidP="005A4F3B">
            <w:pPr>
              <w:pStyle w:val="ListBullet"/>
            </w:pPr>
            <w:r w:rsidRPr="005A4F3B">
              <w:t>a</w:t>
            </w:r>
            <w:r w:rsidRPr="005A4F3B">
              <w:t>ccurately completing and processing documentation relating to monitoring</w:t>
            </w:r>
          </w:p>
          <w:p w:rsidR="00000000" w:rsidRPr="005A4F3B" w:rsidP="005A4F3B">
            <w:pPr>
              <w:pStyle w:val="ListBullet"/>
            </w:pPr>
            <w:r w:rsidRPr="005A4F3B">
              <w:t>carrying out monitoring activities in a systematic manner in compliance with legislative requirements</w:t>
            </w:r>
          </w:p>
          <w:p w:rsidR="00000000" w:rsidRPr="005A4F3B" w:rsidP="005A4F3B">
            <w:pPr>
              <w:pStyle w:val="ListBullet"/>
            </w:pPr>
            <w:r w:rsidRPr="005A4F3B">
              <w:t>implementing procedures to verify accuracy and reliability of received infor</w:t>
            </w:r>
            <w:r w:rsidRPr="005A4F3B">
              <w:t>mation</w:t>
            </w:r>
          </w:p>
          <w:p w:rsidR="00000000" w:rsidRPr="005A4F3B" w:rsidP="005A4F3B">
            <w:pPr>
              <w:pStyle w:val="ListBullet"/>
            </w:pPr>
            <w:r w:rsidRPr="005A4F3B">
              <w:t xml:space="preserve">interpreting security data and information and determining appropriate responses based on the information available </w:t>
            </w:r>
          </w:p>
          <w:p w:rsidR="00000000" w:rsidRPr="005A4F3B" w:rsidP="005A4F3B">
            <w:pPr>
              <w:pStyle w:val="ListBullet"/>
            </w:pPr>
            <w:r w:rsidRPr="005A4F3B">
              <w:t xml:space="preserve">prioritising and responding promptly to data and information in compliance with monitoring parameters </w:t>
            </w:r>
          </w:p>
          <w:p w:rsidR="00000000" w:rsidRPr="005A4F3B" w:rsidP="005A4F3B">
            <w:pPr>
              <w:pStyle w:val="ListBullet"/>
            </w:pPr>
            <w:r w:rsidRPr="005A4F3B">
              <w:t>recognising faults or malfunc</w:t>
            </w:r>
            <w:r w:rsidRPr="005A4F3B">
              <w:t>tions in security systems and telecommunications</w:t>
            </w:r>
          </w:p>
          <w:p w:rsidR="00000000" w:rsidP="005A4F3B">
            <w:pPr>
              <w:pStyle w:val="ListBullet"/>
              <w:rPr>
                <w:lang w:val="en-NZ"/>
              </w:rPr>
            </w:pPr>
            <w:r w:rsidRPr="005A4F3B">
              <w:t>using appropriate communication channels and processes to accurately receive and convey information in both routine and non-routine circumstances.</w:t>
            </w:r>
          </w:p>
        </w:tc>
      </w:tr>
      <w:tr w:rsidTr="00B741B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5A4F3B" w:rsidP="005A4F3B">
            <w:pPr>
              <w:pStyle w:val="BodyText"/>
            </w:pPr>
            <w:r w:rsidRPr="005A4F3B">
              <w:t>Context of</w:t>
            </w:r>
            <w:r w:rsidRPr="005A4F3B">
              <w:t xml:space="preserve"> assessment includes:</w:t>
            </w:r>
          </w:p>
          <w:p w:rsidR="00000000" w:rsidRPr="005A4F3B" w:rsidP="005A4F3B">
            <w:pPr>
              <w:pStyle w:val="ListBullet"/>
            </w:pPr>
            <w:r w:rsidRPr="005A4F3B">
              <w:t>a setting in the workplace or environment that simulates the conditions of performance described in the elements, performance criteria and range statement.</w:t>
            </w:r>
          </w:p>
          <w:p w:rsidR="00000000" w:rsidRPr="005A4F3B" w:rsidP="005A4F3B">
            <w:pPr>
              <w:pStyle w:val="BodyText"/>
            </w:pPr>
            <w:r w:rsidRPr="005A4F3B">
              <w:t>Resource implications for assessment include:</w:t>
            </w:r>
          </w:p>
          <w:p w:rsidR="00000000" w:rsidRPr="005A4F3B" w:rsidP="005A4F3B">
            <w:pPr>
              <w:pStyle w:val="ListBullet"/>
            </w:pPr>
            <w:r w:rsidRPr="005A4F3B">
              <w:t>access to plain English versio</w:t>
            </w:r>
            <w:r w:rsidRPr="005A4F3B">
              <w:t>n of relevant statutes and procedures</w:t>
            </w:r>
          </w:p>
          <w:p w:rsidR="00000000" w:rsidRPr="005A4F3B" w:rsidP="005A4F3B">
            <w:pPr>
              <w:pStyle w:val="ListBullet"/>
            </w:pPr>
            <w:r w:rsidRPr="005A4F3B">
              <w:t>access to a registered provider of assessment services</w:t>
            </w:r>
          </w:p>
          <w:p w:rsidR="00000000" w:rsidRPr="005A4F3B" w:rsidP="005A4F3B">
            <w:pPr>
              <w:pStyle w:val="ListBullet"/>
            </w:pPr>
            <w:r w:rsidRPr="005A4F3B">
              <w:t>access to a suitable venue and equipment</w:t>
            </w:r>
          </w:p>
          <w:p w:rsidR="00000000" w:rsidRPr="005A4F3B" w:rsidP="005A4F3B">
            <w:pPr>
              <w:pStyle w:val="ListBullet"/>
            </w:pPr>
            <w:r w:rsidRPr="005A4F3B">
              <w:t>assessment instruments including personal planner and assessment record book</w:t>
            </w:r>
          </w:p>
          <w:p w:rsidR="00000000" w:rsidRPr="005A4F3B" w:rsidP="005A4F3B">
            <w:pPr>
              <w:pStyle w:val="ListBullet"/>
            </w:pPr>
            <w:r w:rsidRPr="005A4F3B">
              <w:t>work schedules, organisational policies and duty statements.</w:t>
            </w:r>
          </w:p>
          <w:p w:rsidR="00000000" w:rsidP="005A4F3B">
            <w:pPr>
              <w:pStyle w:val="BodyText"/>
              <w:rPr>
                <w:lang w:val="en-NZ"/>
              </w:rPr>
            </w:pPr>
            <w:r w:rsidRPr="005A4F3B">
              <w:t>Reasonable adjustments must be made to assessment processes where required for people with disabilities. This could include access to modified equipment and other physical resources, and the prov</w:t>
            </w:r>
            <w:r w:rsidRPr="005A4F3B">
              <w:t>ision of appropriate assessment support.</w:t>
            </w:r>
          </w:p>
        </w:tc>
      </w:tr>
      <w:tr w:rsidTr="00B741B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rPr>
                <w:rStyle w:val="SpecialBold"/>
              </w:rPr>
              <w:t>Method of assessment</w:t>
            </w:r>
            <w:r w:rsidRPr="005A4F3B">
              <w:t xml:space="preserve"> </w:t>
            </w:r>
          </w:p>
        </w:tc>
        <w:tc>
          <w:tcPr>
            <w:tcW w:w="6659" w:type="dxa"/>
            <w:tcBorders>
              <w:top w:val="nil"/>
              <w:left w:val="nil"/>
              <w:bottom w:val="nil"/>
              <w:right w:val="nil"/>
            </w:tcBorders>
            <w:tcMar>
              <w:top w:w="0" w:type="dxa"/>
              <w:left w:w="62" w:type="dxa"/>
              <w:bottom w:w="0" w:type="dxa"/>
              <w:right w:w="62" w:type="dxa"/>
            </w:tcMar>
          </w:tcPr>
          <w:p w:rsidR="00000000" w:rsidRPr="005A4F3B" w:rsidP="005A4F3B">
            <w:pPr>
              <w:pStyle w:val="BodyText"/>
            </w:pPr>
            <w:r w:rsidRPr="005A4F3B">
              <w:t>This unit of competency could be assessed using the following methods of assessment:</w:t>
            </w:r>
          </w:p>
          <w:p w:rsidR="00000000" w:rsidRPr="005A4F3B" w:rsidP="005A4F3B">
            <w:pPr>
              <w:pStyle w:val="ListBullet"/>
            </w:pPr>
            <w:r w:rsidRPr="005A4F3B">
              <w:t>observation of processes and procedures</w:t>
            </w:r>
          </w:p>
          <w:p w:rsidR="00000000" w:rsidP="005A4F3B">
            <w:pPr>
              <w:pStyle w:val="ListBullet"/>
              <w:rPr>
                <w:lang w:val="en-NZ"/>
              </w:rPr>
            </w:pPr>
            <w:r w:rsidRPr="005A4F3B">
              <w:t>questioning of underpinning knowledge and skills.</w:t>
            </w:r>
          </w:p>
        </w:tc>
      </w:tr>
      <w:tr w:rsidTr="00B741B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rPr>
                <w:rStyle w:val="SpecialBold"/>
              </w:rPr>
              <w:t>Guidance inform</w:t>
            </w:r>
            <w:r w:rsidRPr="005A4F3B">
              <w:rPr>
                <w:rStyle w:val="SpecialBold"/>
              </w:rPr>
              <w:t>ation for assessment</w:t>
            </w:r>
          </w:p>
        </w:tc>
        <w:tc>
          <w:tcPr>
            <w:tcW w:w="6659" w:type="dxa"/>
            <w:tcBorders>
              <w:top w:val="nil"/>
              <w:left w:val="nil"/>
              <w:bottom w:val="nil"/>
              <w:right w:val="nil"/>
            </w:tcBorders>
            <w:tcMar>
              <w:top w:w="0" w:type="dxa"/>
              <w:left w:w="62" w:type="dxa"/>
              <w:bottom w:w="0" w:type="dxa"/>
              <w:right w:w="62" w:type="dxa"/>
            </w:tcMar>
          </w:tcPr>
          <w:p w:rsidR="00000000" w:rsidRPr="005A4F3B" w:rsidP="005A4F3B">
            <w:pPr>
              <w:pStyle w:val="BodyText"/>
            </w:pPr>
            <w:r w:rsidRPr="005A4F3B">
              <w:t>Assessment processes and techniques must be culturally appropriate and suitable to the language, literacy and numeracy capacity of the candidate and the competency being assessed. In all cases where practical assessment is used, it sho</w:t>
            </w:r>
            <w:r w:rsidRPr="005A4F3B">
              <w:t>uld be combined with targeted questioning to assess the underpinning knowledge.</w:t>
            </w:r>
          </w:p>
          <w:p w:rsidR="00000000" w:rsidRPr="005A4F3B" w:rsidP="005A4F3B">
            <w:pPr>
              <w:pStyle w:val="BodyText"/>
            </w:pPr>
            <w:r w:rsidRPr="005A4F3B">
              <w:t>Oral questioning or written assessment may be used to assess underpinning knowledge. In assessment situations where the candidate is offered a choice between oral questioning a</w:t>
            </w:r>
            <w:r w:rsidRPr="005A4F3B">
              <w:t>nd written assessment, questions are to be identical.</w:t>
            </w:r>
          </w:p>
          <w:p w:rsidR="00000000" w:rsidRPr="005A4F3B" w:rsidP="005A4F3B">
            <w:pPr>
              <w:pStyle w:val="BodyText"/>
            </w:pPr>
            <w:r w:rsidRPr="005A4F3B">
              <w:t>Supplementary evidence may be obtained from relevant authenticated correspondence from existing supervisors, team leaders or specialist training staff.</w:t>
            </w:r>
          </w:p>
        </w:tc>
      </w:tr>
    </w:tbl>
    <w:p w:rsidR="00B741BD" w:rsidP="005A4F3B">
      <w:pPr>
        <w:pStyle w:val="BodyText"/>
      </w:pPr>
    </w:p>
    <w:p w:rsidR="00B741BD" w:rsidP="005A4F3B">
      <w:pPr>
        <w:pStyle w:val="BodyText"/>
      </w:pPr>
    </w:p>
    <w:p w:rsidR="00000000" w:rsidRPr="005A4F3B" w:rsidP="005A4F3B">
      <w:pPr>
        <w:pStyle w:val="Heading1"/>
      </w:pPr>
      <w:bookmarkStart w:id="11" w:name="O_250876"/>
      <w:bookmarkEnd w:id="11"/>
      <w:r w:rsidRPr="005A4F3B">
        <w:t>Range Statement</w:t>
      </w:r>
    </w:p>
    <w:tbl>
      <w:tblPr>
        <w:tblW w:w="0" w:type="auto"/>
        <w:tblLayout w:type="fixed"/>
        <w:tblCellMar>
          <w:left w:w="62" w:type="dxa"/>
          <w:right w:w="62" w:type="dxa"/>
        </w:tblCellMar>
        <w:tblLook w:val="0000"/>
      </w:tblPr>
      <w:tblGrid>
        <w:gridCol w:w="2412"/>
        <w:gridCol w:w="6110"/>
      </w:tblGrid>
      <w:tr w:rsidTr="00B741B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rPr>
                <w:rStyle w:val="SpecialBold"/>
              </w:rPr>
              <w:t>RANGE STATEMENT</w:t>
            </w:r>
          </w:p>
        </w:tc>
      </w:tr>
      <w:tr w:rsidTr="00B741B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t>The range statement relates to the unit of competency as a whole. It allows for different work environments and situations that may affect performance. Bold italicised wording, if used in the performance criteria, is detailed below. Essen</w:t>
            </w:r>
            <w:r w:rsidRPr="005A4F3B">
              <w:t>tial operating conditions that may be present with training and assessment (depending on the work situation, needs of the candidate, accessibility of the item, and local industry and regional contexts) may also be included.</w:t>
            </w:r>
          </w:p>
        </w:tc>
      </w:tr>
      <w:tr w:rsidTr="00B741B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rPr>
                <w:rStyle w:val="BoldandItalics"/>
              </w:rPr>
              <w:t>Legislative requirements may r</w:t>
            </w:r>
            <w:r w:rsidRPr="005A4F3B">
              <w:rPr>
                <w:rStyle w:val="BoldandItalics"/>
              </w:rPr>
              <w:t>elate to</w:t>
            </w:r>
            <w:r w:rsidRPr="005A4F3B">
              <w:t xml:space="preserve">: </w:t>
            </w:r>
          </w:p>
        </w:tc>
        <w:tc>
          <w:tcPr>
            <w:tcW w:w="6110" w:type="dxa"/>
            <w:tcBorders>
              <w:top w:val="nil"/>
              <w:left w:val="nil"/>
              <w:bottom w:val="nil"/>
              <w:right w:val="nil"/>
            </w:tcBorders>
            <w:tcMar>
              <w:top w:w="0" w:type="dxa"/>
              <w:left w:w="62" w:type="dxa"/>
              <w:bottom w:w="0" w:type="dxa"/>
              <w:right w:w="62" w:type="dxa"/>
            </w:tcMar>
          </w:tcPr>
          <w:p w:rsidR="00000000" w:rsidRPr="005A4F3B" w:rsidP="005A4F3B">
            <w:pPr>
              <w:pStyle w:val="ListBullet"/>
            </w:pPr>
            <w:r w:rsidRPr="005A4F3B">
              <w:t>applicable commonwealth, state and territory legislation which affects work such as:</w:t>
            </w:r>
          </w:p>
          <w:p w:rsidR="00000000" w:rsidRPr="005A4F3B" w:rsidP="005A4F3B">
            <w:pPr>
              <w:pStyle w:val="ListBullet2"/>
            </w:pPr>
            <w:r w:rsidRPr="005A4F3B">
              <w:t>workplace safety</w:t>
            </w:r>
          </w:p>
          <w:p w:rsidR="00000000" w:rsidRPr="005A4F3B" w:rsidP="005A4F3B">
            <w:pPr>
              <w:pStyle w:val="ListBullet2"/>
            </w:pPr>
            <w:r w:rsidRPr="005A4F3B">
              <w:t>environmental issues</w:t>
            </w:r>
          </w:p>
          <w:p w:rsidR="00000000" w:rsidRPr="005A4F3B" w:rsidP="005A4F3B">
            <w:pPr>
              <w:pStyle w:val="ListBullet2"/>
            </w:pPr>
            <w:r w:rsidRPr="005A4F3B">
              <w:t>equal employment opportunity</w:t>
            </w:r>
          </w:p>
          <w:p w:rsidR="00000000" w:rsidRPr="005A4F3B" w:rsidP="005A4F3B">
            <w:pPr>
              <w:pStyle w:val="ListBullet2"/>
            </w:pPr>
            <w:r w:rsidRPr="005A4F3B">
              <w:t>industrial relations</w:t>
            </w:r>
          </w:p>
          <w:p w:rsidR="00000000" w:rsidRPr="005A4F3B" w:rsidP="005A4F3B">
            <w:pPr>
              <w:pStyle w:val="ListBullet2"/>
            </w:pPr>
            <w:r w:rsidRPr="005A4F3B">
              <w:t>anti-discrimination and diversity</w:t>
            </w:r>
          </w:p>
          <w:p w:rsidR="00000000" w:rsidRPr="005A4F3B" w:rsidP="005A4F3B">
            <w:pPr>
              <w:pStyle w:val="ListBullet"/>
            </w:pPr>
            <w:r w:rsidRPr="005A4F3B">
              <w:t>Australian building codes and regulations</w:t>
            </w:r>
          </w:p>
          <w:p w:rsidR="00000000" w:rsidRPr="005A4F3B" w:rsidP="005A4F3B">
            <w:pPr>
              <w:pStyle w:val="ListBullet"/>
            </w:pPr>
            <w:r w:rsidRPr="005A4F3B">
              <w:t xml:space="preserve">Australian Communications Authority cabling standards </w:t>
            </w:r>
          </w:p>
          <w:p w:rsidR="00000000" w:rsidRPr="005A4F3B" w:rsidP="005A4F3B">
            <w:pPr>
              <w:pStyle w:val="ListBullet"/>
            </w:pPr>
            <w:r w:rsidRPr="005A4F3B">
              <w:t>Australian standards and quality assurance requirements</w:t>
            </w:r>
          </w:p>
          <w:p w:rsidR="00000000" w:rsidRPr="005A4F3B" w:rsidP="005A4F3B">
            <w:pPr>
              <w:pStyle w:val="ListBullet"/>
            </w:pPr>
            <w:r w:rsidRPr="005A4F3B">
              <w:t>award and enterprise agreements</w:t>
            </w:r>
          </w:p>
          <w:p w:rsidR="00000000" w:rsidRPr="005A4F3B" w:rsidP="005A4F3B">
            <w:pPr>
              <w:pStyle w:val="ListBullet"/>
            </w:pPr>
            <w:r w:rsidRPr="005A4F3B">
              <w:t>evidence collection</w:t>
            </w:r>
          </w:p>
          <w:p w:rsidR="00000000" w:rsidRPr="005A4F3B" w:rsidP="005A4F3B">
            <w:pPr>
              <w:pStyle w:val="ListBullet"/>
            </w:pPr>
            <w:r w:rsidRPr="005A4F3B">
              <w:t>freedom of information</w:t>
            </w:r>
          </w:p>
          <w:p w:rsidR="00000000" w:rsidRPr="005A4F3B" w:rsidP="005A4F3B">
            <w:pPr>
              <w:pStyle w:val="ListBullet"/>
            </w:pPr>
            <w:r w:rsidRPr="005A4F3B">
              <w:t>licensing arrangements and c</w:t>
            </w:r>
            <w:r w:rsidRPr="005A4F3B">
              <w:t>ertification requirements</w:t>
            </w:r>
          </w:p>
          <w:p w:rsidR="00000000" w:rsidRPr="005A4F3B" w:rsidP="005A4F3B">
            <w:pPr>
              <w:pStyle w:val="ListBullet"/>
            </w:pPr>
            <w:r w:rsidRPr="005A4F3B">
              <w:t>privacy requirements</w:t>
            </w:r>
          </w:p>
          <w:p w:rsidR="00000000" w:rsidRPr="005A4F3B" w:rsidP="005A4F3B">
            <w:pPr>
              <w:pStyle w:val="ListBullet"/>
            </w:pPr>
            <w:r w:rsidRPr="005A4F3B">
              <w:t xml:space="preserve">relevant industry codes of practice </w:t>
            </w:r>
          </w:p>
          <w:p w:rsidR="00000000" w:rsidRPr="005A4F3B" w:rsidP="005A4F3B">
            <w:pPr>
              <w:pStyle w:val="ListBullet"/>
            </w:pPr>
            <w:r w:rsidRPr="005A4F3B">
              <w:t>telecommunications</w:t>
            </w:r>
          </w:p>
          <w:p w:rsidR="00000000" w:rsidP="005A4F3B">
            <w:pPr>
              <w:pStyle w:val="ListBullet"/>
              <w:rPr>
                <w:lang w:val="en-NZ"/>
              </w:rPr>
            </w:pPr>
            <w:r w:rsidRPr="005A4F3B">
              <w:t>trade practices.</w:t>
            </w:r>
          </w:p>
        </w:tc>
      </w:tr>
      <w:tr w:rsidTr="00B741B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rPr>
                <w:rStyle w:val="BoldandItalics"/>
              </w:rPr>
              <w:t>Organisational requirements may relate to</w:t>
            </w:r>
            <w:r w:rsidRPr="005A4F3B">
              <w:t>:</w:t>
            </w:r>
          </w:p>
        </w:tc>
        <w:tc>
          <w:tcPr>
            <w:tcW w:w="6110" w:type="dxa"/>
            <w:tcBorders>
              <w:top w:val="nil"/>
              <w:left w:val="nil"/>
              <w:bottom w:val="nil"/>
              <w:right w:val="nil"/>
            </w:tcBorders>
            <w:tcMar>
              <w:top w:w="0" w:type="dxa"/>
              <w:left w:w="62" w:type="dxa"/>
              <w:bottom w:w="0" w:type="dxa"/>
              <w:right w:w="62" w:type="dxa"/>
            </w:tcMar>
          </w:tcPr>
          <w:p w:rsidR="00000000" w:rsidRPr="005A4F3B" w:rsidP="005A4F3B">
            <w:pPr>
              <w:pStyle w:val="ListBullet"/>
            </w:pPr>
            <w:r w:rsidRPr="005A4F3B">
              <w:t>access and equity policies, principles and practices</w:t>
            </w:r>
          </w:p>
          <w:p w:rsidR="00000000" w:rsidRPr="005A4F3B" w:rsidP="005A4F3B">
            <w:pPr>
              <w:pStyle w:val="ListBullet"/>
            </w:pPr>
            <w:r w:rsidRPr="005A4F3B">
              <w:t>business and performance plans</w:t>
            </w:r>
          </w:p>
          <w:p w:rsidR="00000000" w:rsidRPr="005A4F3B" w:rsidP="005A4F3B">
            <w:pPr>
              <w:pStyle w:val="ListBullet"/>
            </w:pPr>
            <w:r w:rsidRPr="005A4F3B">
              <w:t>client service standards</w:t>
            </w:r>
          </w:p>
          <w:p w:rsidR="00000000" w:rsidRPr="005A4F3B" w:rsidP="005A4F3B">
            <w:pPr>
              <w:pStyle w:val="ListBullet"/>
            </w:pPr>
            <w:r w:rsidRPr="005A4F3B">
              <w:t>code of conduct, code of ethics</w:t>
            </w:r>
          </w:p>
          <w:p w:rsidR="00000000" w:rsidRPr="005A4F3B" w:rsidP="005A4F3B">
            <w:pPr>
              <w:pStyle w:val="ListBullet"/>
            </w:pPr>
            <w:r w:rsidRPr="005A4F3B">
              <w:t>communication and reporting procedures</w:t>
            </w:r>
          </w:p>
          <w:p w:rsidR="00000000" w:rsidRPr="005A4F3B" w:rsidP="005A4F3B">
            <w:pPr>
              <w:pStyle w:val="ListBullet"/>
            </w:pPr>
            <w:r w:rsidRPr="005A4F3B">
              <w:t>complaint and dispute resolution procedures</w:t>
            </w:r>
          </w:p>
          <w:p w:rsidR="00000000" w:rsidRPr="005A4F3B" w:rsidP="005A4F3B">
            <w:pPr>
              <w:pStyle w:val="ListBullet"/>
            </w:pPr>
            <w:r w:rsidRPr="005A4F3B">
              <w:t>emergency and evacuation procedures</w:t>
            </w:r>
          </w:p>
          <w:p w:rsidR="00000000" w:rsidRPr="005A4F3B" w:rsidP="005A4F3B">
            <w:pPr>
              <w:pStyle w:val="ListBullet"/>
            </w:pPr>
            <w:r w:rsidRPr="005A4F3B">
              <w:t xml:space="preserve">employer and employee rights and responsibilities </w:t>
            </w:r>
          </w:p>
          <w:p w:rsidR="00000000" w:rsidRPr="005A4F3B" w:rsidP="005A4F3B">
            <w:pPr>
              <w:pStyle w:val="ListBullet"/>
            </w:pPr>
            <w:r w:rsidRPr="005A4F3B">
              <w:t xml:space="preserve">OHS policies, procedures and </w:t>
            </w:r>
            <w:r w:rsidRPr="005A4F3B">
              <w:t>programs</w:t>
            </w:r>
          </w:p>
          <w:p w:rsidR="00000000" w:rsidRPr="005A4F3B" w:rsidP="005A4F3B">
            <w:pPr>
              <w:pStyle w:val="ListBullet"/>
            </w:pPr>
            <w:r w:rsidRPr="005A4F3B">
              <w:t xml:space="preserve">own role, responsibility and authority </w:t>
            </w:r>
          </w:p>
          <w:p w:rsidR="00000000" w:rsidRPr="005A4F3B" w:rsidP="005A4F3B">
            <w:pPr>
              <w:pStyle w:val="ListBullet"/>
            </w:pPr>
            <w:r w:rsidRPr="005A4F3B">
              <w:t>personal and professional development</w:t>
            </w:r>
          </w:p>
          <w:p w:rsidR="00000000" w:rsidRPr="005A4F3B" w:rsidP="005A4F3B">
            <w:pPr>
              <w:pStyle w:val="ListBullet"/>
            </w:pPr>
            <w:r w:rsidRPr="005A4F3B">
              <w:t>privacy and confidentiality of information</w:t>
            </w:r>
          </w:p>
          <w:p w:rsidR="00000000" w:rsidRPr="005A4F3B" w:rsidP="005A4F3B">
            <w:pPr>
              <w:pStyle w:val="ListBullet"/>
            </w:pPr>
            <w:r w:rsidRPr="005A4F3B">
              <w:t>quality assurance and continuous improvement processes and standards</w:t>
            </w:r>
          </w:p>
          <w:p w:rsidR="00000000" w:rsidRPr="005A4F3B" w:rsidP="005A4F3B">
            <w:pPr>
              <w:pStyle w:val="ListBullet"/>
            </w:pPr>
            <w:r w:rsidRPr="005A4F3B">
              <w:t>resource parameters and procedures</w:t>
            </w:r>
          </w:p>
          <w:p w:rsidR="00000000" w:rsidRPr="005A4F3B" w:rsidP="005A4F3B">
            <w:pPr>
              <w:pStyle w:val="ListBullet"/>
            </w:pPr>
            <w:r w:rsidRPr="005A4F3B">
              <w:t>roles, functions and responsibilities of security personnel</w:t>
            </w:r>
          </w:p>
          <w:p w:rsidR="00000000" w:rsidP="005A4F3B">
            <w:pPr>
              <w:pStyle w:val="ListBullet"/>
              <w:rPr>
                <w:lang w:val="en-NZ"/>
              </w:rPr>
            </w:pPr>
            <w:r w:rsidRPr="005A4F3B">
              <w:t>storage and disposal of information.</w:t>
            </w:r>
          </w:p>
        </w:tc>
      </w:tr>
      <w:tr w:rsidTr="00B741B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rPr>
                <w:rStyle w:val="BoldandItalics"/>
              </w:rPr>
              <w:t>Assignment instructions</w:t>
            </w:r>
            <w:r w:rsidRPr="005A4F3B">
              <w:t xml:space="preserve"> </w:t>
            </w:r>
            <w:r w:rsidRPr="005A4F3B">
              <w:rPr>
                <w:rStyle w:val="SpecialBold"/>
              </w:rPr>
              <w:t>may include</w:t>
            </w:r>
            <w:r w:rsidRPr="005A4F3B">
              <w:t>:</w:t>
            </w:r>
          </w:p>
        </w:tc>
        <w:tc>
          <w:tcPr>
            <w:tcW w:w="6110" w:type="dxa"/>
            <w:tcBorders>
              <w:top w:val="nil"/>
              <w:left w:val="nil"/>
              <w:bottom w:val="nil"/>
              <w:right w:val="nil"/>
            </w:tcBorders>
            <w:tcMar>
              <w:top w:w="0" w:type="dxa"/>
              <w:left w:w="62" w:type="dxa"/>
              <w:bottom w:w="0" w:type="dxa"/>
              <w:right w:w="62" w:type="dxa"/>
            </w:tcMar>
          </w:tcPr>
          <w:p w:rsidR="00000000" w:rsidRPr="005A4F3B" w:rsidP="005A4F3B">
            <w:pPr>
              <w:pStyle w:val="ListBullet"/>
            </w:pPr>
            <w:r w:rsidRPr="005A4F3B">
              <w:t>change of shift procedures</w:t>
            </w:r>
          </w:p>
          <w:p w:rsidR="00000000" w:rsidRPr="005A4F3B" w:rsidP="005A4F3B">
            <w:pPr>
              <w:pStyle w:val="ListBullet"/>
            </w:pPr>
            <w:r w:rsidRPr="005A4F3B">
              <w:t>equipment, tools and material information:</w:t>
            </w:r>
          </w:p>
          <w:p w:rsidR="00000000" w:rsidRPr="005A4F3B" w:rsidP="005A4F3B">
            <w:pPr>
              <w:pStyle w:val="ListBullet2"/>
            </w:pPr>
            <w:r w:rsidRPr="005A4F3B">
              <w:t>features, functions and capabilities</w:t>
            </w:r>
          </w:p>
          <w:p w:rsidR="00000000" w:rsidRPr="005A4F3B" w:rsidP="005A4F3B">
            <w:pPr>
              <w:pStyle w:val="ListBullet2"/>
            </w:pPr>
            <w:r w:rsidRPr="005A4F3B">
              <w:t>manufacturer's instructions</w:t>
            </w:r>
          </w:p>
          <w:p w:rsidR="00000000" w:rsidRPr="005A4F3B" w:rsidP="005A4F3B">
            <w:pPr>
              <w:pStyle w:val="ListBullet2"/>
            </w:pPr>
            <w:r w:rsidRPr="005A4F3B">
              <w:t>warranties and guarantees</w:t>
            </w:r>
          </w:p>
          <w:p w:rsidR="00000000" w:rsidRPr="005A4F3B" w:rsidP="005A4F3B">
            <w:pPr>
              <w:pStyle w:val="ListBullet"/>
            </w:pPr>
            <w:r w:rsidRPr="005A4F3B">
              <w:t>personal protection clothing and equipment requirements</w:t>
            </w:r>
          </w:p>
          <w:p w:rsidR="00000000" w:rsidRPr="005A4F3B" w:rsidP="005A4F3B">
            <w:pPr>
              <w:pStyle w:val="ListBullet"/>
            </w:pPr>
            <w:r w:rsidRPr="005A4F3B">
              <w:t>reporting requirements</w:t>
            </w:r>
          </w:p>
          <w:p w:rsidR="00000000" w:rsidRPr="005A4F3B" w:rsidP="005A4F3B">
            <w:pPr>
              <w:pStyle w:val="ListBullet"/>
            </w:pPr>
            <w:r w:rsidRPr="005A4F3B">
              <w:t>response procedures</w:t>
            </w:r>
          </w:p>
          <w:p w:rsidR="00000000" w:rsidRPr="005A4F3B" w:rsidP="005A4F3B">
            <w:pPr>
              <w:pStyle w:val="ListBullet"/>
            </w:pPr>
            <w:r w:rsidRPr="005A4F3B">
              <w:t>security equipment and system information</w:t>
            </w:r>
          </w:p>
          <w:p w:rsidR="00000000" w:rsidRPr="005A4F3B" w:rsidP="005A4F3B">
            <w:pPr>
              <w:pStyle w:val="ListBullet"/>
            </w:pPr>
            <w:r w:rsidRPr="005A4F3B">
              <w:t>specific client requirements</w:t>
            </w:r>
          </w:p>
          <w:p w:rsidR="00000000" w:rsidRPr="005A4F3B" w:rsidP="005A4F3B">
            <w:pPr>
              <w:pStyle w:val="ListBullet"/>
            </w:pPr>
            <w:r w:rsidRPr="005A4F3B">
              <w:t>work schedules</w:t>
            </w:r>
          </w:p>
          <w:p w:rsidR="00000000" w:rsidP="005A4F3B">
            <w:pPr>
              <w:pStyle w:val="ListBullet"/>
              <w:rPr>
                <w:lang w:val="en-NZ"/>
              </w:rPr>
            </w:pPr>
            <w:r w:rsidRPr="005A4F3B">
              <w:t>work tasks and p</w:t>
            </w:r>
            <w:r w:rsidRPr="005A4F3B">
              <w:t>rocedures.</w:t>
            </w:r>
          </w:p>
        </w:tc>
      </w:tr>
      <w:tr w:rsidTr="00B741B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rPr>
                <w:rStyle w:val="BoldandItalics"/>
              </w:rPr>
              <w:t>Security equipment and systems may include</w:t>
            </w:r>
            <w:r w:rsidRPr="005A4F3B">
              <w:t>:</w:t>
            </w:r>
          </w:p>
        </w:tc>
        <w:tc>
          <w:tcPr>
            <w:tcW w:w="6110" w:type="dxa"/>
            <w:tcBorders>
              <w:top w:val="nil"/>
              <w:left w:val="nil"/>
              <w:bottom w:val="nil"/>
              <w:right w:val="nil"/>
            </w:tcBorders>
            <w:tcMar>
              <w:top w:w="0" w:type="dxa"/>
              <w:left w:w="62" w:type="dxa"/>
              <w:bottom w:w="0" w:type="dxa"/>
              <w:right w:w="62" w:type="dxa"/>
            </w:tcMar>
          </w:tcPr>
          <w:p w:rsidR="00000000" w:rsidRPr="005A4F3B" w:rsidP="005A4F3B">
            <w:pPr>
              <w:pStyle w:val="ListBullet"/>
            </w:pPr>
            <w:r w:rsidRPr="005A4F3B">
              <w:t>access control systems</w:t>
            </w:r>
          </w:p>
          <w:p w:rsidR="00000000" w:rsidRPr="005A4F3B" w:rsidP="005A4F3B">
            <w:pPr>
              <w:pStyle w:val="ListBullet"/>
            </w:pPr>
            <w:r w:rsidRPr="005A4F3B">
              <w:t>audible and visual warning devices</w:t>
            </w:r>
          </w:p>
          <w:p w:rsidR="00000000" w:rsidRPr="005A4F3B" w:rsidP="005A4F3B">
            <w:pPr>
              <w:pStyle w:val="ListBullet"/>
            </w:pPr>
            <w:r w:rsidRPr="005A4F3B">
              <w:t>cameras and monitors</w:t>
            </w:r>
          </w:p>
          <w:p w:rsidR="00000000" w:rsidRPr="005A4F3B" w:rsidP="005A4F3B">
            <w:pPr>
              <w:pStyle w:val="ListBullet"/>
            </w:pPr>
            <w:r w:rsidRPr="005A4F3B">
              <w:t>commercial and residential alarm systems</w:t>
            </w:r>
          </w:p>
          <w:p w:rsidR="00000000" w:rsidRPr="005A4F3B" w:rsidP="005A4F3B">
            <w:pPr>
              <w:pStyle w:val="ListBullet"/>
            </w:pPr>
            <w:r w:rsidRPr="005A4F3B">
              <w:t>detection devices</w:t>
            </w:r>
          </w:p>
          <w:p w:rsidR="00000000" w:rsidRPr="005A4F3B" w:rsidP="005A4F3B">
            <w:pPr>
              <w:pStyle w:val="ListBullet"/>
            </w:pPr>
            <w:r w:rsidRPr="005A4F3B">
              <w:t>electric and mechanical fire safety and fire locking systems</w:t>
            </w:r>
          </w:p>
          <w:p w:rsidR="00000000" w:rsidRPr="005A4F3B" w:rsidP="005A4F3B">
            <w:pPr>
              <w:pStyle w:val="ListBullet"/>
            </w:pPr>
            <w:r w:rsidRPr="005A4F3B">
              <w:t>electronic locks and locking systems</w:t>
            </w:r>
          </w:p>
          <w:p w:rsidR="00000000" w:rsidRPr="005A4F3B" w:rsidP="005A4F3B">
            <w:pPr>
              <w:pStyle w:val="ListBullet"/>
            </w:pPr>
            <w:r w:rsidRPr="005A4F3B">
              <w:t>electronic readers</w:t>
            </w:r>
          </w:p>
          <w:p w:rsidR="00000000" w:rsidRPr="005A4F3B" w:rsidP="005A4F3B">
            <w:pPr>
              <w:pStyle w:val="ListBullet"/>
            </w:pPr>
            <w:r w:rsidRPr="005A4F3B">
              <w:t>electronic screen equipment</w:t>
            </w:r>
          </w:p>
          <w:p w:rsidR="00000000" w:rsidRPr="005A4F3B" w:rsidP="005A4F3B">
            <w:pPr>
              <w:pStyle w:val="ListBullet"/>
            </w:pPr>
            <w:r w:rsidRPr="005A4F3B">
              <w:t>intercoms and control panels</w:t>
            </w:r>
          </w:p>
          <w:p w:rsidR="00000000" w:rsidRPr="005A4F3B" w:rsidP="005A4F3B">
            <w:pPr>
              <w:pStyle w:val="ListBullet"/>
            </w:pPr>
            <w:r w:rsidRPr="005A4F3B">
              <w:t>security doors and door controls</w:t>
            </w:r>
          </w:p>
          <w:p w:rsidR="00000000" w:rsidP="005A4F3B">
            <w:pPr>
              <w:pStyle w:val="ListBullet"/>
              <w:rPr>
                <w:lang w:val="en-NZ"/>
              </w:rPr>
            </w:pPr>
            <w:r w:rsidRPr="005A4F3B">
              <w:t>specialised access control systems eg biometrics.</w:t>
            </w:r>
          </w:p>
        </w:tc>
      </w:tr>
      <w:tr w:rsidTr="00B741B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rPr>
                <w:rStyle w:val="BoldandItalics"/>
              </w:rPr>
              <w:t>Monitoring parameters may relate to</w:t>
            </w:r>
            <w:r w:rsidRPr="005A4F3B">
              <w:t>:</w:t>
            </w:r>
          </w:p>
        </w:tc>
        <w:tc>
          <w:tcPr>
            <w:tcW w:w="6110" w:type="dxa"/>
            <w:tcBorders>
              <w:top w:val="nil"/>
              <w:left w:val="nil"/>
              <w:bottom w:val="nil"/>
              <w:right w:val="nil"/>
            </w:tcBorders>
            <w:tcMar>
              <w:top w:w="0" w:type="dxa"/>
              <w:left w:w="62" w:type="dxa"/>
              <w:bottom w:w="0" w:type="dxa"/>
              <w:right w:w="62" w:type="dxa"/>
            </w:tcMar>
          </w:tcPr>
          <w:p w:rsidR="00000000" w:rsidRPr="005A4F3B" w:rsidP="005A4F3B">
            <w:pPr>
              <w:pStyle w:val="ListBullet"/>
            </w:pPr>
            <w:r w:rsidRPr="005A4F3B">
              <w:t xml:space="preserve">functions monitored </w:t>
            </w:r>
          </w:p>
          <w:p w:rsidR="00000000" w:rsidRPr="005A4F3B" w:rsidP="005A4F3B">
            <w:pPr>
              <w:pStyle w:val="ListBullet2"/>
            </w:pPr>
            <w:r w:rsidRPr="005A4F3B">
              <w:t>alarms</w:t>
            </w:r>
          </w:p>
          <w:p w:rsidR="00000000" w:rsidRPr="005A4F3B" w:rsidP="005A4F3B">
            <w:pPr>
              <w:pStyle w:val="ListBullet2"/>
            </w:pPr>
            <w:r w:rsidRPr="005A4F3B">
              <w:t>access times</w:t>
            </w:r>
          </w:p>
          <w:p w:rsidR="00000000" w:rsidRPr="005A4F3B" w:rsidP="005A4F3B">
            <w:pPr>
              <w:pStyle w:val="ListBullet2"/>
            </w:pPr>
            <w:r w:rsidRPr="005A4F3B">
              <w:t>levels of access</w:t>
            </w:r>
          </w:p>
          <w:p w:rsidR="00000000" w:rsidRPr="005A4F3B" w:rsidP="005A4F3B">
            <w:pPr>
              <w:pStyle w:val="ListBullet2"/>
            </w:pPr>
            <w:r w:rsidRPr="005A4F3B">
              <w:t>identity of person gaining access</w:t>
            </w:r>
          </w:p>
          <w:p w:rsidR="00000000" w:rsidRPr="005A4F3B" w:rsidP="005A4F3B">
            <w:pPr>
              <w:pStyle w:val="ListBullet"/>
            </w:pPr>
            <w:r w:rsidRPr="005A4F3B">
              <w:t>levels of integrity of systems</w:t>
            </w:r>
          </w:p>
          <w:p w:rsidR="00000000" w:rsidRPr="005A4F3B" w:rsidP="005A4F3B">
            <w:pPr>
              <w:pStyle w:val="ListBullet"/>
            </w:pPr>
            <w:r w:rsidRPr="005A4F3B">
              <w:t xml:space="preserve">passwords and codes </w:t>
            </w:r>
          </w:p>
          <w:p w:rsidR="00000000" w:rsidRPr="005A4F3B" w:rsidP="005A4F3B">
            <w:pPr>
              <w:pStyle w:val="ListBullet"/>
            </w:pPr>
            <w:r w:rsidRPr="005A4F3B">
              <w:t>recording functions</w:t>
            </w:r>
          </w:p>
          <w:p w:rsidR="00000000" w:rsidRPr="005A4F3B" w:rsidP="005A4F3B">
            <w:pPr>
              <w:pStyle w:val="ListBullet"/>
            </w:pPr>
            <w:r w:rsidRPr="005A4F3B">
              <w:t>response requirements</w:t>
            </w:r>
          </w:p>
          <w:p w:rsidR="00000000" w:rsidRPr="005A4F3B" w:rsidP="005A4F3B">
            <w:pPr>
              <w:pStyle w:val="ListBullet2"/>
            </w:pPr>
            <w:r w:rsidRPr="005A4F3B">
              <w:t>people to contact</w:t>
            </w:r>
          </w:p>
          <w:p w:rsidR="00000000" w:rsidRPr="005A4F3B" w:rsidP="005A4F3B">
            <w:pPr>
              <w:pStyle w:val="ListBullet2"/>
            </w:pPr>
            <w:r w:rsidRPr="005A4F3B">
              <w:t>emergency services to contact</w:t>
            </w:r>
          </w:p>
          <w:p w:rsidR="00000000" w:rsidRPr="005A4F3B" w:rsidP="005A4F3B">
            <w:pPr>
              <w:pStyle w:val="ListBullet2"/>
            </w:pPr>
            <w:r w:rsidRPr="005A4F3B">
              <w:t>armed guard or patrol send out</w:t>
            </w:r>
          </w:p>
          <w:p w:rsidR="00000000" w:rsidRPr="005A4F3B" w:rsidP="005A4F3B">
            <w:pPr>
              <w:pStyle w:val="ListBullet2"/>
            </w:pPr>
            <w:r w:rsidRPr="005A4F3B">
              <w:t>no act</w:t>
            </w:r>
            <w:r w:rsidRPr="005A4F3B">
              <w:t xml:space="preserve">ion </w:t>
            </w:r>
          </w:p>
          <w:p w:rsidR="00000000" w:rsidP="005A4F3B">
            <w:pPr>
              <w:pStyle w:val="ListBullet"/>
              <w:rPr>
                <w:lang w:val="en-NZ"/>
              </w:rPr>
            </w:pPr>
            <w:r w:rsidRPr="005A4F3B">
              <w:t>testing and report functions.</w:t>
            </w:r>
          </w:p>
        </w:tc>
      </w:tr>
      <w:tr w:rsidTr="00B741B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rPr>
                <w:rStyle w:val="BoldandItalics"/>
              </w:rPr>
              <w:t>Data and information</w:t>
            </w:r>
            <w:r w:rsidRPr="005A4F3B">
              <w:t xml:space="preserve"> </w:t>
            </w:r>
            <w:r w:rsidRPr="005A4F3B">
              <w:rPr>
                <w:rStyle w:val="SpecialBold"/>
              </w:rPr>
              <w:t>may relate to</w:t>
            </w:r>
            <w:r w:rsidRPr="005A4F3B">
              <w:t>:</w:t>
            </w:r>
          </w:p>
        </w:tc>
        <w:tc>
          <w:tcPr>
            <w:tcW w:w="6110" w:type="dxa"/>
            <w:tcBorders>
              <w:top w:val="nil"/>
              <w:left w:val="nil"/>
              <w:bottom w:val="nil"/>
              <w:right w:val="nil"/>
            </w:tcBorders>
            <w:tcMar>
              <w:top w:w="0" w:type="dxa"/>
              <w:left w:w="62" w:type="dxa"/>
              <w:bottom w:w="0" w:type="dxa"/>
              <w:right w:w="62" w:type="dxa"/>
            </w:tcMar>
          </w:tcPr>
          <w:p w:rsidR="00000000" w:rsidRPr="005A4F3B" w:rsidP="005A4F3B">
            <w:pPr>
              <w:pStyle w:val="ListBullet"/>
            </w:pPr>
            <w:r w:rsidRPr="005A4F3B">
              <w:t>AC power fail or low battery</w:t>
            </w:r>
          </w:p>
          <w:p w:rsidR="00000000" w:rsidRPr="005A4F3B" w:rsidP="005A4F3B">
            <w:pPr>
              <w:pStyle w:val="ListBullet"/>
            </w:pPr>
            <w:r w:rsidRPr="005A4F3B">
              <w:t>alarms</w:t>
            </w:r>
          </w:p>
          <w:p w:rsidR="00000000" w:rsidRPr="005A4F3B" w:rsidP="005A4F3B">
            <w:pPr>
              <w:pStyle w:val="ListBullet2"/>
            </w:pPr>
            <w:r w:rsidRPr="005A4F3B">
              <w:t>medical</w:t>
            </w:r>
          </w:p>
          <w:p w:rsidR="00000000" w:rsidRPr="005A4F3B" w:rsidP="005A4F3B">
            <w:pPr>
              <w:pStyle w:val="ListBullet2"/>
            </w:pPr>
            <w:r w:rsidRPr="005A4F3B">
              <w:t>fire</w:t>
            </w:r>
          </w:p>
          <w:p w:rsidR="00000000" w:rsidRPr="005A4F3B" w:rsidP="005A4F3B">
            <w:pPr>
              <w:pStyle w:val="ListBullet2"/>
            </w:pPr>
            <w:r w:rsidRPr="005A4F3B">
              <w:t>duress</w:t>
            </w:r>
          </w:p>
          <w:p w:rsidR="00000000" w:rsidRPr="005A4F3B" w:rsidP="005A4F3B">
            <w:pPr>
              <w:pStyle w:val="ListBullet2"/>
            </w:pPr>
            <w:r w:rsidRPr="005A4F3B">
              <w:t>access</w:t>
            </w:r>
          </w:p>
          <w:p w:rsidR="00000000" w:rsidRPr="005A4F3B" w:rsidP="005A4F3B">
            <w:pPr>
              <w:pStyle w:val="ListBullet2"/>
            </w:pPr>
            <w:r w:rsidRPr="005A4F3B">
              <w:t>hold-up</w:t>
            </w:r>
          </w:p>
          <w:p w:rsidR="00000000" w:rsidRPr="005A4F3B" w:rsidP="005A4F3B">
            <w:pPr>
              <w:pStyle w:val="ListBullet2"/>
            </w:pPr>
            <w:r w:rsidRPr="005A4F3B">
              <w:t>intruder</w:t>
            </w:r>
          </w:p>
          <w:p w:rsidR="00000000" w:rsidRPr="005A4F3B" w:rsidP="005A4F3B">
            <w:pPr>
              <w:pStyle w:val="ListBullet"/>
            </w:pPr>
            <w:r w:rsidRPr="005A4F3B">
              <w:t>isolations</w:t>
            </w:r>
          </w:p>
          <w:p w:rsidR="00000000" w:rsidRPr="005A4F3B" w:rsidP="005A4F3B">
            <w:pPr>
              <w:pStyle w:val="ListBullet"/>
            </w:pPr>
            <w:r w:rsidRPr="005A4F3B">
              <w:t>late to close or late to open</w:t>
            </w:r>
          </w:p>
          <w:p w:rsidR="00000000" w:rsidRPr="005A4F3B" w:rsidP="005A4F3B">
            <w:pPr>
              <w:pStyle w:val="ListBullet"/>
            </w:pPr>
            <w:r w:rsidRPr="005A4F3B">
              <w:t>plant and systems</w:t>
            </w:r>
          </w:p>
          <w:p w:rsidR="00000000" w:rsidRPr="005A4F3B" w:rsidP="005A4F3B">
            <w:pPr>
              <w:pStyle w:val="ListBullet"/>
            </w:pPr>
            <w:r w:rsidRPr="005A4F3B">
              <w:t>system messages</w:t>
            </w:r>
          </w:p>
          <w:p w:rsidR="00000000" w:rsidRPr="005A4F3B" w:rsidP="005A4F3B">
            <w:pPr>
              <w:pStyle w:val="ListBullet"/>
            </w:pPr>
            <w:r w:rsidRPr="005A4F3B">
              <w:t>tampering</w:t>
            </w:r>
          </w:p>
          <w:p w:rsidR="00000000" w:rsidRPr="005A4F3B" w:rsidP="005A4F3B">
            <w:pPr>
              <w:pStyle w:val="ListBullet"/>
            </w:pPr>
            <w:r w:rsidRPr="005A4F3B">
              <w:t>test signals</w:t>
            </w:r>
          </w:p>
          <w:p w:rsidR="00000000" w:rsidP="005A4F3B">
            <w:pPr>
              <w:pStyle w:val="ListBullet"/>
              <w:rPr>
                <w:lang w:val="en-NZ"/>
              </w:rPr>
            </w:pPr>
            <w:r w:rsidRPr="005A4F3B">
              <w:t>verbal and visual information</w:t>
            </w:r>
          </w:p>
        </w:tc>
      </w:tr>
      <w:tr w:rsidTr="00B741B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rPr>
                <w:rStyle w:val="BoldandItalics"/>
              </w:rPr>
              <w:t>Monitoring systems</w:t>
            </w:r>
            <w:r w:rsidRPr="005A4F3B">
              <w:t xml:space="preserve"> </w:t>
            </w:r>
            <w:r w:rsidRPr="005A4F3B">
              <w:rPr>
                <w:rStyle w:val="SpecialBold"/>
              </w:rPr>
              <w:t>may include</w:t>
            </w:r>
            <w:r w:rsidRPr="005A4F3B">
              <w:t>:</w:t>
            </w:r>
          </w:p>
        </w:tc>
        <w:tc>
          <w:tcPr>
            <w:tcW w:w="6110" w:type="dxa"/>
            <w:tcBorders>
              <w:top w:val="nil"/>
              <w:left w:val="nil"/>
              <w:bottom w:val="nil"/>
              <w:right w:val="nil"/>
            </w:tcBorders>
            <w:tcMar>
              <w:top w:w="0" w:type="dxa"/>
              <w:left w:w="62" w:type="dxa"/>
              <w:bottom w:w="0" w:type="dxa"/>
              <w:right w:w="62" w:type="dxa"/>
            </w:tcMar>
          </w:tcPr>
          <w:p w:rsidR="00000000" w:rsidRPr="005A4F3B" w:rsidP="005A4F3B">
            <w:pPr>
              <w:pStyle w:val="ListBullet"/>
            </w:pPr>
            <w:r w:rsidRPr="005A4F3B">
              <w:t>audio equipment</w:t>
            </w:r>
          </w:p>
          <w:p w:rsidR="00000000" w:rsidRPr="005A4F3B" w:rsidP="005A4F3B">
            <w:pPr>
              <w:pStyle w:val="ListBullet"/>
            </w:pPr>
            <w:r w:rsidRPr="005A4F3B">
              <w:t>computer terminal, screen and software</w:t>
            </w:r>
          </w:p>
          <w:p w:rsidR="00000000" w:rsidRPr="005A4F3B" w:rsidP="005A4F3B">
            <w:pPr>
              <w:pStyle w:val="ListBullet"/>
            </w:pPr>
            <w:r w:rsidRPr="005A4F3B">
              <w:t>digital receivers</w:t>
            </w:r>
          </w:p>
          <w:p w:rsidR="00000000" w:rsidRPr="005A4F3B" w:rsidP="005A4F3B">
            <w:pPr>
              <w:pStyle w:val="ListBullet"/>
            </w:pPr>
            <w:r w:rsidRPr="005A4F3B">
              <w:t>instrument panels</w:t>
            </w:r>
          </w:p>
          <w:p w:rsidR="00000000" w:rsidRPr="005A4F3B" w:rsidP="005A4F3B">
            <w:pPr>
              <w:pStyle w:val="ListBullet"/>
            </w:pPr>
            <w:r w:rsidRPr="005A4F3B">
              <w:t>intercoms</w:t>
            </w:r>
          </w:p>
          <w:p w:rsidR="00000000" w:rsidRPr="005A4F3B" w:rsidP="005A4F3B">
            <w:pPr>
              <w:pStyle w:val="ListBullet"/>
            </w:pPr>
            <w:r w:rsidRPr="005A4F3B">
              <w:t>monitors</w:t>
            </w:r>
          </w:p>
          <w:p w:rsidR="00000000" w:rsidRPr="005A4F3B" w:rsidP="005A4F3B">
            <w:pPr>
              <w:pStyle w:val="ListBullet"/>
            </w:pPr>
            <w:r w:rsidRPr="005A4F3B">
              <w:t>printouts</w:t>
            </w:r>
          </w:p>
          <w:p w:rsidR="00000000" w:rsidRPr="005A4F3B" w:rsidP="005A4F3B">
            <w:pPr>
              <w:pStyle w:val="ListBullet"/>
            </w:pPr>
            <w:r w:rsidRPr="005A4F3B">
              <w:t>radios</w:t>
            </w:r>
          </w:p>
          <w:p w:rsidR="00000000" w:rsidRPr="005A4F3B" w:rsidP="005A4F3B">
            <w:pPr>
              <w:pStyle w:val="ListBullet"/>
            </w:pPr>
            <w:r w:rsidRPr="005A4F3B">
              <w:t>telephones</w:t>
            </w:r>
          </w:p>
          <w:p w:rsidR="00000000" w:rsidRPr="005A4F3B" w:rsidP="005A4F3B">
            <w:pPr>
              <w:pStyle w:val="ListBullet"/>
            </w:pPr>
            <w:r w:rsidRPr="005A4F3B">
              <w:t>video cameras</w:t>
            </w:r>
          </w:p>
          <w:p w:rsidR="00000000" w:rsidP="005A4F3B">
            <w:pPr>
              <w:pStyle w:val="ListBullet"/>
              <w:rPr>
                <w:lang w:val="en-NZ"/>
              </w:rPr>
            </w:pPr>
            <w:r w:rsidRPr="005A4F3B">
              <w:t>video receivers.</w:t>
            </w:r>
          </w:p>
        </w:tc>
      </w:tr>
      <w:tr w:rsidTr="00B741B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rPr>
                <w:rStyle w:val="BoldandItalics"/>
              </w:rPr>
              <w:t>Communication channels and processes</w:t>
            </w:r>
            <w:r w:rsidRPr="005A4F3B">
              <w:t xml:space="preserve"> </w:t>
            </w:r>
            <w:r w:rsidRPr="005A4F3B">
              <w:rPr>
                <w:rStyle w:val="SpecialBold"/>
              </w:rPr>
              <w:t>may relate to</w:t>
            </w:r>
            <w:r w:rsidRPr="005A4F3B">
              <w:t xml:space="preserve">: </w:t>
            </w:r>
          </w:p>
        </w:tc>
        <w:tc>
          <w:tcPr>
            <w:tcW w:w="6110" w:type="dxa"/>
            <w:tcBorders>
              <w:top w:val="nil"/>
              <w:left w:val="nil"/>
              <w:bottom w:val="nil"/>
              <w:right w:val="nil"/>
            </w:tcBorders>
            <w:tcMar>
              <w:top w:w="0" w:type="dxa"/>
              <w:left w:w="62" w:type="dxa"/>
              <w:bottom w:w="0" w:type="dxa"/>
              <w:right w:w="62" w:type="dxa"/>
            </w:tcMar>
          </w:tcPr>
          <w:p w:rsidR="00000000" w:rsidRPr="005A4F3B" w:rsidP="005A4F3B">
            <w:pPr>
              <w:pStyle w:val="ListBullet"/>
            </w:pPr>
            <w:r w:rsidRPr="005A4F3B">
              <w:t>direct line supervision paths</w:t>
            </w:r>
          </w:p>
          <w:p w:rsidR="00000000" w:rsidRPr="005A4F3B" w:rsidP="005A4F3B">
            <w:pPr>
              <w:pStyle w:val="ListBullet"/>
            </w:pPr>
            <w:r w:rsidRPr="005A4F3B">
              <w:t>established communication protocols</w:t>
            </w:r>
          </w:p>
          <w:p w:rsidR="00000000" w:rsidRPr="005A4F3B" w:rsidP="005A4F3B">
            <w:pPr>
              <w:pStyle w:val="ListBullet"/>
            </w:pPr>
            <w:r w:rsidRPr="005A4F3B">
              <w:t>formal communication pathways</w:t>
            </w:r>
          </w:p>
          <w:p w:rsidR="00000000" w:rsidRPr="005A4F3B" w:rsidP="005A4F3B">
            <w:pPr>
              <w:pStyle w:val="ListBullet"/>
            </w:pPr>
            <w:r w:rsidRPr="005A4F3B">
              <w:t>lateral supervision paths</w:t>
            </w:r>
          </w:p>
          <w:p w:rsidR="00000000" w:rsidRPr="005A4F3B" w:rsidP="005A4F3B">
            <w:pPr>
              <w:pStyle w:val="ListBullet"/>
            </w:pPr>
            <w:r w:rsidRPr="005A4F3B">
              <w:t>organisational communication networks</w:t>
            </w:r>
          </w:p>
          <w:p w:rsidR="00000000" w:rsidP="005A4F3B">
            <w:pPr>
              <w:pStyle w:val="ListBullet"/>
              <w:rPr>
                <w:lang w:val="en-NZ"/>
              </w:rPr>
            </w:pPr>
            <w:r w:rsidRPr="005A4F3B">
              <w:t>verbal and non-verbal communication procedures eg pro-words, phonetic alphabet, call signs, coded messages, use of abbreviations, hand signals.</w:t>
            </w:r>
          </w:p>
        </w:tc>
      </w:tr>
      <w:tr w:rsidTr="00B741B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rPr>
                <w:rStyle w:val="BoldandItalics"/>
              </w:rPr>
              <w:t>Relevant persons</w:t>
            </w:r>
            <w:r w:rsidRPr="005A4F3B">
              <w:t xml:space="preserve"> </w:t>
            </w:r>
            <w:r w:rsidRPr="005A4F3B">
              <w:rPr>
                <w:rStyle w:val="SpecialBold"/>
              </w:rPr>
              <w:t>may include</w:t>
            </w:r>
            <w:r w:rsidRPr="005A4F3B">
              <w:t xml:space="preserve">: </w:t>
            </w:r>
          </w:p>
        </w:tc>
        <w:tc>
          <w:tcPr>
            <w:tcW w:w="6110" w:type="dxa"/>
            <w:tcBorders>
              <w:top w:val="nil"/>
              <w:left w:val="nil"/>
              <w:bottom w:val="nil"/>
              <w:right w:val="nil"/>
            </w:tcBorders>
            <w:tcMar>
              <w:top w:w="0" w:type="dxa"/>
              <w:left w:w="62" w:type="dxa"/>
              <w:bottom w:w="0" w:type="dxa"/>
              <w:right w:w="62" w:type="dxa"/>
            </w:tcMar>
          </w:tcPr>
          <w:p w:rsidR="00000000" w:rsidRPr="005A4F3B" w:rsidP="005A4F3B">
            <w:pPr>
              <w:pStyle w:val="ListBullet"/>
            </w:pPr>
            <w:r w:rsidRPr="005A4F3B">
              <w:t>clients</w:t>
            </w:r>
          </w:p>
          <w:p w:rsidR="00000000" w:rsidRPr="005A4F3B" w:rsidP="005A4F3B">
            <w:pPr>
              <w:pStyle w:val="ListBullet"/>
            </w:pPr>
            <w:r w:rsidRPr="005A4F3B">
              <w:t>colleagues</w:t>
            </w:r>
          </w:p>
          <w:p w:rsidR="00000000" w:rsidRPr="005A4F3B" w:rsidP="005A4F3B">
            <w:pPr>
              <w:pStyle w:val="ListBullet"/>
            </w:pPr>
            <w:r w:rsidRPr="005A4F3B">
              <w:t>equipment and systems manufacturers</w:t>
            </w:r>
          </w:p>
          <w:p w:rsidR="00000000" w:rsidRPr="005A4F3B" w:rsidP="005A4F3B">
            <w:pPr>
              <w:pStyle w:val="ListBullet"/>
            </w:pPr>
            <w:r w:rsidRPr="005A4F3B">
              <w:t>maintenance technician</w:t>
            </w:r>
          </w:p>
          <w:p w:rsidR="00000000" w:rsidRPr="005A4F3B" w:rsidP="005A4F3B">
            <w:pPr>
              <w:pStyle w:val="ListBullet"/>
            </w:pPr>
            <w:r w:rsidRPr="005A4F3B">
              <w:t>s</w:t>
            </w:r>
            <w:r w:rsidRPr="005A4F3B">
              <w:t>ecurity consultants</w:t>
            </w:r>
          </w:p>
          <w:p w:rsidR="00000000" w:rsidRPr="005A4F3B" w:rsidP="005A4F3B">
            <w:pPr>
              <w:pStyle w:val="ListBullet"/>
            </w:pPr>
            <w:r w:rsidRPr="005A4F3B">
              <w:t>security personnel</w:t>
            </w:r>
          </w:p>
          <w:p w:rsidR="00000000" w:rsidP="005A4F3B">
            <w:pPr>
              <w:pStyle w:val="ListBullet"/>
              <w:rPr>
                <w:lang w:val="en-NZ"/>
              </w:rPr>
            </w:pPr>
            <w:r w:rsidRPr="005A4F3B">
              <w:t>supervisor.</w:t>
            </w:r>
          </w:p>
        </w:tc>
      </w:tr>
      <w:tr w:rsidTr="00B741B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rPr>
                <w:rStyle w:val="BoldandItalics"/>
              </w:rPr>
              <w:t>Response</w:t>
            </w:r>
            <w:r w:rsidRPr="005A4F3B">
              <w:t xml:space="preserve"> </w:t>
            </w:r>
            <w:r w:rsidRPr="005A4F3B">
              <w:rPr>
                <w:rStyle w:val="SpecialBold"/>
              </w:rPr>
              <w:t>may involve</w:t>
            </w:r>
            <w:r w:rsidRPr="005A4F3B">
              <w:t>:</w:t>
            </w:r>
          </w:p>
        </w:tc>
        <w:tc>
          <w:tcPr>
            <w:tcW w:w="6110" w:type="dxa"/>
            <w:tcBorders>
              <w:top w:val="nil"/>
              <w:left w:val="nil"/>
              <w:bottom w:val="nil"/>
              <w:right w:val="nil"/>
            </w:tcBorders>
            <w:tcMar>
              <w:top w:w="0" w:type="dxa"/>
              <w:left w:w="62" w:type="dxa"/>
              <w:bottom w:w="0" w:type="dxa"/>
              <w:right w:w="62" w:type="dxa"/>
            </w:tcMar>
          </w:tcPr>
          <w:p w:rsidR="00000000" w:rsidRPr="005A4F3B" w:rsidP="005A4F3B">
            <w:pPr>
              <w:pStyle w:val="ListBullet"/>
            </w:pPr>
            <w:r w:rsidRPr="005A4F3B">
              <w:t xml:space="preserve">dispatching field support staff </w:t>
            </w:r>
          </w:p>
          <w:p w:rsidR="00000000" w:rsidRPr="005A4F3B" w:rsidP="005A4F3B">
            <w:pPr>
              <w:pStyle w:val="ListBullet"/>
            </w:pPr>
            <w:r w:rsidRPr="005A4F3B">
              <w:t>notifying emergency services</w:t>
            </w:r>
          </w:p>
          <w:p w:rsidR="00000000" w:rsidP="005A4F3B">
            <w:pPr>
              <w:pStyle w:val="ListBullet"/>
              <w:rPr>
                <w:lang w:val="en-NZ"/>
              </w:rPr>
            </w:pPr>
            <w:r w:rsidRPr="005A4F3B">
              <w:t>notifying relevant personnel.</w:t>
            </w:r>
          </w:p>
        </w:tc>
      </w:tr>
      <w:tr w:rsidTr="00B741B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rPr>
                <w:rStyle w:val="BoldandItalics"/>
              </w:rPr>
              <w:t>Documentation</w:t>
            </w:r>
            <w:r w:rsidRPr="005A4F3B">
              <w:t xml:space="preserve"> </w:t>
            </w:r>
            <w:r w:rsidRPr="005A4F3B">
              <w:rPr>
                <w:rStyle w:val="SpecialBold"/>
              </w:rPr>
              <w:t>may include</w:t>
            </w:r>
            <w:r w:rsidRPr="005A4F3B">
              <w:t>:</w:t>
            </w:r>
          </w:p>
        </w:tc>
        <w:tc>
          <w:tcPr>
            <w:tcW w:w="6110" w:type="dxa"/>
            <w:tcBorders>
              <w:top w:val="nil"/>
              <w:left w:val="nil"/>
              <w:bottom w:val="nil"/>
              <w:right w:val="nil"/>
            </w:tcBorders>
            <w:tcMar>
              <w:top w:w="0" w:type="dxa"/>
              <w:left w:w="62" w:type="dxa"/>
              <w:bottom w:w="0" w:type="dxa"/>
              <w:right w:w="62" w:type="dxa"/>
            </w:tcMar>
          </w:tcPr>
          <w:p w:rsidR="00000000" w:rsidRPr="005A4F3B" w:rsidP="005A4F3B">
            <w:pPr>
              <w:pStyle w:val="ListBullet"/>
            </w:pPr>
            <w:r w:rsidRPr="005A4F3B">
              <w:t>activity reports</w:t>
            </w:r>
          </w:p>
          <w:p w:rsidR="00000000" w:rsidRPr="005A4F3B" w:rsidP="005A4F3B">
            <w:pPr>
              <w:pStyle w:val="ListBullet"/>
            </w:pPr>
            <w:r w:rsidRPr="005A4F3B">
              <w:t xml:space="preserve">computer databases </w:t>
            </w:r>
          </w:p>
          <w:p w:rsidR="00000000" w:rsidRPr="005A4F3B" w:rsidP="005A4F3B">
            <w:pPr>
              <w:pStyle w:val="ListBullet"/>
            </w:pPr>
            <w:r w:rsidRPr="005A4F3B">
              <w:t>faulty or malfunctioning systems and equipment</w:t>
            </w:r>
          </w:p>
          <w:p w:rsidR="00000000" w:rsidRPr="005A4F3B" w:rsidP="005A4F3B">
            <w:pPr>
              <w:pStyle w:val="ListBullet"/>
            </w:pPr>
            <w:r w:rsidRPr="005A4F3B">
              <w:t>response reports</w:t>
            </w:r>
          </w:p>
          <w:p w:rsidR="00000000" w:rsidRPr="005A4F3B" w:rsidP="005A4F3B">
            <w:pPr>
              <w:pStyle w:val="ListBullet"/>
            </w:pPr>
            <w:r w:rsidRPr="005A4F3B">
              <w:t>voice and video recordings</w:t>
            </w:r>
          </w:p>
          <w:p w:rsidR="00000000" w:rsidRPr="005A4F3B" w:rsidP="005A4F3B">
            <w:pPr>
              <w:pStyle w:val="ListBullet"/>
            </w:pPr>
            <w:r w:rsidRPr="005A4F3B">
              <w:t>written and electronic reports.</w:t>
            </w:r>
          </w:p>
        </w:tc>
      </w:tr>
    </w:tbl>
    <w:p w:rsidR="00B741BD" w:rsidP="005A4F3B">
      <w:pPr>
        <w:pStyle w:val="BodyText"/>
      </w:pPr>
    </w:p>
    <w:p w:rsidR="00B741BD" w:rsidP="005A4F3B">
      <w:pPr>
        <w:pStyle w:val="BodyText"/>
      </w:pPr>
    </w:p>
    <w:p w:rsidR="00000000" w:rsidRPr="005A4F3B" w:rsidP="005A4F3B">
      <w:pPr>
        <w:pStyle w:val="Heading1"/>
      </w:pPr>
      <w:bookmarkStart w:id="12" w:name="O_201779"/>
      <w:bookmarkEnd w:id="12"/>
      <w:r w:rsidRPr="005A4F3B">
        <w:t>Unit Sector(s)</w:t>
      </w:r>
    </w:p>
    <w:tbl>
      <w:tblPr>
        <w:tblW w:w="0" w:type="auto"/>
        <w:tblLayout w:type="fixed"/>
        <w:tblCellMar>
          <w:left w:w="62" w:type="dxa"/>
          <w:right w:w="62" w:type="dxa"/>
        </w:tblCellMar>
        <w:tblLook w:val="0000"/>
      </w:tblPr>
      <w:tblGrid>
        <w:gridCol w:w="2391"/>
        <w:gridCol w:w="6131"/>
      </w:tblGrid>
      <w:tr w:rsidTr="00B741BD">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5A4F3B" w:rsidP="005A4F3B">
            <w:pPr>
              <w:pStyle w:val="BodyText"/>
            </w:pPr>
            <w:r w:rsidRPr="005A4F3B">
              <w:t>Security</w:t>
            </w:r>
          </w:p>
        </w:tc>
      </w:tr>
    </w:tbl>
    <w:p w:rsidR="00B741BD" w:rsidP="005A4F3B">
      <w:pPr>
        <w:pStyle w:val="BodyText"/>
      </w:pPr>
    </w:p>
    <w:p w:rsidR="00B741BD" w:rsidP="005A4F3B">
      <w:pPr>
        <w:pStyle w:val="BodyText"/>
      </w:pPr>
    </w:p>
    <w:p w:rsidR="00000000" w:rsidRPr="005A4F3B" w:rsidP="005A4F3B">
      <w:pPr>
        <w:pStyle w:val="Heading1"/>
      </w:pPr>
      <w:bookmarkStart w:id="13" w:name="O_201778"/>
      <w:bookmarkEnd w:id="13"/>
      <w:r w:rsidRPr="005A4F3B">
        <w:t>Competency field</w:t>
      </w:r>
    </w:p>
    <w:tbl>
      <w:tblPr>
        <w:tblW w:w="0" w:type="auto"/>
        <w:tblLayout w:type="fixed"/>
        <w:tblCellMar>
          <w:left w:w="62" w:type="dxa"/>
          <w:right w:w="62" w:type="dxa"/>
        </w:tblCellMar>
        <w:tblLook w:val="0000"/>
      </w:tblPr>
      <w:tblGrid>
        <w:gridCol w:w="2450"/>
        <w:gridCol w:w="6072"/>
      </w:tblGrid>
      <w:tr w:rsidTr="00B741BD">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5A4F3B">
            <w:pPr>
              <w:pStyle w:val="BodyText"/>
              <w:rPr>
                <w:lang w:val="en-NZ"/>
              </w:rPr>
            </w:pPr>
            <w:r w:rsidRPr="005A4F3B">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5A4F3B" w:rsidP="005A4F3B">
            <w:pPr>
              <w:pStyle w:val="BodyText"/>
            </w:pPr>
            <w:r w:rsidRPr="005A4F3B">
              <w:t>Technical security</w:t>
            </w:r>
          </w:p>
        </w:tc>
      </w:tr>
    </w:tbl>
    <w:p w:rsidR="00B741BD" w:rsidP="005A4F3B">
      <w:pPr>
        <w:pStyle w:val="BodyText"/>
      </w:pPr>
    </w:p>
    <w:p w:rsidR="00B741BD" w:rsidP="005A4F3B">
      <w:pPr>
        <w:pStyle w:val="BodyText"/>
      </w:pPr>
    </w:p>
    <w:p w:rsidR="00000000" w:rsidRPr="005A4F3B" w:rsidP="005A4F3B"/>
    <w:sectPr w:rsidSect="005A4F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F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41BD" w:rsidP="00B741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F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1BD" w:rsidP="005A4F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741BD" w:rsidP="005A4F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741BD" w:rsidP="005A4F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F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41BD" w:rsidP="00B741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F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1BD" w:rsidP="005A4F3B">
    <w:pPr>
      <w:pStyle w:val="Header"/>
      <w:framePr w:wrap="around"/>
    </w:pPr>
    <w:r>
      <w:fldChar w:fldCharType="begin"/>
    </w:r>
    <w:r>
      <w:instrText xml:space="preserve"> TITLE   \* MERGEFORMAT </w:instrText>
    </w:r>
    <w:r>
      <w:fldChar w:fldCharType="separate"/>
    </w:r>
    <w:r>
      <w:t>CPPSEC2024A Implement electronic monitoring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41BD" w:rsidP="005A4F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D071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7CD5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B437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F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4F3B"/>
    <w:pPr>
      <w:spacing w:before="360" w:after="60"/>
      <w:outlineLvl w:val="0"/>
    </w:pPr>
    <w:rPr>
      <w:sz w:val="32"/>
    </w:rPr>
  </w:style>
  <w:style w:type="paragraph" w:styleId="Heading2">
    <w:name w:val="heading 2"/>
    <w:basedOn w:val="HeadingBase"/>
    <w:next w:val="BodyText"/>
    <w:link w:val="Heading2Char"/>
    <w:qFormat/>
    <w:rsid w:val="005A4F3B"/>
    <w:pPr>
      <w:keepLines/>
      <w:spacing w:before="240" w:after="120"/>
      <w:outlineLvl w:val="1"/>
    </w:pPr>
    <w:rPr>
      <w:sz w:val="28"/>
      <w:szCs w:val="40"/>
    </w:rPr>
  </w:style>
  <w:style w:type="paragraph" w:styleId="Heading3">
    <w:name w:val="heading 3"/>
    <w:basedOn w:val="HeadingBase"/>
    <w:next w:val="BodyText"/>
    <w:link w:val="Heading3Char"/>
    <w:qFormat/>
    <w:rsid w:val="005A4F3B"/>
    <w:pPr>
      <w:spacing w:before="180" w:after="120"/>
      <w:outlineLvl w:val="2"/>
    </w:pPr>
    <w:rPr>
      <w:spacing w:val="-10"/>
      <w:kern w:val="32"/>
    </w:rPr>
  </w:style>
  <w:style w:type="paragraph" w:styleId="Heading4">
    <w:name w:val="heading 4"/>
    <w:basedOn w:val="HeadingBase"/>
    <w:next w:val="BodyText"/>
    <w:link w:val="Heading4Char"/>
    <w:qFormat/>
    <w:rsid w:val="005A4F3B"/>
    <w:pPr>
      <w:spacing w:before="160" w:after="120"/>
      <w:outlineLvl w:val="3"/>
    </w:pPr>
    <w:rPr>
      <w:sz w:val="22"/>
    </w:rPr>
  </w:style>
  <w:style w:type="paragraph" w:styleId="Heading5">
    <w:name w:val="heading 5"/>
    <w:basedOn w:val="HeadingBase"/>
    <w:next w:val="Normal"/>
    <w:link w:val="Heading5Char"/>
    <w:qFormat/>
    <w:rsid w:val="005A4F3B"/>
    <w:pPr>
      <w:spacing w:before="80"/>
      <w:outlineLvl w:val="4"/>
    </w:pPr>
    <w:rPr>
      <w:color w:val="918585"/>
      <w:sz w:val="20"/>
    </w:rPr>
  </w:style>
  <w:style w:type="paragraph" w:styleId="Heading6">
    <w:name w:val="heading 6"/>
    <w:basedOn w:val="HeadingBase"/>
    <w:next w:val="Normal"/>
    <w:link w:val="Heading6Char"/>
    <w:qFormat/>
    <w:rsid w:val="005A4F3B"/>
    <w:pPr>
      <w:spacing w:before="60"/>
      <w:outlineLvl w:val="5"/>
    </w:pPr>
    <w:rPr>
      <w:color w:val="918585"/>
      <w:sz w:val="20"/>
    </w:rPr>
  </w:style>
  <w:style w:type="paragraph" w:styleId="Heading7">
    <w:name w:val="heading 7"/>
    <w:basedOn w:val="Normal"/>
    <w:next w:val="Normal"/>
    <w:link w:val="Heading7Char"/>
    <w:qFormat/>
    <w:rsid w:val="005A4F3B"/>
    <w:pPr>
      <w:ind w:left="720"/>
      <w:outlineLvl w:val="6"/>
    </w:pPr>
    <w:rPr>
      <w:i/>
    </w:rPr>
  </w:style>
  <w:style w:type="paragraph" w:styleId="Heading8">
    <w:name w:val="heading 8"/>
    <w:basedOn w:val="Normal"/>
    <w:next w:val="Normal"/>
    <w:link w:val="Heading8Char"/>
    <w:qFormat/>
    <w:rsid w:val="005A4F3B"/>
    <w:pPr>
      <w:ind w:left="720"/>
      <w:outlineLvl w:val="7"/>
    </w:pPr>
    <w:rPr>
      <w:i/>
    </w:rPr>
  </w:style>
  <w:style w:type="paragraph" w:styleId="Heading9">
    <w:name w:val="heading 9"/>
    <w:basedOn w:val="Normal"/>
    <w:next w:val="Normal"/>
    <w:link w:val="Heading9Char"/>
    <w:qFormat/>
    <w:rsid w:val="005A4F3B"/>
    <w:pPr>
      <w:ind w:left="720"/>
      <w:outlineLvl w:val="8"/>
    </w:pPr>
    <w:rPr>
      <w:i/>
    </w:rPr>
  </w:style>
  <w:style w:type="character" w:default="1" w:styleId="DefaultParagraphFont">
    <w:name w:val="Default Paragraph Font"/>
    <w:uiPriority w:val="1"/>
    <w:unhideWhenUsed/>
    <w:rsid w:val="005A4F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4F3B"/>
  </w:style>
  <w:style w:type="character" w:customStyle="1" w:styleId="Heading1Char">
    <w:name w:val="Heading 1 Char"/>
    <w:basedOn w:val="DefaultParagraphFont"/>
    <w:link w:val="Heading1"/>
    <w:rsid w:val="005A4F3B"/>
    <w:rPr>
      <w:rFonts w:ascii="Times New Roman" w:eastAsia="Times New Roman" w:hAnsi="Times New Roman" w:cs="Times New Roman"/>
      <w:b/>
      <w:sz w:val="32"/>
      <w:szCs w:val="20"/>
      <w:lang w:eastAsia="en-US"/>
    </w:rPr>
  </w:style>
  <w:style w:type="paragraph" w:styleId="BodyText">
    <w:name w:val="Body Text"/>
    <w:basedOn w:val="Normal"/>
    <w:link w:val="BodyTextChar"/>
    <w:rsid w:val="005A4F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4F3B"/>
    <w:rPr>
      <w:rFonts w:ascii="Times New Roman" w:eastAsia="Times New Roman" w:hAnsi="Times New Roman" w:cs="Times New Roman"/>
      <w:sz w:val="24"/>
      <w:lang w:val="en-US" w:eastAsia="en-US"/>
    </w:rPr>
  </w:style>
  <w:style w:type="paragraph" w:styleId="Footer">
    <w:name w:val="footer"/>
    <w:basedOn w:val="Normal"/>
    <w:link w:val="FooterChar"/>
    <w:rsid w:val="005A4F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4F3B"/>
    <w:rPr>
      <w:rFonts w:ascii="Times New Roman" w:eastAsia="Times New Roman" w:hAnsi="Times New Roman" w:cs="Times New Roman"/>
      <w:sz w:val="16"/>
      <w:lang w:val="en-US" w:eastAsia="en-US"/>
    </w:rPr>
  </w:style>
  <w:style w:type="paragraph" w:styleId="List">
    <w:name w:val="List"/>
    <w:basedOn w:val="BodyText"/>
    <w:next w:val="BodyText"/>
    <w:rsid w:val="005A4F3B"/>
    <w:pPr>
      <w:tabs>
        <w:tab w:val="left" w:pos="340"/>
      </w:tabs>
      <w:spacing w:before="60" w:after="60"/>
      <w:ind w:left="340" w:hanging="340"/>
    </w:pPr>
  </w:style>
  <w:style w:type="paragraph" w:styleId="ListBullet">
    <w:name w:val="List Bullet"/>
    <w:basedOn w:val="List"/>
    <w:rsid w:val="005A4F3B"/>
    <w:pPr>
      <w:numPr>
        <w:numId w:val="13"/>
      </w:numPr>
      <w:tabs>
        <w:tab w:val="clear" w:pos="340"/>
      </w:tabs>
      <w:spacing w:before="40" w:after="40"/>
    </w:pPr>
  </w:style>
  <w:style w:type="character" w:customStyle="1" w:styleId="SpecialBold">
    <w:name w:val="Special Bold"/>
    <w:basedOn w:val="DefaultParagraphFont"/>
    <w:rsid w:val="005A4F3B"/>
    <w:rPr>
      <w:b/>
      <w:spacing w:val="0"/>
    </w:rPr>
  </w:style>
  <w:style w:type="paragraph" w:styleId="ListBullet2">
    <w:name w:val="List Bullet 2"/>
    <w:basedOn w:val="List2"/>
    <w:rsid w:val="005A4F3B"/>
    <w:pPr>
      <w:numPr>
        <w:numId w:val="14"/>
      </w:numPr>
      <w:tabs>
        <w:tab w:val="clear" w:pos="680"/>
      </w:tabs>
    </w:pPr>
  </w:style>
  <w:style w:type="paragraph" w:styleId="Header">
    <w:name w:val="header"/>
    <w:basedOn w:val="Normal"/>
    <w:link w:val="HeaderChar"/>
    <w:rsid w:val="005A4F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4F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4F3B"/>
    <w:pPr>
      <w:spacing w:before="240" w:after="120"/>
      <w:outlineLvl w:val="0"/>
    </w:pPr>
    <w:rPr>
      <w:rFonts w:ascii="Times New Roman" w:hAnsi="Times New Roman"/>
      <w:b/>
      <w:sz w:val="28"/>
    </w:rPr>
  </w:style>
  <w:style w:type="paragraph" w:customStyle="1" w:styleId="AllowPageBreak">
    <w:name w:val="AllowPageBreak"/>
    <w:rsid w:val="005A4F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4F3B"/>
    <w:rPr>
      <w:b/>
      <w:i/>
      <w:u w:val="none"/>
    </w:rPr>
  </w:style>
  <w:style w:type="character" w:customStyle="1" w:styleId="Heading2Char">
    <w:name w:val="Heading 2 Char"/>
    <w:basedOn w:val="DefaultParagraphFont"/>
    <w:link w:val="Heading2"/>
    <w:rsid w:val="005A4F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4F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4F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4F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4F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4F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4F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4F3B"/>
    <w:rPr>
      <w:rFonts w:ascii="Courier New" w:eastAsia="Times New Roman" w:hAnsi="Courier New" w:cs="Times New Roman"/>
      <w:i/>
      <w:szCs w:val="20"/>
      <w:lang w:val="en-US" w:eastAsia="en-US"/>
    </w:rPr>
  </w:style>
  <w:style w:type="paragraph" w:customStyle="1" w:styleId="HeadingBase">
    <w:name w:val="Heading Base"/>
    <w:rsid w:val="005A4F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4F3B"/>
    <w:pPr>
      <w:tabs>
        <w:tab w:val="right" w:leader="dot" w:pos="9072"/>
      </w:tabs>
      <w:ind w:left="567"/>
    </w:pPr>
    <w:rPr>
      <w:szCs w:val="22"/>
    </w:rPr>
  </w:style>
  <w:style w:type="paragraph" w:customStyle="1" w:styleId="TOCBase">
    <w:name w:val="TOC Base"/>
    <w:rsid w:val="005A4F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4F3B"/>
    <w:pPr>
      <w:tabs>
        <w:tab w:val="right" w:leader="dot" w:pos="9072"/>
      </w:tabs>
      <w:spacing w:before="40" w:after="40"/>
      <w:ind w:left="284"/>
    </w:pPr>
    <w:rPr>
      <w:rFonts w:ascii="Times New Roman" w:hAnsi="Times New Roman"/>
    </w:rPr>
  </w:style>
  <w:style w:type="paragraph" w:styleId="TOC1">
    <w:name w:val="toc 1"/>
    <w:basedOn w:val="TOCBase"/>
    <w:next w:val="Normal"/>
    <w:rsid w:val="005A4F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4F3B"/>
    <w:pPr>
      <w:spacing w:before="5040"/>
      <w:jc w:val="center"/>
    </w:pPr>
    <w:rPr>
      <w:sz w:val="48"/>
      <w:szCs w:val="72"/>
      <w:lang w:val="en-US"/>
    </w:rPr>
  </w:style>
  <w:style w:type="character" w:customStyle="1" w:styleId="TitleChar">
    <w:name w:val="Title Char"/>
    <w:basedOn w:val="DefaultParagraphFont"/>
    <w:link w:val="Title"/>
    <w:rsid w:val="005A4F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4F3B"/>
    <w:pPr>
      <w:tabs>
        <w:tab w:val="left" w:pos="3600"/>
        <w:tab w:val="left" w:pos="3958"/>
      </w:tabs>
    </w:pPr>
  </w:style>
  <w:style w:type="paragraph" w:customStyle="1" w:styleId="Note">
    <w:name w:val="Note"/>
    <w:basedOn w:val="BodyText"/>
    <w:rsid w:val="005A4F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4F3B"/>
    <w:pPr>
      <w:framePr w:wrap="auto" w:hAnchor="text" w:y="6049"/>
    </w:pPr>
    <w:rPr>
      <w:color w:val="000000"/>
      <w:sz w:val="40"/>
    </w:rPr>
  </w:style>
  <w:style w:type="paragraph" w:customStyle="1" w:styleId="TOCTitle">
    <w:name w:val="TOCTitle"/>
    <w:basedOn w:val="Heading1"/>
    <w:rsid w:val="005A4F3B"/>
    <w:pPr>
      <w:spacing w:after="240"/>
      <w:jc w:val="center"/>
      <w:outlineLvl w:val="9"/>
    </w:pPr>
    <w:rPr>
      <w:caps/>
    </w:rPr>
  </w:style>
  <w:style w:type="paragraph" w:customStyle="1" w:styleId="Version">
    <w:name w:val="Version"/>
    <w:rsid w:val="005A4F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4F3B"/>
    <w:pPr>
      <w:keepNext w:val="0"/>
      <w:tabs>
        <w:tab w:val="right" w:pos="4176"/>
      </w:tabs>
      <w:ind w:left="198" w:hanging="198"/>
    </w:pPr>
    <w:rPr>
      <w:rFonts w:ascii="Garamond" w:hAnsi="Garamond"/>
    </w:rPr>
  </w:style>
  <w:style w:type="paragraph" w:styleId="IndexHeading">
    <w:name w:val="index heading"/>
    <w:basedOn w:val="Normal"/>
    <w:next w:val="Index1"/>
    <w:semiHidden/>
    <w:rsid w:val="005A4F3B"/>
    <w:pPr>
      <w:spacing w:before="120" w:after="120"/>
    </w:pPr>
    <w:rPr>
      <w:rFonts w:ascii="Arial" w:hAnsi="Arial"/>
      <w:b/>
      <w:color w:val="918585"/>
      <w:sz w:val="24"/>
    </w:rPr>
  </w:style>
  <w:style w:type="paragraph" w:customStyle="1" w:styleId="Chapter">
    <w:name w:val="Chapter"/>
    <w:basedOn w:val="Normal"/>
    <w:rsid w:val="005A4F3B"/>
    <w:pPr>
      <w:spacing w:before="240"/>
    </w:pPr>
    <w:rPr>
      <w:rFonts w:ascii="Times New Roman" w:hAnsi="Times New Roman"/>
      <w:smallCaps/>
      <w:spacing w:val="80"/>
      <w:sz w:val="28"/>
    </w:rPr>
  </w:style>
  <w:style w:type="paragraph" w:customStyle="1" w:styleId="InChapter">
    <w:name w:val="InChapter"/>
    <w:basedOn w:val="Heading3"/>
    <w:rsid w:val="005A4F3B"/>
    <w:pPr>
      <w:spacing w:after="240"/>
      <w:outlineLvl w:val="9"/>
    </w:pPr>
    <w:rPr>
      <w:noProof/>
    </w:rPr>
  </w:style>
  <w:style w:type="paragraph" w:styleId="Index2">
    <w:name w:val="index 2"/>
    <w:basedOn w:val="Normal"/>
    <w:next w:val="Normal"/>
    <w:semiHidden/>
    <w:rsid w:val="005A4F3B"/>
    <w:pPr>
      <w:tabs>
        <w:tab w:val="right" w:pos="4176"/>
      </w:tabs>
      <w:ind w:left="568" w:hanging="284"/>
    </w:pPr>
    <w:rPr>
      <w:rFonts w:ascii="Garamond" w:hAnsi="Garamond"/>
    </w:rPr>
  </w:style>
  <w:style w:type="paragraph" w:customStyle="1" w:styleId="Byline">
    <w:name w:val="Byline"/>
    <w:rsid w:val="005A4F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4F3B"/>
    <w:pPr>
      <w:tabs>
        <w:tab w:val="clear" w:pos="3600"/>
        <w:tab w:val="clear" w:pos="3958"/>
      </w:tabs>
      <w:jc w:val="right"/>
    </w:pPr>
  </w:style>
  <w:style w:type="character" w:styleId="Emphasis">
    <w:name w:val="Emphasis"/>
    <w:basedOn w:val="DefaultParagraphFont"/>
    <w:qFormat/>
    <w:rsid w:val="005A4F3B"/>
    <w:rPr>
      <w:i/>
    </w:rPr>
  </w:style>
  <w:style w:type="paragraph" w:styleId="Caption">
    <w:name w:val="caption"/>
    <w:basedOn w:val="BodyText"/>
    <w:next w:val="Normal"/>
    <w:qFormat/>
    <w:rsid w:val="005A4F3B"/>
    <w:pPr>
      <w:framePr w:w="2268" w:hSpace="181" w:vSpace="181" w:wrap="around" w:vAnchor="text" w:hAnchor="page" w:x="1135" w:y="285" w:anchorLock="1"/>
    </w:pPr>
    <w:rPr>
      <w:i/>
    </w:rPr>
  </w:style>
  <w:style w:type="paragraph" w:customStyle="1" w:styleId="MiniTOCTitle">
    <w:name w:val="MiniTOCTitle"/>
    <w:basedOn w:val="Heading4"/>
    <w:rsid w:val="005A4F3B"/>
    <w:pPr>
      <w:spacing w:before="240"/>
      <w:outlineLvl w:val="9"/>
    </w:pPr>
    <w:rPr>
      <w:noProof/>
      <w:sz w:val="24"/>
    </w:rPr>
  </w:style>
  <w:style w:type="paragraph" w:customStyle="1" w:styleId="MiniTOCItem">
    <w:name w:val="MiniTOCItem"/>
    <w:basedOn w:val="ListBullet"/>
    <w:rsid w:val="005A4F3B"/>
    <w:pPr>
      <w:numPr>
        <w:numId w:val="0"/>
      </w:numPr>
      <w:tabs>
        <w:tab w:val="right" w:leader="dot" w:pos="6521"/>
      </w:tabs>
      <w:spacing w:before="0" w:after="0"/>
    </w:pPr>
  </w:style>
  <w:style w:type="paragraph" w:customStyle="1" w:styleId="TOFTitle">
    <w:name w:val="TOFTitle"/>
    <w:basedOn w:val="TOCTitle"/>
    <w:rsid w:val="005A4F3B"/>
  </w:style>
  <w:style w:type="paragraph" w:styleId="TableofFigures">
    <w:name w:val="table of figures"/>
    <w:basedOn w:val="Normal"/>
    <w:next w:val="Normal"/>
    <w:semiHidden/>
    <w:rsid w:val="005A4F3B"/>
    <w:pPr>
      <w:tabs>
        <w:tab w:val="right" w:leader="dot" w:pos="9072"/>
      </w:tabs>
      <w:ind w:left="970" w:hanging="403"/>
    </w:pPr>
    <w:rPr>
      <w:rFonts w:ascii="Times New Roman" w:hAnsi="Times New Roman"/>
      <w:b/>
    </w:rPr>
  </w:style>
  <w:style w:type="paragraph" w:styleId="ListNumber">
    <w:name w:val="List Number"/>
    <w:basedOn w:val="List"/>
    <w:rsid w:val="005A4F3B"/>
    <w:pPr>
      <w:numPr>
        <w:numId w:val="11"/>
      </w:numPr>
    </w:pPr>
  </w:style>
  <w:style w:type="character" w:customStyle="1" w:styleId="WingdingSymbols">
    <w:name w:val="Wingding Symbols"/>
    <w:rsid w:val="005A4F3B"/>
    <w:rPr>
      <w:rFonts w:ascii="Wingdings" w:hAnsi="Wingdings"/>
    </w:rPr>
  </w:style>
  <w:style w:type="paragraph" w:customStyle="1" w:styleId="TableHeading">
    <w:name w:val="Table Heading"/>
    <w:basedOn w:val="HeadingBase"/>
    <w:rsid w:val="005A4F3B"/>
    <w:pPr>
      <w:keepLines/>
      <w:pBdr>
        <w:bottom w:val="single" w:sz="6" w:space="1" w:color="918585"/>
      </w:pBdr>
      <w:spacing w:before="240"/>
    </w:pPr>
  </w:style>
  <w:style w:type="character" w:customStyle="1" w:styleId="HotSpot">
    <w:name w:val="HotSpot"/>
    <w:rsid w:val="005A4F3B"/>
    <w:rPr>
      <w:color w:val="0033CC"/>
      <w:u w:val="none"/>
    </w:rPr>
  </w:style>
  <w:style w:type="paragraph" w:customStyle="1" w:styleId="BodyTextRight">
    <w:name w:val="Body Text Right"/>
    <w:basedOn w:val="BodyText"/>
    <w:rsid w:val="005A4F3B"/>
    <w:pPr>
      <w:spacing w:before="0" w:after="0"/>
      <w:jc w:val="right"/>
    </w:pPr>
  </w:style>
  <w:style w:type="paragraph" w:styleId="Index3">
    <w:name w:val="index 3"/>
    <w:basedOn w:val="ListNumber2"/>
    <w:next w:val="Normal"/>
    <w:semiHidden/>
    <w:rsid w:val="005A4F3B"/>
    <w:pPr>
      <w:numPr>
        <w:numId w:val="0"/>
      </w:numPr>
      <w:tabs>
        <w:tab w:val="right" w:leader="dot" w:pos="4176"/>
      </w:tabs>
    </w:pPr>
  </w:style>
  <w:style w:type="paragraph" w:styleId="ListNumber2">
    <w:name w:val="List Number 2"/>
    <w:basedOn w:val="List2"/>
    <w:rsid w:val="005A4F3B"/>
    <w:pPr>
      <w:numPr>
        <w:numId w:val="10"/>
      </w:numPr>
      <w:tabs>
        <w:tab w:val="clear" w:pos="1060"/>
      </w:tabs>
    </w:pPr>
  </w:style>
  <w:style w:type="paragraph" w:customStyle="1" w:styleId="MarginNote">
    <w:name w:val="Margin Note"/>
    <w:basedOn w:val="BodyText"/>
    <w:rsid w:val="005A4F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4F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4F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4F3B"/>
    <w:rPr>
      <w:sz w:val="32"/>
    </w:rPr>
  </w:style>
  <w:style w:type="paragraph" w:customStyle="1" w:styleId="HeadingProcedure">
    <w:name w:val="Heading Procedure"/>
    <w:basedOn w:val="HeadingBase"/>
    <w:next w:val="Normal"/>
    <w:rsid w:val="005A4F3B"/>
    <w:pPr>
      <w:tabs>
        <w:tab w:val="left" w:pos="0"/>
      </w:tabs>
      <w:spacing w:before="120" w:after="60"/>
    </w:pPr>
    <w:rPr>
      <w:i/>
      <w:color w:val="918585"/>
      <w:sz w:val="22"/>
    </w:rPr>
  </w:style>
  <w:style w:type="paragraph" w:customStyle="1" w:styleId="TableBodyText">
    <w:name w:val="Table Body Text"/>
    <w:basedOn w:val="BodyText"/>
    <w:rsid w:val="005A4F3B"/>
    <w:pPr>
      <w:spacing w:before="60" w:after="60"/>
    </w:pPr>
  </w:style>
  <w:style w:type="paragraph" w:styleId="ListContinue">
    <w:name w:val="List Continue"/>
    <w:basedOn w:val="List"/>
    <w:rsid w:val="005A4F3B"/>
    <w:pPr>
      <w:ind w:firstLine="0"/>
    </w:pPr>
  </w:style>
  <w:style w:type="paragraph" w:customStyle="1" w:styleId="ListNote">
    <w:name w:val="List Note"/>
    <w:basedOn w:val="List"/>
    <w:rsid w:val="005A4F3B"/>
    <w:pPr>
      <w:pBdr>
        <w:top w:val="single" w:sz="6" w:space="2" w:color="918585"/>
        <w:bottom w:val="single" w:sz="6" w:space="2" w:color="918585"/>
      </w:pBdr>
      <w:tabs>
        <w:tab w:val="left" w:pos="1021"/>
      </w:tabs>
      <w:ind w:firstLine="0"/>
    </w:pPr>
  </w:style>
  <w:style w:type="paragraph" w:customStyle="1" w:styleId="Warning">
    <w:name w:val="Warning"/>
    <w:basedOn w:val="BodyText"/>
    <w:rsid w:val="005A4F3B"/>
    <w:pPr>
      <w:shd w:val="clear" w:color="auto" w:fill="D9D9D9"/>
      <w:tabs>
        <w:tab w:val="left" w:pos="992"/>
      </w:tabs>
      <w:ind w:left="119" w:right="119"/>
    </w:pPr>
    <w:rPr>
      <w:sz w:val="20"/>
    </w:rPr>
  </w:style>
  <w:style w:type="paragraph" w:customStyle="1" w:styleId="MarginIcons">
    <w:name w:val="Margin Icons"/>
    <w:basedOn w:val="BodyText"/>
    <w:rsid w:val="005A4F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4F3B"/>
    <w:rPr>
      <w:rFonts w:ascii="Courier New" w:hAnsi="Courier New"/>
    </w:rPr>
  </w:style>
  <w:style w:type="paragraph" w:customStyle="1" w:styleId="NoteBullet">
    <w:name w:val="Note Bullet"/>
    <w:basedOn w:val="Note"/>
    <w:rsid w:val="005A4F3B"/>
    <w:pPr>
      <w:tabs>
        <w:tab w:val="clear" w:pos="680"/>
      </w:tabs>
      <w:spacing w:before="60" w:after="60"/>
    </w:pPr>
  </w:style>
  <w:style w:type="paragraph" w:customStyle="1" w:styleId="SubHeading2">
    <w:name w:val="SubHeading2"/>
    <w:basedOn w:val="HeadingBase"/>
    <w:rsid w:val="005A4F3B"/>
    <w:pPr>
      <w:spacing w:before="240" w:after="60"/>
    </w:pPr>
    <w:rPr>
      <w:sz w:val="20"/>
    </w:rPr>
  </w:style>
  <w:style w:type="paragraph" w:customStyle="1" w:styleId="SubHeading1">
    <w:name w:val="SubHeading1"/>
    <w:basedOn w:val="HeadingBase"/>
    <w:rsid w:val="005A4F3B"/>
    <w:pPr>
      <w:spacing w:before="240" w:after="60"/>
    </w:pPr>
    <w:rPr>
      <w:color w:val="918585"/>
      <w:sz w:val="22"/>
    </w:rPr>
  </w:style>
  <w:style w:type="paragraph" w:customStyle="1" w:styleId="SideHeading">
    <w:name w:val="Side Heading"/>
    <w:basedOn w:val="HeadingBase"/>
    <w:rsid w:val="005A4F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4F3B"/>
    <w:pPr>
      <w:numPr>
        <w:numId w:val="12"/>
      </w:numPr>
    </w:pPr>
  </w:style>
  <w:style w:type="paragraph" w:styleId="PlainText">
    <w:name w:val="Plain Text"/>
    <w:basedOn w:val="Normal"/>
    <w:link w:val="PlainTextChar"/>
    <w:rsid w:val="005A4F3B"/>
    <w:rPr>
      <w:sz w:val="20"/>
    </w:rPr>
  </w:style>
  <w:style w:type="character" w:customStyle="1" w:styleId="PlainTextChar">
    <w:name w:val="Plain Text Char"/>
    <w:basedOn w:val="DefaultParagraphFont"/>
    <w:link w:val="PlainText"/>
    <w:rsid w:val="005A4F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4F3B"/>
    <w:rPr>
      <w:b/>
      <w:smallCaps/>
    </w:rPr>
  </w:style>
  <w:style w:type="paragraph" w:customStyle="1" w:styleId="TableListNumber">
    <w:name w:val="Table List Number"/>
    <w:basedOn w:val="ListNumber"/>
    <w:rsid w:val="005A4F3B"/>
    <w:pPr>
      <w:numPr>
        <w:numId w:val="0"/>
      </w:numPr>
    </w:pPr>
  </w:style>
  <w:style w:type="paragraph" w:styleId="TOC4">
    <w:name w:val="toc 4"/>
    <w:basedOn w:val="TOCBase"/>
    <w:next w:val="Normal"/>
    <w:semiHidden/>
    <w:rsid w:val="005A4F3B"/>
    <w:pPr>
      <w:tabs>
        <w:tab w:val="right" w:leader="dot" w:pos="9071"/>
      </w:tabs>
      <w:ind w:left="1701"/>
    </w:pPr>
  </w:style>
  <w:style w:type="paragraph" w:customStyle="1" w:styleId="ListAlpha">
    <w:name w:val="List Alpha"/>
    <w:basedOn w:val="List"/>
    <w:rsid w:val="005A4F3B"/>
    <w:pPr>
      <w:numPr>
        <w:numId w:val="9"/>
      </w:numPr>
    </w:pPr>
  </w:style>
  <w:style w:type="paragraph" w:customStyle="1" w:styleId="ListAlpha2">
    <w:name w:val="List Alpha 2"/>
    <w:basedOn w:val="List2"/>
    <w:rsid w:val="005A4F3B"/>
    <w:pPr>
      <w:numPr>
        <w:numId w:val="8"/>
      </w:numPr>
    </w:pPr>
  </w:style>
  <w:style w:type="paragraph" w:styleId="List2">
    <w:name w:val="List 2"/>
    <w:basedOn w:val="BodyText"/>
    <w:rsid w:val="005A4F3B"/>
    <w:pPr>
      <w:tabs>
        <w:tab w:val="left" w:pos="680"/>
      </w:tabs>
      <w:spacing w:before="60" w:after="60"/>
      <w:ind w:left="680" w:hanging="340"/>
    </w:pPr>
  </w:style>
  <w:style w:type="paragraph" w:styleId="List3">
    <w:name w:val="List 3"/>
    <w:basedOn w:val="BodyText"/>
    <w:rsid w:val="005A4F3B"/>
    <w:pPr>
      <w:tabs>
        <w:tab w:val="left" w:pos="1021"/>
      </w:tabs>
      <w:spacing w:before="60" w:after="60"/>
      <w:ind w:left="1020" w:hanging="340"/>
    </w:pPr>
  </w:style>
  <w:style w:type="paragraph" w:styleId="List4">
    <w:name w:val="List 4"/>
    <w:basedOn w:val="BodyText"/>
    <w:rsid w:val="005A4F3B"/>
    <w:pPr>
      <w:tabs>
        <w:tab w:val="left" w:pos="1361"/>
      </w:tabs>
      <w:spacing w:before="60" w:after="60"/>
      <w:ind w:left="1361" w:hanging="340"/>
    </w:pPr>
  </w:style>
  <w:style w:type="paragraph" w:styleId="List5">
    <w:name w:val="List 5"/>
    <w:basedOn w:val="BodyText"/>
    <w:rsid w:val="005A4F3B"/>
    <w:pPr>
      <w:tabs>
        <w:tab w:val="left" w:pos="1701"/>
      </w:tabs>
      <w:spacing w:before="60" w:after="60"/>
      <w:ind w:left="1701" w:hanging="340"/>
    </w:pPr>
  </w:style>
  <w:style w:type="paragraph" w:styleId="ListBullet3">
    <w:name w:val="List Bullet 3"/>
    <w:basedOn w:val="List3"/>
    <w:rsid w:val="005A4F3B"/>
    <w:pPr>
      <w:numPr>
        <w:numId w:val="15"/>
      </w:numPr>
      <w:tabs>
        <w:tab w:val="clear" w:pos="1021"/>
      </w:tabs>
      <w:ind w:left="1037" w:hanging="357"/>
    </w:pPr>
  </w:style>
  <w:style w:type="paragraph" w:styleId="ListBullet4">
    <w:name w:val="List Bullet 4"/>
    <w:basedOn w:val="List4"/>
    <w:rsid w:val="005A4F3B"/>
    <w:pPr>
      <w:numPr>
        <w:numId w:val="3"/>
      </w:numPr>
    </w:pPr>
  </w:style>
  <w:style w:type="paragraph" w:styleId="ListBullet5">
    <w:name w:val="List Bullet 5"/>
    <w:basedOn w:val="List5"/>
    <w:rsid w:val="005A4F3B"/>
    <w:pPr>
      <w:numPr>
        <w:numId w:val="4"/>
      </w:numPr>
    </w:pPr>
  </w:style>
  <w:style w:type="paragraph" w:styleId="ListContinue2">
    <w:name w:val="List Continue 2"/>
    <w:basedOn w:val="List2"/>
    <w:rsid w:val="005A4F3B"/>
    <w:pPr>
      <w:ind w:firstLine="0"/>
    </w:pPr>
  </w:style>
  <w:style w:type="paragraph" w:styleId="ListContinue3">
    <w:name w:val="List Continue 3"/>
    <w:basedOn w:val="List3"/>
    <w:rsid w:val="005A4F3B"/>
    <w:pPr>
      <w:ind w:left="1021" w:firstLine="0"/>
    </w:pPr>
  </w:style>
  <w:style w:type="paragraph" w:styleId="ListContinue4">
    <w:name w:val="List Continue 4"/>
    <w:basedOn w:val="List4"/>
    <w:rsid w:val="005A4F3B"/>
    <w:pPr>
      <w:ind w:firstLine="0"/>
    </w:pPr>
  </w:style>
  <w:style w:type="paragraph" w:styleId="ListContinue5">
    <w:name w:val="List Continue 5"/>
    <w:basedOn w:val="List5"/>
    <w:rsid w:val="005A4F3B"/>
    <w:pPr>
      <w:ind w:firstLine="0"/>
    </w:pPr>
  </w:style>
  <w:style w:type="paragraph" w:styleId="ListNumber3">
    <w:name w:val="List Number 3"/>
    <w:basedOn w:val="List3"/>
    <w:rsid w:val="005A4F3B"/>
    <w:pPr>
      <w:numPr>
        <w:numId w:val="5"/>
      </w:numPr>
    </w:pPr>
  </w:style>
  <w:style w:type="paragraph" w:styleId="ListNumber4">
    <w:name w:val="List Number 4"/>
    <w:basedOn w:val="List4"/>
    <w:rsid w:val="005A4F3B"/>
    <w:pPr>
      <w:numPr>
        <w:numId w:val="6"/>
      </w:numPr>
    </w:pPr>
  </w:style>
  <w:style w:type="paragraph" w:styleId="ListNumber5">
    <w:name w:val="List Number 5"/>
    <w:basedOn w:val="List5"/>
    <w:rsid w:val="005A4F3B"/>
    <w:pPr>
      <w:numPr>
        <w:numId w:val="7"/>
      </w:numPr>
    </w:pPr>
  </w:style>
  <w:style w:type="paragraph" w:styleId="BlockText">
    <w:name w:val="Block Text"/>
    <w:basedOn w:val="Normal"/>
    <w:rsid w:val="005A4F3B"/>
    <w:pPr>
      <w:spacing w:after="120"/>
      <w:ind w:left="1440" w:right="1440"/>
    </w:pPr>
  </w:style>
  <w:style w:type="character" w:customStyle="1" w:styleId="Subscript">
    <w:name w:val="Subscript"/>
    <w:basedOn w:val="DefaultParagraphFont"/>
    <w:rsid w:val="005A4F3B"/>
    <w:rPr>
      <w:sz w:val="16"/>
      <w:vertAlign w:val="subscript"/>
    </w:rPr>
  </w:style>
  <w:style w:type="character" w:customStyle="1" w:styleId="Superscript">
    <w:name w:val="Superscript"/>
    <w:basedOn w:val="DefaultParagraphFont"/>
    <w:rsid w:val="005A4F3B"/>
    <w:rPr>
      <w:sz w:val="16"/>
      <w:vertAlign w:val="superscript"/>
    </w:rPr>
  </w:style>
  <w:style w:type="character" w:customStyle="1" w:styleId="Symbols">
    <w:name w:val="Symbols"/>
    <w:basedOn w:val="DefaultParagraphFont"/>
    <w:rsid w:val="005A4F3B"/>
    <w:rPr>
      <w:rFonts w:ascii="Symbol" w:hAnsi="Symbol"/>
    </w:rPr>
  </w:style>
  <w:style w:type="character" w:customStyle="1" w:styleId="MenuOptions">
    <w:name w:val="Menu Options"/>
    <w:basedOn w:val="DefaultParagraphFont"/>
    <w:rsid w:val="005A4F3B"/>
    <w:rPr>
      <w:rFonts w:ascii="Arial Narrow" w:hAnsi="Arial Narrow"/>
      <w:smallCaps/>
    </w:rPr>
  </w:style>
  <w:style w:type="character" w:customStyle="1" w:styleId="Buttons">
    <w:name w:val="Buttons"/>
    <w:basedOn w:val="DefaultParagraphFont"/>
    <w:rsid w:val="005A4F3B"/>
    <w:rPr>
      <w:b/>
    </w:rPr>
  </w:style>
  <w:style w:type="character" w:customStyle="1" w:styleId="Underlined">
    <w:name w:val="Underlined"/>
    <w:basedOn w:val="DefaultParagraphFont"/>
    <w:rsid w:val="005A4F3B"/>
    <w:rPr>
      <w:u w:val="single"/>
    </w:rPr>
  </w:style>
  <w:style w:type="paragraph" w:customStyle="1" w:styleId="TableBodyTextRight">
    <w:name w:val="Table Body Text Right"/>
    <w:basedOn w:val="TableBodyText"/>
    <w:rsid w:val="005A4F3B"/>
    <w:pPr>
      <w:widowControl w:val="0"/>
      <w:autoSpaceDE w:val="0"/>
      <w:autoSpaceDN w:val="0"/>
      <w:adjustRightInd w:val="0"/>
      <w:jc w:val="right"/>
    </w:pPr>
    <w:rPr>
      <w:rFonts w:cs="Arial"/>
      <w:szCs w:val="18"/>
    </w:rPr>
  </w:style>
  <w:style w:type="paragraph" w:customStyle="1" w:styleId="CopyrightText">
    <w:name w:val="Copyright Text"/>
    <w:basedOn w:val="BodyText"/>
    <w:rsid w:val="005A4F3B"/>
    <w:rPr>
      <w:sz w:val="18"/>
    </w:rPr>
  </w:style>
  <w:style w:type="paragraph" w:customStyle="1" w:styleId="BodySmallRight">
    <w:name w:val="Body Small Right"/>
    <w:basedOn w:val="BodyTextRight"/>
    <w:rsid w:val="005A4F3B"/>
    <w:rPr>
      <w:sz w:val="18"/>
      <w:szCs w:val="18"/>
    </w:rPr>
  </w:style>
  <w:style w:type="paragraph" w:customStyle="1" w:styleId="MarginEdition">
    <w:name w:val="Margin Edition"/>
    <w:basedOn w:val="MarginNote"/>
    <w:rsid w:val="005A4F3B"/>
    <w:pPr>
      <w:spacing w:before="0" w:after="0"/>
    </w:pPr>
    <w:rPr>
      <w:rFonts w:ascii="Times New Roman" w:hAnsi="Times New Roman"/>
      <w:color w:val="999999"/>
    </w:rPr>
  </w:style>
  <w:style w:type="paragraph" w:customStyle="1" w:styleId="Spacer">
    <w:name w:val="Spacer"/>
    <w:basedOn w:val="Normal"/>
    <w:rsid w:val="005A4F3B"/>
    <w:rPr>
      <w:sz w:val="2"/>
      <w:szCs w:val="2"/>
    </w:rPr>
  </w:style>
  <w:style w:type="character" w:customStyle="1" w:styleId="Small">
    <w:name w:val="Small"/>
    <w:basedOn w:val="DefaultParagraphFont"/>
    <w:rsid w:val="005A4F3B"/>
    <w:rPr>
      <w:sz w:val="16"/>
    </w:rPr>
  </w:style>
  <w:style w:type="paragraph" w:customStyle="1" w:styleId="WideTable">
    <w:name w:val="Wide Table"/>
    <w:basedOn w:val="Normal"/>
    <w:rsid w:val="005A4F3B"/>
    <w:pPr>
      <w:ind w:left="-1418"/>
    </w:pPr>
    <w:rPr>
      <w:sz w:val="2"/>
      <w:szCs w:val="2"/>
    </w:rPr>
  </w:style>
  <w:style w:type="character" w:styleId="PageNumber">
    <w:name w:val="page number"/>
    <w:basedOn w:val="DefaultParagraphFont"/>
    <w:rsid w:val="005A4F3B"/>
  </w:style>
  <w:style w:type="paragraph" w:styleId="Quote">
    <w:name w:val="Quote"/>
    <w:basedOn w:val="Heading1"/>
    <w:link w:val="QuoteChar"/>
    <w:qFormat/>
    <w:rsid w:val="005A4F3B"/>
    <w:rPr>
      <w:b w:val="0"/>
      <w:sz w:val="72"/>
      <w:szCs w:val="72"/>
      <w:lang w:val="en-NZ"/>
    </w:rPr>
  </w:style>
  <w:style w:type="character" w:customStyle="1" w:styleId="QuoteChar">
    <w:name w:val="Quote Char"/>
    <w:basedOn w:val="DefaultParagraphFont"/>
    <w:link w:val="Quote"/>
    <w:rsid w:val="005A4F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4F3B"/>
    <w:pPr>
      <w:pageBreakBefore/>
    </w:pPr>
  </w:style>
  <w:style w:type="paragraph" w:customStyle="1" w:styleId="Border">
    <w:name w:val="Border"/>
    <w:basedOn w:val="Normal"/>
    <w:qFormat/>
    <w:rsid w:val="005A4F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4F3B"/>
    <w:rPr>
      <w:b/>
      <w:bCs/>
      <w:i/>
      <w:iCs/>
      <w:color w:val="auto"/>
    </w:rPr>
  </w:style>
  <w:style w:type="paragraph" w:styleId="IntenseQuote">
    <w:name w:val="Intense Quote"/>
    <w:basedOn w:val="Normal"/>
    <w:next w:val="Normal"/>
    <w:link w:val="IntenseQuoteChar"/>
    <w:uiPriority w:val="30"/>
    <w:qFormat/>
    <w:rsid w:val="005A4F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4F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4F3B"/>
    <w:rPr>
      <w:smallCaps/>
      <w:color w:val="auto"/>
      <w:u w:val="single"/>
    </w:rPr>
  </w:style>
  <w:style w:type="character" w:styleId="IntenseReference">
    <w:name w:val="Intense Reference"/>
    <w:basedOn w:val="DefaultParagraphFont"/>
    <w:uiPriority w:val="32"/>
    <w:qFormat/>
    <w:rsid w:val="005A4F3B"/>
    <w:rPr>
      <w:b/>
      <w:bCs/>
      <w:smallCaps/>
      <w:color w:val="auto"/>
      <w:spacing w:val="5"/>
      <w:u w:val="single"/>
    </w:rPr>
  </w:style>
  <w:style w:type="paragraph" w:customStyle="1" w:styleId="2ColumnHeading">
    <w:name w:val="2Column Heading"/>
    <w:basedOn w:val="BodyText"/>
    <w:qFormat/>
    <w:rsid w:val="005A4F3B"/>
    <w:pPr>
      <w:spacing w:after="60"/>
      <w:ind w:left="-2268"/>
    </w:pPr>
    <w:rPr>
      <w:b/>
    </w:rPr>
  </w:style>
  <w:style w:type="paragraph" w:customStyle="1" w:styleId="Heading1TOC">
    <w:name w:val="Heading1 TOC"/>
    <w:basedOn w:val="Normal"/>
    <w:qFormat/>
    <w:rsid w:val="005A4F3B"/>
    <w:pPr>
      <w:spacing w:before="240" w:after="120"/>
    </w:pPr>
    <w:rPr>
      <w:rFonts w:ascii="Times New Roman" w:hAnsi="Times New Roman"/>
      <w:b/>
      <w:sz w:val="32"/>
    </w:rPr>
  </w:style>
  <w:style w:type="paragraph" w:customStyle="1" w:styleId="Heading2TOC">
    <w:name w:val="Heading2 TOC"/>
    <w:basedOn w:val="Normal"/>
    <w:qFormat/>
    <w:rsid w:val="005A4F3B"/>
    <w:pPr>
      <w:spacing w:before="240" w:after="60"/>
    </w:pPr>
    <w:rPr>
      <w:rFonts w:ascii="Times New Roman" w:hAnsi="Times New Roman"/>
      <w:b/>
      <w:sz w:val="28"/>
    </w:rPr>
  </w:style>
  <w:style w:type="character" w:customStyle="1" w:styleId="Underline">
    <w:name w:val="Underline"/>
    <w:basedOn w:val="DefaultParagraphFont"/>
    <w:qFormat/>
    <w:rsid w:val="005A4F3B"/>
    <w:rPr>
      <w:u w:val="single"/>
    </w:rPr>
  </w:style>
  <w:style w:type="paragraph" w:styleId="BalloonText">
    <w:name w:val="Balloon Text"/>
    <w:basedOn w:val="Normal"/>
    <w:link w:val="BalloonTextChar"/>
    <w:rsid w:val="005A4F3B"/>
    <w:rPr>
      <w:rFonts w:ascii="Tahoma" w:hAnsi="Tahoma" w:cs="Tahoma"/>
      <w:sz w:val="16"/>
      <w:szCs w:val="16"/>
    </w:rPr>
  </w:style>
  <w:style w:type="character" w:customStyle="1" w:styleId="BalloonTextChar">
    <w:name w:val="Balloon Text Char"/>
    <w:basedOn w:val="DefaultParagraphFont"/>
    <w:link w:val="BalloonText"/>
    <w:rsid w:val="005A4F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4F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4F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1700</Words>
  <Characters>11613</Characters>
  <Application>Microsoft Office Word</Application>
  <DocSecurity>0</DocSecurity>
  <Lines>395</Lines>
  <Paragraphs>252</Paragraphs>
  <ScaleCrop>false</ScaleCrop>
  <Company>Author-it Software Corporation Ltd.</Company>
  <LinksUpToDate>false</LinksUpToDate>
  <CharactersWithSpaces>13260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CPPSEC2024A Implement electronic monitoring procedures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2012-05-26T06:20:00Z</dcterms:created>
  <dcterms:modified xsi:type="dcterms:W3CDTF">2012-05-26T06:20:00Z</dcterms:modified>
</cp:coreProperties>
</file>