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045" w:rsidP="00C83045">
      <w:pPr>
        <w:pStyle w:val="Title"/>
      </w:pPr>
      <w:r>
        <w:fldChar w:fldCharType="begin"/>
      </w:r>
      <w:r>
        <w:instrText xml:space="preserve"> TITLE   \* MERGEFORMAT </w:instrText>
      </w:r>
      <w:r>
        <w:fldChar w:fldCharType="separate"/>
      </w:r>
      <w:r>
        <w:t>CPPSEC2016A Contribute to investigative activities</w:t>
      </w:r>
      <w:r>
        <w:fldChar w:fldCharType="end"/>
      </w:r>
    </w:p>
    <w:p w:rsidR="00C83045" w:rsidP="00C83045">
      <w:pPr>
        <w:pStyle w:val="Version"/>
        <w:sectPr w:rsidSect="00EA0C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C33" w:rsidP="00EA0C33">
      <w:pPr>
        <w:pStyle w:val="SuperHeading"/>
      </w:pPr>
      <w:r w:rsidRPr="00EA0C33">
        <w:t>CPPSEC2016A Contribute to investigative activities</w:t>
      </w:r>
    </w:p>
    <w:p w:rsidR="00000000" w:rsidRPr="00EA0C33" w:rsidP="00EA0C33">
      <w:pPr>
        <w:pStyle w:val="Heading1"/>
      </w:pPr>
      <w:bookmarkStart w:id="1" w:name="O_270188"/>
      <w:bookmarkEnd w:id="1"/>
      <w:r w:rsidRPr="00EA0C33">
        <w:t>Modification History</w:t>
      </w:r>
    </w:p>
    <w:p w:rsidR="00000000" w:rsidRPr="00EA0C33" w:rsidP="00EA0C33">
      <w:pPr>
        <w:pStyle w:val="BodyText"/>
      </w:pPr>
      <w:r w:rsidRPr="00EA0C33">
        <w:t>Not Applicable</w:t>
      </w:r>
    </w:p>
    <w:p w:rsidR="00000000" w:rsidRPr="00EA0C33" w:rsidP="00EA0C33">
      <w:pPr>
        <w:pStyle w:val="AllowPageBreak"/>
      </w:pPr>
    </w:p>
    <w:p w:rsidR="00000000" w:rsidRPr="00EA0C33" w:rsidP="00EA0C33">
      <w:pPr>
        <w:pStyle w:val="Heading1"/>
      </w:pPr>
      <w:bookmarkStart w:id="2" w:name="O_201735"/>
      <w:bookmarkEnd w:id="2"/>
      <w:r w:rsidRPr="00EA0C33">
        <w:t>Unit Descriptor</w:t>
      </w:r>
    </w:p>
    <w:tbl>
      <w:tblPr>
        <w:tblW w:w="0" w:type="auto"/>
        <w:tblLayout w:type="fixed"/>
        <w:tblCellMar>
          <w:left w:w="62" w:type="dxa"/>
          <w:right w:w="62" w:type="dxa"/>
        </w:tblCellMar>
        <w:tblLook w:val="0000"/>
      </w:tblPr>
      <w:tblGrid>
        <w:gridCol w:w="2391"/>
        <w:gridCol w:w="6131"/>
      </w:tblGrid>
      <w:tr w:rsidTr="00C83045">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EA0C33" w:rsidP="00EA0C33">
            <w:pPr>
              <w:pStyle w:val="BodyText"/>
            </w:pPr>
            <w:r w:rsidRPr="00EA0C33">
              <w:t>This unit of competency specifies the outcomes required to assist an investigation.  It requires the</w:t>
            </w:r>
            <w:r w:rsidRPr="00EA0C33">
              <w:t xml:space="preserve"> ability to operate basic investigative equipment, source information, conduct surveillance, provide accurate observations and maintain records. </w:t>
            </w:r>
          </w:p>
          <w:p w:rsidR="00000000" w:rsidRPr="00EA0C33" w:rsidP="00EA0C33">
            <w:pPr>
              <w:pStyle w:val="BodyText"/>
            </w:pPr>
            <w:r w:rsidRPr="00EA0C33">
              <w:t>This unit may form part of the licensing requirements for persons engaged in security operations and investiga</w:t>
            </w:r>
            <w:r w:rsidRPr="00EA0C33">
              <w:t>tions in those states and territories where these are regulated activities.</w:t>
            </w:r>
          </w:p>
        </w:tc>
      </w:tr>
    </w:tbl>
    <w:p w:rsidR="00C83045" w:rsidP="00EA0C33">
      <w:pPr>
        <w:pStyle w:val="BodyText"/>
      </w:pPr>
    </w:p>
    <w:p w:rsidR="00C83045" w:rsidP="00EA0C33">
      <w:pPr>
        <w:pStyle w:val="BodyText"/>
      </w:pPr>
    </w:p>
    <w:p w:rsidR="00000000" w:rsidRPr="00EA0C33" w:rsidP="00EA0C33">
      <w:pPr>
        <w:pStyle w:val="Heading1"/>
      </w:pPr>
      <w:bookmarkStart w:id="3" w:name="O_201737"/>
      <w:bookmarkEnd w:id="3"/>
      <w:r w:rsidRPr="00EA0C33">
        <w:t>Application of the Unit</w:t>
      </w:r>
    </w:p>
    <w:tbl>
      <w:tblPr>
        <w:tblW w:w="0" w:type="auto"/>
        <w:tblLayout w:type="fixed"/>
        <w:tblCellMar>
          <w:left w:w="62" w:type="dxa"/>
          <w:right w:w="62" w:type="dxa"/>
        </w:tblCellMar>
        <w:tblLook w:val="0000"/>
      </w:tblPr>
      <w:tblGrid>
        <w:gridCol w:w="2391"/>
        <w:gridCol w:w="6131"/>
      </w:tblGrid>
      <w:tr w:rsidTr="00C83045">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EA0C33" w:rsidP="00EA0C33">
            <w:pPr>
              <w:pStyle w:val="BodyText"/>
            </w:pPr>
            <w:r w:rsidRPr="00EA0C33">
              <w:t>This unit of competency supports the work of all those involved in investigative operations in the security industry.  The knowledge and skills described in this unit are to be applied within relevant legislative and organisational guidelines.  Functions w</w:t>
            </w:r>
            <w:r w:rsidRPr="00EA0C33">
              <w:t xml:space="preserve">ould be carried out under routine supervision. </w:t>
            </w:r>
          </w:p>
        </w:tc>
      </w:tr>
    </w:tbl>
    <w:p w:rsidR="00C83045" w:rsidP="00EA0C33">
      <w:pPr>
        <w:pStyle w:val="BodyText"/>
      </w:pPr>
    </w:p>
    <w:p w:rsidR="00C83045" w:rsidP="00EA0C33">
      <w:pPr>
        <w:pStyle w:val="BodyText"/>
      </w:pPr>
    </w:p>
    <w:p w:rsidR="00000000" w:rsidRPr="00EA0C33" w:rsidP="00EA0C33">
      <w:pPr>
        <w:pStyle w:val="Heading1"/>
      </w:pPr>
      <w:bookmarkStart w:id="4" w:name="O_278448"/>
      <w:bookmarkEnd w:id="4"/>
      <w:r w:rsidRPr="00EA0C33">
        <w:t>Licensing/Regulatory Information</w:t>
      </w:r>
    </w:p>
    <w:p w:rsidR="00000000" w:rsidRPr="00EA0C33" w:rsidP="00EA0C33">
      <w:pPr>
        <w:pStyle w:val="BodyText"/>
      </w:pPr>
      <w:r w:rsidRPr="00EA0C33">
        <w:t>Refer to Unit Descriptor</w:t>
      </w:r>
    </w:p>
    <w:p w:rsidR="00000000" w:rsidRPr="00EA0C33" w:rsidP="00EA0C33">
      <w:pPr>
        <w:pStyle w:val="AllowPageBreak"/>
      </w:pPr>
    </w:p>
    <w:p w:rsidR="00000000" w:rsidRPr="00EA0C33" w:rsidP="00EA0C33">
      <w:pPr>
        <w:pStyle w:val="Heading1"/>
      </w:pPr>
      <w:bookmarkStart w:id="5" w:name="O_283569"/>
      <w:bookmarkEnd w:id="5"/>
      <w:r w:rsidRPr="00EA0C33">
        <w:t>Pre-Requisites</w:t>
      </w:r>
    </w:p>
    <w:p w:rsidR="00000000" w:rsidRPr="00EA0C33" w:rsidP="00EA0C33">
      <w:pPr>
        <w:pStyle w:val="BodyText"/>
      </w:pPr>
      <w:r w:rsidRPr="00EA0C33">
        <w:t>Not Applicable</w:t>
      </w:r>
    </w:p>
    <w:p w:rsidR="00000000" w:rsidRPr="00EA0C33" w:rsidP="00EA0C33">
      <w:pPr>
        <w:pStyle w:val="AllowPageBreak"/>
      </w:pPr>
    </w:p>
    <w:p w:rsidR="00000000" w:rsidRPr="00EA0C33" w:rsidP="00EA0C33">
      <w:pPr>
        <w:pStyle w:val="Heading1"/>
      </w:pPr>
      <w:bookmarkStart w:id="6" w:name="O_201736"/>
      <w:bookmarkEnd w:id="6"/>
      <w:r w:rsidRPr="00EA0C33">
        <w:t>Employability Skills Information</w:t>
      </w:r>
    </w:p>
    <w:tbl>
      <w:tblPr>
        <w:tblW w:w="0" w:type="auto"/>
        <w:tblLayout w:type="fixed"/>
        <w:tblCellMar>
          <w:left w:w="62" w:type="dxa"/>
          <w:right w:w="62" w:type="dxa"/>
        </w:tblCellMar>
        <w:tblLook w:val="0000"/>
      </w:tblPr>
      <w:tblGrid>
        <w:gridCol w:w="2624"/>
        <w:gridCol w:w="5898"/>
      </w:tblGrid>
      <w:tr w:rsidTr="00C83045">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EA0C33" w:rsidP="00EA0C33">
            <w:pPr>
              <w:pStyle w:val="BodyText"/>
            </w:pPr>
            <w:r w:rsidRPr="00EA0C33">
              <w:t>This unit contains employability skills.</w:t>
            </w:r>
          </w:p>
        </w:tc>
      </w:tr>
    </w:tbl>
    <w:p w:rsidR="00C83045" w:rsidP="00EA0C33">
      <w:pPr>
        <w:pStyle w:val="BodyText"/>
      </w:pPr>
    </w:p>
    <w:p w:rsidR="00C83045" w:rsidP="00EA0C33">
      <w:pPr>
        <w:pStyle w:val="BodyText"/>
      </w:pPr>
    </w:p>
    <w:p w:rsidR="00000000" w:rsidRPr="00EA0C33" w:rsidP="00EA0C33">
      <w:pPr>
        <w:pStyle w:val="Heading1"/>
      </w:pPr>
      <w:bookmarkStart w:id="7" w:name="O_288234"/>
      <w:bookmarkEnd w:id="7"/>
      <w:r w:rsidRPr="00EA0C33">
        <w:t>Elements and Performance Criteria Pre-Content</w:t>
      </w:r>
    </w:p>
    <w:tbl>
      <w:tblPr>
        <w:tblW w:w="0" w:type="auto"/>
        <w:tblLayout w:type="fixed"/>
        <w:tblCellMar>
          <w:left w:w="62" w:type="dxa"/>
          <w:right w:w="62" w:type="dxa"/>
        </w:tblCellMar>
        <w:tblLook w:val="0000"/>
      </w:tblPr>
      <w:tblGrid>
        <w:gridCol w:w="2412"/>
        <w:gridCol w:w="6110"/>
      </w:tblGrid>
      <w:tr w:rsidTr="00C830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EA0C33" w:rsidP="00EA0C33">
            <w:pPr>
              <w:pStyle w:val="BodyText"/>
            </w:pPr>
            <w:r w:rsidRPr="00EA0C33">
              <w:t>Performance criteria describe the required performance needed to demonstrate achiev</w:t>
            </w:r>
            <w:r w:rsidRPr="00EA0C33">
              <w:t xml:space="preserve">ement of the element. Where </w:t>
            </w:r>
            <w:r w:rsidRPr="00EA0C33">
              <w:rPr>
                <w:rStyle w:val="BoldandItalics"/>
              </w:rPr>
              <w:t>bold italicised</w:t>
            </w:r>
            <w:r w:rsidRPr="00EA0C33">
              <w:t xml:space="preserve"> text is used, further information is detailed in the required skills and knowledge section and/or the range statement. Assessment of performance is to be consistent with the evidence guide.</w:t>
            </w:r>
          </w:p>
        </w:tc>
      </w:tr>
    </w:tbl>
    <w:p w:rsidR="00000000" w:rsidRPr="00EA0C33" w:rsidP="00EA0C33">
      <w:pPr>
        <w:pStyle w:val="BodyText"/>
      </w:pPr>
    </w:p>
    <w:p w:rsidR="00000000" w:rsidRPr="00EA0C33" w:rsidP="00EA0C33">
      <w:pPr>
        <w:pStyle w:val="AllowPageBreak"/>
      </w:pPr>
    </w:p>
    <w:p w:rsidR="00000000" w:rsidRPr="00EA0C33" w:rsidP="00EA0C33">
      <w:pPr>
        <w:pStyle w:val="Heading1"/>
      </w:pPr>
      <w:bookmarkStart w:id="8" w:name="O_234901"/>
      <w:bookmarkEnd w:id="8"/>
      <w:r w:rsidRPr="00EA0C33">
        <w:t>Ele</w:t>
      </w:r>
      <w:r w:rsidRPr="00EA0C33">
        <w:t>ments and Performance Criteria</w:t>
      </w:r>
    </w:p>
    <w:tbl>
      <w:tblPr>
        <w:tblW w:w="0" w:type="auto"/>
        <w:tblLayout w:type="fixed"/>
        <w:tblCellMar>
          <w:left w:w="62" w:type="dxa"/>
          <w:right w:w="62" w:type="dxa"/>
        </w:tblCellMar>
        <w:tblLook w:val="0000"/>
      </w:tblPr>
      <w:tblGrid>
        <w:gridCol w:w="2412"/>
        <w:gridCol w:w="6110"/>
      </w:tblGrid>
      <w:tr w:rsidTr="00C83045">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EA0C33" w:rsidP="00EA0C33">
            <w:pPr>
              <w:pStyle w:val="List"/>
            </w:pPr>
            <w:r w:rsidRPr="00EA0C33">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EA0C33">
            <w:pPr>
              <w:pStyle w:val="List"/>
              <w:rPr>
                <w:lang w:val="en-NZ"/>
              </w:rPr>
            </w:pPr>
            <w:r w:rsidRPr="00EA0C33">
              <w:rPr>
                <w:rStyle w:val="SpecialBold"/>
              </w:rPr>
              <w:t>PERFORMANCE CRITERIA</w:t>
            </w:r>
          </w:p>
        </w:tc>
      </w:tr>
      <w:tr w:rsidTr="00C830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0C33">
            <w:pPr>
              <w:pStyle w:val="List"/>
              <w:rPr>
                <w:lang w:val="en-NZ"/>
              </w:rPr>
            </w:pPr>
            <w:r w:rsidRPr="00EA0C33">
              <w:rPr>
                <w:rStyle w:val="SpecialBold"/>
              </w:rPr>
              <w:t>1</w:t>
            </w:r>
            <w:r w:rsidRPr="00EA0C33">
              <w:tab/>
            </w:r>
            <w:r w:rsidRPr="00EA0C33">
              <w:rPr>
                <w:rStyle w:val="SpecialBold"/>
              </w:rPr>
              <w:t>Prepare for assignment</w:t>
            </w:r>
            <w:r w:rsidRPr="00EA0C33">
              <w:t>.</w:t>
            </w:r>
          </w:p>
        </w:tc>
        <w:tc>
          <w:tcPr>
            <w:tcW w:w="6110" w:type="dxa"/>
            <w:tcBorders>
              <w:top w:val="nil"/>
              <w:left w:val="nil"/>
              <w:bottom w:val="nil"/>
              <w:right w:val="nil"/>
            </w:tcBorders>
            <w:tcMar>
              <w:top w:w="0" w:type="dxa"/>
              <w:left w:w="62" w:type="dxa"/>
              <w:bottom w:w="0" w:type="dxa"/>
              <w:right w:w="62" w:type="dxa"/>
            </w:tcMar>
          </w:tcPr>
          <w:p w:rsidR="00000000" w:rsidRPr="00EA0C33" w:rsidP="00EA0C33">
            <w:pPr>
              <w:pStyle w:val="List"/>
            </w:pPr>
            <w:r w:rsidRPr="00EA0C33">
              <w:t>1.1</w:t>
            </w:r>
            <w:r w:rsidRPr="00EA0C33">
              <w:tab/>
              <w:t xml:space="preserve">Applicable provisions of </w:t>
            </w:r>
            <w:r w:rsidRPr="00EA0C33">
              <w:rPr>
                <w:rStyle w:val="BoldandItalics"/>
              </w:rPr>
              <w:t>legislative</w:t>
            </w:r>
            <w:r w:rsidRPr="00EA0C33">
              <w:t xml:space="preserve"> and </w:t>
            </w:r>
            <w:r w:rsidRPr="00EA0C33">
              <w:rPr>
                <w:rStyle w:val="BoldandItalics"/>
              </w:rPr>
              <w:t>organisational requirements</w:t>
            </w:r>
            <w:r w:rsidRPr="00EA0C33">
              <w:t xml:space="preserve"> relevant to </w:t>
            </w:r>
            <w:r w:rsidRPr="00EA0C33">
              <w:rPr>
                <w:rStyle w:val="BoldandItalics"/>
              </w:rPr>
              <w:t>assignment instructions</w:t>
            </w:r>
            <w:r w:rsidRPr="00EA0C33">
              <w:t xml:space="preserve"> are identified and complied with.</w:t>
            </w:r>
          </w:p>
          <w:p w:rsidR="00000000" w:rsidRPr="00EA0C33" w:rsidP="00EA0C33">
            <w:pPr>
              <w:pStyle w:val="List"/>
            </w:pPr>
            <w:r w:rsidRPr="00EA0C33">
              <w:t>1.2</w:t>
            </w:r>
            <w:r w:rsidRPr="00EA0C33">
              <w:tab/>
            </w:r>
            <w:r w:rsidRPr="00EA0C33">
              <w:t xml:space="preserve">Assignment instructions and other relevant information is clarified as required with </w:t>
            </w:r>
            <w:r w:rsidRPr="00EA0C33">
              <w:rPr>
                <w:rStyle w:val="BoldandItalics"/>
              </w:rPr>
              <w:t>relevant persons</w:t>
            </w:r>
            <w:r w:rsidRPr="00EA0C33">
              <w:t>.</w:t>
            </w:r>
          </w:p>
          <w:p w:rsidR="00000000" w:rsidRPr="00EA0C33" w:rsidP="00EA0C33">
            <w:pPr>
              <w:pStyle w:val="List"/>
            </w:pPr>
            <w:r w:rsidRPr="00EA0C33">
              <w:t>1.3</w:t>
            </w:r>
            <w:r w:rsidRPr="00EA0C33">
              <w:tab/>
            </w:r>
            <w:r w:rsidRPr="00EA0C33">
              <w:rPr>
                <w:rStyle w:val="BoldandItalics"/>
              </w:rPr>
              <w:t>Resource and equipment</w:t>
            </w:r>
            <w:r w:rsidRPr="00EA0C33">
              <w:t xml:space="preserve"> requirements are confirmed and organised in accordance with organisational procedures.</w:t>
            </w:r>
          </w:p>
          <w:p w:rsidR="00000000" w:rsidRPr="00EA0C33" w:rsidP="00EA0C33">
            <w:pPr>
              <w:pStyle w:val="List"/>
            </w:pPr>
            <w:r w:rsidRPr="00EA0C33">
              <w:t>1.4</w:t>
            </w:r>
            <w:r w:rsidRPr="00EA0C33">
              <w:tab/>
              <w:t>Equipment is checked for operationa</w:t>
            </w:r>
            <w:r w:rsidRPr="00EA0C33">
              <w:t>l effectiveness and faulty or damaged equipment is reported in accordance with organisational procedures.</w:t>
            </w:r>
          </w:p>
          <w:p w:rsidR="00000000" w:rsidP="00EA0C33">
            <w:pPr>
              <w:pStyle w:val="List"/>
              <w:rPr>
                <w:lang w:val="en-NZ"/>
              </w:rPr>
            </w:pPr>
            <w:r w:rsidRPr="00EA0C33">
              <w:t>1.5</w:t>
            </w:r>
            <w:r w:rsidRPr="00EA0C33">
              <w:tab/>
              <w:t xml:space="preserve">Inspection of surveillance site is conducted to identify and record </w:t>
            </w:r>
            <w:r w:rsidRPr="00EA0C33">
              <w:rPr>
                <w:rStyle w:val="BoldandItalics"/>
              </w:rPr>
              <w:t>factors</w:t>
            </w:r>
            <w:r w:rsidRPr="00EA0C33">
              <w:t xml:space="preserve"> which may impact upon assignment instructions.</w:t>
            </w:r>
          </w:p>
        </w:tc>
      </w:tr>
      <w:tr w:rsidTr="00C830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0C33">
            <w:pPr>
              <w:pStyle w:val="List"/>
              <w:rPr>
                <w:lang w:val="en-NZ"/>
              </w:rPr>
            </w:pPr>
            <w:r w:rsidRPr="00EA0C33">
              <w:rPr>
                <w:rStyle w:val="SpecialBold"/>
              </w:rPr>
              <w:t>2</w:t>
            </w:r>
            <w:r w:rsidRPr="00EA0C33">
              <w:tab/>
            </w:r>
            <w:r w:rsidRPr="00EA0C33">
              <w:rPr>
                <w:rStyle w:val="SpecialBold"/>
              </w:rPr>
              <w:t>Gather information</w:t>
            </w:r>
            <w:r w:rsidRPr="00EA0C33">
              <w:t>.</w:t>
            </w:r>
          </w:p>
        </w:tc>
        <w:tc>
          <w:tcPr>
            <w:tcW w:w="6110" w:type="dxa"/>
            <w:tcBorders>
              <w:top w:val="nil"/>
              <w:left w:val="nil"/>
              <w:bottom w:val="nil"/>
              <w:right w:val="nil"/>
            </w:tcBorders>
            <w:tcMar>
              <w:top w:w="0" w:type="dxa"/>
              <w:left w:w="62" w:type="dxa"/>
              <w:bottom w:w="0" w:type="dxa"/>
              <w:right w:w="62" w:type="dxa"/>
            </w:tcMar>
          </w:tcPr>
          <w:p w:rsidR="00000000" w:rsidRPr="00EA0C33" w:rsidP="00EA0C33">
            <w:pPr>
              <w:pStyle w:val="List"/>
            </w:pPr>
            <w:r w:rsidRPr="00EA0C33">
              <w:t>2.1</w:t>
            </w:r>
            <w:r w:rsidRPr="00EA0C33">
              <w:tab/>
            </w:r>
            <w:r w:rsidRPr="00EA0C33">
              <w:rPr>
                <w:rStyle w:val="BoldandItalics"/>
              </w:rPr>
              <w:t>Sources</w:t>
            </w:r>
            <w:r w:rsidRPr="00EA0C33">
              <w:t xml:space="preserve"> of information are selected and assessed for suitability appropriate to meet assignment instructions. </w:t>
            </w:r>
          </w:p>
          <w:p w:rsidR="00000000" w:rsidRPr="00EA0C33" w:rsidP="00EA0C33">
            <w:pPr>
              <w:pStyle w:val="List"/>
            </w:pPr>
            <w:r w:rsidRPr="00EA0C33">
              <w:t>2.2</w:t>
            </w:r>
            <w:r w:rsidRPr="00EA0C33">
              <w:tab/>
              <w:t>Assistance is provided in interviews in accordance with organisational procedures.</w:t>
            </w:r>
          </w:p>
          <w:p w:rsidR="00000000" w:rsidRPr="00EA0C33" w:rsidP="00EA0C33">
            <w:pPr>
              <w:pStyle w:val="List"/>
            </w:pPr>
            <w:r w:rsidRPr="00EA0C33">
              <w:t>2.3</w:t>
            </w:r>
            <w:r w:rsidRPr="00EA0C33">
              <w:tab/>
              <w:t>Meetings are conducted in accordance with organisa</w:t>
            </w:r>
            <w:r w:rsidRPr="00EA0C33">
              <w:t>tional procedures.</w:t>
            </w:r>
          </w:p>
          <w:p w:rsidR="00000000" w:rsidP="00EA0C33">
            <w:pPr>
              <w:pStyle w:val="List"/>
              <w:rPr>
                <w:lang w:val="en-NZ"/>
              </w:rPr>
            </w:pPr>
            <w:r w:rsidRPr="00EA0C33">
              <w:t>2.4</w:t>
            </w:r>
            <w:r w:rsidRPr="00EA0C33">
              <w:tab/>
              <w:t>Meetings and interviews are documented and processed in accordance with workplace procedures.</w:t>
            </w:r>
          </w:p>
        </w:tc>
      </w:tr>
      <w:tr w:rsidTr="00C830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0C33">
            <w:pPr>
              <w:pStyle w:val="List"/>
              <w:rPr>
                <w:lang w:val="en-NZ"/>
              </w:rPr>
            </w:pPr>
            <w:r w:rsidRPr="00EA0C33">
              <w:rPr>
                <w:rStyle w:val="SpecialBold"/>
              </w:rPr>
              <w:t>3</w:t>
            </w:r>
            <w:r w:rsidRPr="00EA0C33">
              <w:tab/>
            </w:r>
            <w:r w:rsidRPr="00EA0C33">
              <w:rPr>
                <w:rStyle w:val="SpecialBold"/>
              </w:rPr>
              <w:t>Conduct surveillance</w:t>
            </w:r>
            <w:r w:rsidRPr="00EA0C33">
              <w:t>.</w:t>
            </w:r>
          </w:p>
        </w:tc>
        <w:tc>
          <w:tcPr>
            <w:tcW w:w="6110" w:type="dxa"/>
            <w:tcBorders>
              <w:top w:val="nil"/>
              <w:left w:val="nil"/>
              <w:bottom w:val="nil"/>
              <w:right w:val="nil"/>
            </w:tcBorders>
            <w:tcMar>
              <w:top w:w="0" w:type="dxa"/>
              <w:left w:w="62" w:type="dxa"/>
              <w:bottom w:w="0" w:type="dxa"/>
              <w:right w:w="62" w:type="dxa"/>
            </w:tcMar>
          </w:tcPr>
          <w:p w:rsidR="00000000" w:rsidRPr="00EA0C33" w:rsidP="00EA0C33">
            <w:pPr>
              <w:pStyle w:val="List"/>
            </w:pPr>
            <w:r w:rsidRPr="00EA0C33">
              <w:t>3.1</w:t>
            </w:r>
            <w:r w:rsidRPr="00EA0C33">
              <w:tab/>
            </w:r>
            <w:r w:rsidRPr="00EA0C33">
              <w:rPr>
                <w:rStyle w:val="BoldandItalics"/>
              </w:rPr>
              <w:t>Surveillance</w:t>
            </w:r>
            <w:r w:rsidRPr="00EA0C33">
              <w:t xml:space="preserve"> is conducted in accordance with assignment instructions and applicable legislative requirements. </w:t>
            </w:r>
          </w:p>
          <w:p w:rsidR="00000000" w:rsidRPr="00EA0C33" w:rsidP="00EA0C33">
            <w:pPr>
              <w:pStyle w:val="List"/>
            </w:pPr>
            <w:r w:rsidRPr="00EA0C33">
              <w:t>3.2</w:t>
            </w:r>
            <w:r w:rsidRPr="00EA0C33">
              <w:tab/>
              <w:t>Surveillance equipment is positioned and operated in accordance with manufacturer's instructions.</w:t>
            </w:r>
          </w:p>
          <w:p w:rsidR="00000000" w:rsidRPr="00EA0C33" w:rsidP="00EA0C33">
            <w:pPr>
              <w:pStyle w:val="List"/>
            </w:pPr>
            <w:r w:rsidRPr="00EA0C33">
              <w:t>3.3</w:t>
            </w:r>
            <w:r w:rsidRPr="00EA0C33">
              <w:tab/>
              <w:t>Individuals or groups behaving in a suspicious or unusual manner are identified and monitored.</w:t>
            </w:r>
          </w:p>
          <w:p w:rsidR="00000000" w:rsidP="00EA0C33">
            <w:pPr>
              <w:pStyle w:val="List"/>
              <w:rPr>
                <w:lang w:val="en-NZ"/>
              </w:rPr>
            </w:pPr>
            <w:r w:rsidRPr="00EA0C33">
              <w:t>3.4</w:t>
            </w:r>
            <w:r w:rsidRPr="00EA0C33">
              <w:tab/>
            </w:r>
            <w:r w:rsidRPr="00EA0C33">
              <w:rPr>
                <w:rStyle w:val="BoldandItalics"/>
              </w:rPr>
              <w:t>Evidence</w:t>
            </w:r>
            <w:r w:rsidRPr="00EA0C33">
              <w:t xml:space="preserve"> of surveillance is completed and processe</w:t>
            </w:r>
            <w:r w:rsidRPr="00EA0C33">
              <w:t>d in accordance with organisational procedures.</w:t>
            </w:r>
          </w:p>
        </w:tc>
      </w:tr>
      <w:tr w:rsidTr="00C830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0C33">
            <w:pPr>
              <w:pStyle w:val="List"/>
              <w:rPr>
                <w:lang w:val="en-NZ"/>
              </w:rPr>
            </w:pPr>
            <w:r w:rsidRPr="00EA0C33">
              <w:rPr>
                <w:rStyle w:val="SpecialBold"/>
              </w:rPr>
              <w:t>4</w:t>
            </w:r>
            <w:r w:rsidRPr="00EA0C33">
              <w:tab/>
            </w:r>
            <w:r w:rsidRPr="00EA0C33">
              <w:rPr>
                <w:rStyle w:val="SpecialBold"/>
              </w:rPr>
              <w:t>Complete assignment</w:t>
            </w:r>
            <w:r w:rsidRPr="00EA0C33">
              <w:t>.</w:t>
            </w:r>
          </w:p>
        </w:tc>
        <w:tc>
          <w:tcPr>
            <w:tcW w:w="6110" w:type="dxa"/>
            <w:tcBorders>
              <w:top w:val="nil"/>
              <w:left w:val="nil"/>
              <w:bottom w:val="nil"/>
              <w:right w:val="nil"/>
            </w:tcBorders>
            <w:tcMar>
              <w:top w:w="0" w:type="dxa"/>
              <w:left w:w="62" w:type="dxa"/>
              <w:bottom w:w="0" w:type="dxa"/>
              <w:right w:w="62" w:type="dxa"/>
            </w:tcMar>
          </w:tcPr>
          <w:p w:rsidR="00000000" w:rsidRPr="00EA0C33" w:rsidP="00EA0C33">
            <w:pPr>
              <w:pStyle w:val="List"/>
            </w:pPr>
            <w:r w:rsidRPr="00EA0C33">
              <w:t>4.1</w:t>
            </w:r>
            <w:r w:rsidRPr="00EA0C33">
              <w:tab/>
              <w:t>Reports are prepared presenting all relevant facts and observations in appropriate format, style and structure.</w:t>
            </w:r>
          </w:p>
          <w:p w:rsidR="00000000" w:rsidRPr="00EA0C33" w:rsidP="00EA0C33">
            <w:pPr>
              <w:pStyle w:val="List"/>
            </w:pPr>
            <w:r w:rsidRPr="00EA0C33">
              <w:t>4.2</w:t>
            </w:r>
            <w:r w:rsidRPr="00EA0C33">
              <w:tab/>
              <w:t>Observations provided in reviewing and debriefing situations are</w:t>
            </w:r>
            <w:r w:rsidRPr="00EA0C33">
              <w:t xml:space="preserve"> accurate and constructive.</w:t>
            </w:r>
          </w:p>
          <w:p w:rsidR="00000000" w:rsidRPr="00EA0C33" w:rsidP="00EA0C33">
            <w:pPr>
              <w:pStyle w:val="List"/>
            </w:pPr>
            <w:r w:rsidRPr="00EA0C33">
              <w:t>4.3</w:t>
            </w:r>
            <w:r w:rsidRPr="00EA0C33">
              <w:tab/>
              <w:t>Opportunities for improvement are identified and recommendations provided to inform future practice.</w:t>
            </w:r>
          </w:p>
          <w:p w:rsidR="00000000" w:rsidRPr="00EA0C33" w:rsidP="00EA0C33">
            <w:pPr>
              <w:pStyle w:val="List"/>
            </w:pPr>
            <w:r w:rsidRPr="00EA0C33">
              <w:t>4.4</w:t>
            </w:r>
            <w:r w:rsidRPr="00EA0C33">
              <w:tab/>
              <w:t>Surveillance records and reports are completed and securely maintained with due regard to confidentiality.</w:t>
            </w:r>
          </w:p>
          <w:p w:rsidR="00000000" w:rsidRPr="00EA0C33" w:rsidP="00EA0C33">
            <w:pPr>
              <w:pStyle w:val="List"/>
            </w:pPr>
            <w:r w:rsidRPr="00EA0C33">
              <w:t>4.5</w:t>
            </w:r>
            <w:r w:rsidRPr="00EA0C33">
              <w:tab/>
              <w:t>Equipmen</w:t>
            </w:r>
            <w:r w:rsidRPr="00EA0C33">
              <w:t>t is checked, cleaned and stored in accordance with organisational procedures.</w:t>
            </w:r>
          </w:p>
        </w:tc>
      </w:tr>
    </w:tbl>
    <w:p w:rsidR="00C83045" w:rsidP="00EA0C33">
      <w:pPr>
        <w:pStyle w:val="BodyText"/>
      </w:pPr>
    </w:p>
    <w:p w:rsidR="00C83045" w:rsidP="00EA0C33">
      <w:pPr>
        <w:pStyle w:val="BodyText"/>
      </w:pPr>
    </w:p>
    <w:p w:rsidR="00000000" w:rsidRPr="00EA0C33" w:rsidP="00EA0C33">
      <w:pPr>
        <w:pStyle w:val="Heading1"/>
      </w:pPr>
      <w:bookmarkStart w:id="9" w:name="O_258851"/>
      <w:bookmarkEnd w:id="9"/>
      <w:r w:rsidRPr="00EA0C33">
        <w:t>Required Skills and Knowledge</w:t>
      </w:r>
    </w:p>
    <w:tbl>
      <w:tblPr>
        <w:tblW w:w="0" w:type="auto"/>
        <w:tblLayout w:type="fixed"/>
        <w:tblCellMar>
          <w:left w:w="62" w:type="dxa"/>
          <w:right w:w="62" w:type="dxa"/>
        </w:tblCellMar>
        <w:tblLook w:val="0000"/>
      </w:tblPr>
      <w:tblGrid>
        <w:gridCol w:w="8522"/>
      </w:tblGrid>
      <w:tr w:rsidTr="00C8304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SpecialBold"/>
              </w:rPr>
              <w:t>REQUIRED SKILLS AND KNOWLEDGE</w:t>
            </w:r>
          </w:p>
        </w:tc>
      </w:tr>
      <w:tr w:rsidTr="00C830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t>This section describes the skills and knowledge and their level required for this unit.</w:t>
            </w:r>
          </w:p>
        </w:tc>
      </w:tr>
      <w:tr w:rsidTr="00C830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SpecialBold"/>
              </w:rPr>
              <w:t>Required skills</w:t>
            </w:r>
          </w:p>
        </w:tc>
      </w:tr>
      <w:tr w:rsidTr="00C830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A0C33" w:rsidP="00EA0C33">
            <w:pPr>
              <w:pStyle w:val="ListBullet"/>
            </w:pPr>
            <w:r w:rsidRPr="00EA0C33">
              <w:t>communicate using appropriate channels and communication modes</w:t>
            </w:r>
          </w:p>
          <w:p w:rsidR="00000000" w:rsidRPr="00EA0C33" w:rsidP="00EA0C33">
            <w:pPr>
              <w:pStyle w:val="ListBullet"/>
            </w:pPr>
            <w:r w:rsidRPr="00EA0C33">
              <w:t>communication to engage with minority groups (eg young people, old people, people with an addiction or disability, Indigenous Australians, people from Culturally and Linguisti</w:t>
            </w:r>
            <w:r w:rsidRPr="00EA0C33">
              <w:t>cally Diverse (CALD) backgrounds)</w:t>
            </w:r>
          </w:p>
          <w:p w:rsidR="00000000" w:rsidRPr="00EA0C33" w:rsidP="00EA0C33">
            <w:pPr>
              <w:pStyle w:val="ListBullet"/>
            </w:pPr>
            <w:r w:rsidRPr="00EA0C33">
              <w:t>identify and comply with applicable legal and procedural requirements, including licensing requirements, relevant to surveillance activities</w:t>
            </w:r>
          </w:p>
          <w:p w:rsidR="00000000" w:rsidRPr="00EA0C33" w:rsidP="00EA0C33">
            <w:pPr>
              <w:pStyle w:val="ListBullet"/>
            </w:pPr>
            <w:r w:rsidRPr="00EA0C33">
              <w:t>interpret and follow instructions and procedures</w:t>
            </w:r>
          </w:p>
          <w:p w:rsidR="00000000" w:rsidRPr="00EA0C33" w:rsidP="00EA0C33">
            <w:pPr>
              <w:pStyle w:val="ListBullet"/>
            </w:pPr>
            <w:r w:rsidRPr="00EA0C33">
              <w:t>observation skills</w:t>
            </w:r>
          </w:p>
          <w:p w:rsidR="00000000" w:rsidRPr="00EA0C33" w:rsidP="00EA0C33">
            <w:pPr>
              <w:pStyle w:val="ListBullet"/>
            </w:pPr>
            <w:r w:rsidRPr="00EA0C33">
              <w:t xml:space="preserve">operate basic investigative equipment </w:t>
            </w:r>
          </w:p>
          <w:p w:rsidR="00000000" w:rsidRPr="00EA0C33" w:rsidP="00EA0C33">
            <w:pPr>
              <w:pStyle w:val="ListBullet"/>
            </w:pPr>
            <w:r w:rsidRPr="00EA0C33">
              <w:t>organise equipment and resource requirements</w:t>
            </w:r>
          </w:p>
          <w:p w:rsidR="00000000" w:rsidRPr="00EA0C33" w:rsidP="00EA0C33">
            <w:pPr>
              <w:pStyle w:val="ListBullet"/>
            </w:pPr>
            <w:r w:rsidRPr="00EA0C33">
              <w:t>participate in meetings and interviews</w:t>
            </w:r>
          </w:p>
          <w:p w:rsidR="00000000" w:rsidRPr="00EA0C33" w:rsidP="00EA0C33">
            <w:pPr>
              <w:pStyle w:val="ListBullet"/>
            </w:pPr>
            <w:r w:rsidRPr="00EA0C33">
              <w:t xml:space="preserve">record, report and document information </w:t>
            </w:r>
          </w:p>
          <w:p w:rsidR="00000000" w:rsidRPr="00EA0C33" w:rsidP="00EA0C33">
            <w:pPr>
              <w:pStyle w:val="ListBullet"/>
            </w:pPr>
            <w:r w:rsidRPr="00EA0C33">
              <w:t xml:space="preserve">source, collect and organise information </w:t>
            </w:r>
          </w:p>
          <w:p w:rsidR="00000000" w:rsidP="00EA0C33">
            <w:pPr>
              <w:pStyle w:val="ListBullet"/>
              <w:rPr>
                <w:lang w:val="en-NZ"/>
              </w:rPr>
            </w:pPr>
            <w:r w:rsidRPr="00EA0C33">
              <w:t>use and interpret maps and street directories.</w:t>
            </w:r>
          </w:p>
        </w:tc>
      </w:tr>
      <w:tr w:rsidTr="00C830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SpecialBold"/>
              </w:rPr>
              <w:t>Re</w:t>
            </w:r>
            <w:r w:rsidRPr="00EA0C33">
              <w:rPr>
                <w:rStyle w:val="SpecialBold"/>
              </w:rPr>
              <w:t>quired knowledge</w:t>
            </w:r>
          </w:p>
        </w:tc>
      </w:tr>
      <w:tr w:rsidTr="00C830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A0C33" w:rsidP="00EA0C33">
            <w:pPr>
              <w:pStyle w:val="ListBullet"/>
            </w:pPr>
            <w:r w:rsidRPr="00EA0C33">
              <w:t>applicable licensing and legal requirements relevant to factual and surveillance investigation operations</w:t>
            </w:r>
          </w:p>
          <w:p w:rsidR="00000000" w:rsidRPr="00EA0C33" w:rsidP="00EA0C33">
            <w:pPr>
              <w:pStyle w:val="ListBullet"/>
            </w:pPr>
            <w:r w:rsidRPr="00EA0C33">
              <w:t>basic requirements for the collection and presentation of evidence</w:t>
            </w:r>
          </w:p>
          <w:p w:rsidR="00000000" w:rsidRPr="00EA0C33" w:rsidP="00EA0C33">
            <w:pPr>
              <w:pStyle w:val="ListBullet"/>
            </w:pPr>
            <w:r w:rsidRPr="00EA0C33">
              <w:t>communication channels and modes</w:t>
            </w:r>
          </w:p>
          <w:p w:rsidR="00000000" w:rsidRPr="00EA0C33" w:rsidP="00EA0C33">
            <w:pPr>
              <w:pStyle w:val="ListBullet"/>
            </w:pPr>
            <w:r w:rsidRPr="00EA0C33">
              <w:t>information gathering technique</w:t>
            </w:r>
            <w:r w:rsidRPr="00EA0C33">
              <w:t xml:space="preserve">s </w:t>
            </w:r>
          </w:p>
          <w:p w:rsidR="00000000" w:rsidRPr="00EA0C33" w:rsidP="00EA0C33">
            <w:pPr>
              <w:pStyle w:val="ListBullet"/>
            </w:pPr>
            <w:r w:rsidRPr="00EA0C33">
              <w:t>interviewing, reviewing and debriefing processes</w:t>
            </w:r>
          </w:p>
          <w:p w:rsidR="00000000" w:rsidRPr="00EA0C33" w:rsidP="00EA0C33">
            <w:pPr>
              <w:pStyle w:val="ListBullet"/>
            </w:pPr>
            <w:r w:rsidRPr="00EA0C33">
              <w:t>observation and monitoring techniques</w:t>
            </w:r>
          </w:p>
          <w:p w:rsidR="00000000" w:rsidRPr="00EA0C33" w:rsidP="00EA0C33">
            <w:pPr>
              <w:pStyle w:val="ListBullet"/>
            </w:pPr>
            <w:r w:rsidRPr="00EA0C33">
              <w:t xml:space="preserve">operational functions of a range of investigative equipment </w:t>
            </w:r>
          </w:p>
          <w:p w:rsidR="00000000" w:rsidRPr="00EA0C33" w:rsidP="00EA0C33">
            <w:pPr>
              <w:pStyle w:val="ListBullet"/>
            </w:pPr>
            <w:r w:rsidRPr="00EA0C33">
              <w:t>principles of effective communication including interpersonal techniques</w:t>
            </w:r>
          </w:p>
          <w:p w:rsidR="00000000" w:rsidRPr="00EA0C33" w:rsidP="00EA0C33">
            <w:pPr>
              <w:pStyle w:val="ListBullet"/>
            </w:pPr>
            <w:r w:rsidRPr="00EA0C33">
              <w:t>privacy requirements relating to surveillance</w:t>
            </w:r>
          </w:p>
          <w:p w:rsidR="00000000" w:rsidRPr="00EA0C33" w:rsidP="00EA0C33">
            <w:pPr>
              <w:pStyle w:val="ListBullet"/>
            </w:pPr>
            <w:r w:rsidRPr="00EA0C33">
              <w:t xml:space="preserve">reliable and verifiable sources of information </w:t>
            </w:r>
          </w:p>
          <w:p w:rsidR="00000000" w:rsidRPr="00EA0C33" w:rsidP="00EA0C33">
            <w:pPr>
              <w:pStyle w:val="ListBullet"/>
            </w:pPr>
            <w:r w:rsidRPr="00EA0C33">
              <w:t xml:space="preserve">reporting and documentation requirements </w:t>
            </w:r>
          </w:p>
          <w:p w:rsidR="00000000" w:rsidRPr="00EA0C33" w:rsidP="00EA0C33">
            <w:pPr>
              <w:pStyle w:val="ListBullet"/>
            </w:pPr>
            <w:r w:rsidRPr="00EA0C33">
              <w:t>reporting structure and processes</w:t>
            </w:r>
          </w:p>
          <w:p w:rsidR="00000000" w:rsidRPr="00EA0C33" w:rsidP="00EA0C33">
            <w:pPr>
              <w:pStyle w:val="ListBullet"/>
            </w:pPr>
            <w:r w:rsidRPr="00EA0C33">
              <w:t>surveillance site location and layout.</w:t>
            </w:r>
          </w:p>
        </w:tc>
      </w:tr>
    </w:tbl>
    <w:p w:rsidR="00C83045" w:rsidP="00EA0C33">
      <w:pPr>
        <w:pStyle w:val="BodyText"/>
      </w:pPr>
    </w:p>
    <w:p w:rsidR="00C83045" w:rsidP="00EA0C33">
      <w:pPr>
        <w:pStyle w:val="BodyText"/>
      </w:pPr>
    </w:p>
    <w:p w:rsidR="00000000" w:rsidRPr="00EA0C33" w:rsidP="00EA0C33">
      <w:pPr>
        <w:pStyle w:val="Heading1"/>
      </w:pPr>
      <w:bookmarkStart w:id="10" w:name="O_242885"/>
      <w:bookmarkEnd w:id="10"/>
      <w:r w:rsidRPr="00EA0C33">
        <w:t>Evidence Guide</w:t>
      </w:r>
    </w:p>
    <w:tbl>
      <w:tblPr>
        <w:tblW w:w="9287" w:type="dxa"/>
        <w:tblLayout w:type="fixed"/>
        <w:tblCellMar>
          <w:left w:w="62" w:type="dxa"/>
          <w:right w:w="62" w:type="dxa"/>
        </w:tblCellMar>
        <w:tblLook w:val="0000"/>
      </w:tblPr>
      <w:tblGrid>
        <w:gridCol w:w="2621"/>
        <w:gridCol w:w="6659"/>
        <w:gridCol w:w="7"/>
      </w:tblGrid>
      <w:tr w:rsidTr="00C83045">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SpecialBold"/>
              </w:rPr>
              <w:t>EVIDENCE GU</w:t>
            </w:r>
            <w:r w:rsidRPr="00EA0C33">
              <w:rPr>
                <w:rStyle w:val="SpecialBold"/>
              </w:rPr>
              <w:t>IDE</w:t>
            </w:r>
          </w:p>
        </w:tc>
      </w:tr>
      <w:tr w:rsidTr="00C83045">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t>The evidence guide provides advice on assessment and must be read in conjunction with the performance criteria, required skills and knowledge, range statement and the Assessment Guidelines for the Training Package.</w:t>
            </w:r>
          </w:p>
        </w:tc>
      </w:tr>
      <w:tr w:rsidTr="00C8304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EA0C33" w:rsidP="00EA0C33">
            <w:pPr>
              <w:pStyle w:val="BodyText"/>
            </w:pPr>
            <w:r w:rsidRPr="00EA0C33">
              <w:t>A person who demonstrates competency in this unit must be able to provide evidence of:</w:t>
            </w:r>
          </w:p>
          <w:p w:rsidR="00000000" w:rsidRPr="00EA0C33" w:rsidP="00EA0C33">
            <w:pPr>
              <w:pStyle w:val="ListBullet"/>
            </w:pPr>
            <w:r w:rsidRPr="00EA0C33">
              <w:t>complying with applicable legislation and relevant licensing requirements f</w:t>
            </w:r>
            <w:r w:rsidRPr="00EA0C33">
              <w:t>or investigations</w:t>
            </w:r>
          </w:p>
          <w:p w:rsidR="00000000" w:rsidRPr="00EA0C33" w:rsidP="00EA0C33">
            <w:pPr>
              <w:pStyle w:val="ListBullet"/>
            </w:pPr>
            <w:r w:rsidRPr="00EA0C33">
              <w:t xml:space="preserve">carrying out surveillance procedures in a systematic manner </w:t>
            </w:r>
          </w:p>
          <w:p w:rsidR="00000000" w:rsidRPr="00EA0C33" w:rsidP="00EA0C33">
            <w:pPr>
              <w:pStyle w:val="ListBullet"/>
            </w:pPr>
            <w:r w:rsidRPr="00EA0C33">
              <w:t>functioning as a part of a team in a static or mobile surveillance operation</w:t>
            </w:r>
          </w:p>
          <w:p w:rsidR="00000000" w:rsidRPr="00EA0C33" w:rsidP="00EA0C33">
            <w:pPr>
              <w:pStyle w:val="ListBullet"/>
            </w:pPr>
            <w:r w:rsidRPr="00EA0C33">
              <w:t>operating and maintaining investigative and communications equipment</w:t>
            </w:r>
          </w:p>
          <w:p w:rsidR="00000000" w:rsidRPr="00EA0C33" w:rsidP="00EA0C33">
            <w:pPr>
              <w:pStyle w:val="ListBullet"/>
            </w:pPr>
            <w:r w:rsidRPr="00EA0C33">
              <w:t>sourcing, organising and managi</w:t>
            </w:r>
            <w:r w:rsidRPr="00EA0C33">
              <w:t xml:space="preserve">ng information, evidence and other investigative material </w:t>
            </w:r>
          </w:p>
          <w:p w:rsidR="00000000" w:rsidP="00EA0C33">
            <w:pPr>
              <w:pStyle w:val="ListBullet"/>
              <w:rPr>
                <w:lang w:val="en-NZ"/>
              </w:rPr>
            </w:pPr>
            <w:r w:rsidRPr="00EA0C33">
              <w:t>using effective communication techniques to give clear and accurate information in a form which is preferred and understood by the receiver and engages minority groups.</w:t>
            </w:r>
          </w:p>
        </w:tc>
      </w:tr>
      <w:tr w:rsidTr="00C8304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EA0C33" w:rsidP="00EA0C33">
            <w:pPr>
              <w:pStyle w:val="BodyText"/>
            </w:pPr>
            <w:r w:rsidRPr="00EA0C33">
              <w:t>Context of assessment includes:</w:t>
            </w:r>
          </w:p>
          <w:p w:rsidR="00000000" w:rsidRPr="00EA0C33" w:rsidP="00EA0C33">
            <w:pPr>
              <w:pStyle w:val="ListBullet"/>
            </w:pPr>
            <w:r w:rsidRPr="00EA0C33">
              <w:t>a setting in the workplace or environment that simulates the conditions of performance described in the elements, performance criteria and range statement.</w:t>
            </w:r>
          </w:p>
          <w:p w:rsidR="00000000" w:rsidRPr="00EA0C33" w:rsidP="00EA0C33">
            <w:pPr>
              <w:pStyle w:val="BodyText"/>
            </w:pPr>
            <w:r w:rsidRPr="00EA0C33">
              <w:t>Resource implicati</w:t>
            </w:r>
            <w:r w:rsidRPr="00EA0C33">
              <w:t>ons for assessment include:</w:t>
            </w:r>
          </w:p>
          <w:p w:rsidR="00000000" w:rsidRPr="00EA0C33" w:rsidP="00EA0C33">
            <w:pPr>
              <w:pStyle w:val="ListBullet"/>
            </w:pPr>
            <w:r w:rsidRPr="00EA0C33">
              <w:t>access to plain English version of relevant statutes and procedures</w:t>
            </w:r>
          </w:p>
          <w:p w:rsidR="00000000" w:rsidRPr="00EA0C33" w:rsidP="00EA0C33">
            <w:pPr>
              <w:pStyle w:val="ListBullet"/>
            </w:pPr>
            <w:r w:rsidRPr="00EA0C33">
              <w:t>access to a registered provider of assessment services</w:t>
            </w:r>
          </w:p>
          <w:p w:rsidR="00000000" w:rsidRPr="00EA0C33" w:rsidP="00EA0C33">
            <w:pPr>
              <w:pStyle w:val="ListBullet"/>
            </w:pPr>
            <w:r w:rsidRPr="00EA0C33">
              <w:t>access to a suitable venue and equipment</w:t>
            </w:r>
          </w:p>
          <w:p w:rsidR="00000000" w:rsidRPr="00EA0C33" w:rsidP="00EA0C33">
            <w:pPr>
              <w:pStyle w:val="ListBullet"/>
            </w:pPr>
            <w:r w:rsidRPr="00EA0C33">
              <w:t>assessment instruments including personal planner and assessmen</w:t>
            </w:r>
            <w:r w:rsidRPr="00EA0C33">
              <w:t>t record book</w:t>
            </w:r>
          </w:p>
          <w:p w:rsidR="00000000" w:rsidRPr="00EA0C33" w:rsidP="00EA0C33">
            <w:pPr>
              <w:pStyle w:val="ListBullet"/>
            </w:pPr>
            <w:r w:rsidRPr="00EA0C33">
              <w:t>work schedules, organisational policies and duty statements.</w:t>
            </w:r>
          </w:p>
          <w:p w:rsidR="00000000" w:rsidP="00EA0C33">
            <w:pPr>
              <w:pStyle w:val="BodyText"/>
              <w:rPr>
                <w:lang w:val="en-NZ"/>
              </w:rPr>
            </w:pPr>
            <w:r w:rsidRPr="00EA0C33">
              <w:t>Reasonable adjustments must be made to assessment processes where required for people with disabilities. This could include access to modified equipment and other physical resources</w:t>
            </w:r>
            <w:r w:rsidRPr="00EA0C33">
              <w:t>, and the provision of appropriate assessment support.</w:t>
            </w:r>
          </w:p>
        </w:tc>
      </w:tr>
      <w:tr w:rsidTr="00C8304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EA0C33" w:rsidP="00EA0C33">
            <w:pPr>
              <w:pStyle w:val="BodyText"/>
            </w:pPr>
            <w:r w:rsidRPr="00EA0C33">
              <w:t>This unit of competency could be assessed using the following methods of assessment:</w:t>
            </w:r>
          </w:p>
          <w:p w:rsidR="00000000" w:rsidRPr="00EA0C33" w:rsidP="00EA0C33">
            <w:pPr>
              <w:pStyle w:val="ListBullet"/>
            </w:pPr>
            <w:r w:rsidRPr="00EA0C33">
              <w:t>observation of processes and procedures</w:t>
            </w:r>
          </w:p>
          <w:p w:rsidR="00000000" w:rsidP="00EA0C33">
            <w:pPr>
              <w:pStyle w:val="ListBullet"/>
              <w:rPr>
                <w:lang w:val="en-NZ"/>
              </w:rPr>
            </w:pPr>
            <w:r w:rsidRPr="00EA0C33">
              <w:t>questioning of underpinning knowledge and skills.</w:t>
            </w:r>
          </w:p>
        </w:tc>
      </w:tr>
      <w:tr w:rsidTr="00C8304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SpecialBold"/>
              </w:rPr>
              <w:t xml:space="preserve">Guidance information </w:t>
            </w:r>
            <w:r w:rsidRPr="00EA0C33">
              <w:rPr>
                <w:rStyle w:val="SpecialBold"/>
              </w:rPr>
              <w:t>for assessment</w:t>
            </w:r>
          </w:p>
        </w:tc>
        <w:tc>
          <w:tcPr>
            <w:tcW w:w="6659" w:type="dxa"/>
            <w:tcBorders>
              <w:top w:val="nil"/>
              <w:left w:val="nil"/>
              <w:bottom w:val="nil"/>
              <w:right w:val="nil"/>
            </w:tcBorders>
            <w:tcMar>
              <w:top w:w="0" w:type="dxa"/>
              <w:left w:w="62" w:type="dxa"/>
              <w:bottom w:w="0" w:type="dxa"/>
              <w:right w:w="62" w:type="dxa"/>
            </w:tcMar>
          </w:tcPr>
          <w:p w:rsidR="00000000" w:rsidRPr="00EA0C33" w:rsidP="00EA0C33">
            <w:pPr>
              <w:pStyle w:val="BodyText"/>
            </w:pPr>
            <w:r w:rsidRPr="00EA0C33">
              <w:t xml:space="preserve">Assessment processes and techniques must be culturally appropriate and suitable to the language, literacy and numeracy </w:t>
            </w:r>
            <w:r w:rsidRPr="00EA0C33">
              <w:t xml:space="preserve">capacity of the candidate and the competency being assessed. In all cases where practical assessment </w:t>
            </w:r>
            <w:r w:rsidRPr="00EA0C33">
              <w:t>is used, it should be combined with targeted questioning to assess the underpinning knowledge.</w:t>
            </w:r>
          </w:p>
          <w:p w:rsidR="00000000" w:rsidRPr="00EA0C33" w:rsidP="00EA0C33">
            <w:pPr>
              <w:pStyle w:val="BodyText"/>
            </w:pPr>
            <w:r w:rsidRPr="00EA0C33">
              <w:t>Oral questioning or written assessment may be used to assess underpinning knowledge. In assessment situations where the candidate is offered a choice between ora</w:t>
            </w:r>
            <w:r w:rsidRPr="00EA0C33">
              <w:t>l questioning and written assessment, questions are to be identical.</w:t>
            </w:r>
          </w:p>
          <w:p w:rsidR="00000000" w:rsidRPr="00EA0C33" w:rsidP="00EA0C33">
            <w:pPr>
              <w:pStyle w:val="BodyText"/>
            </w:pPr>
            <w:r w:rsidRPr="00EA0C33">
              <w:t>Supplementary evidence may be obtained from relevant authenticated correspondence from existing supervisors, team leaders or specialist training staff.</w:t>
            </w:r>
          </w:p>
        </w:tc>
      </w:tr>
    </w:tbl>
    <w:p w:rsidR="00C83045" w:rsidP="00EA0C33">
      <w:pPr>
        <w:pStyle w:val="BodyText"/>
      </w:pPr>
    </w:p>
    <w:p w:rsidR="00C83045" w:rsidP="00EA0C33">
      <w:pPr>
        <w:pStyle w:val="BodyText"/>
      </w:pPr>
    </w:p>
    <w:p w:rsidR="00000000" w:rsidRPr="00EA0C33" w:rsidP="00EA0C33">
      <w:pPr>
        <w:pStyle w:val="Heading1"/>
      </w:pPr>
      <w:bookmarkStart w:id="11" w:name="O_250868"/>
      <w:bookmarkEnd w:id="11"/>
      <w:r w:rsidRPr="00EA0C33">
        <w:t>Range Statem</w:t>
      </w:r>
      <w:r w:rsidRPr="00EA0C33">
        <w:t>ent</w:t>
      </w:r>
    </w:p>
    <w:tbl>
      <w:tblPr>
        <w:tblW w:w="0" w:type="auto"/>
        <w:tblLayout w:type="fixed"/>
        <w:tblCellMar>
          <w:left w:w="62" w:type="dxa"/>
          <w:right w:w="62" w:type="dxa"/>
        </w:tblCellMar>
        <w:tblLook w:val="0000"/>
      </w:tblPr>
      <w:tblGrid>
        <w:gridCol w:w="2412"/>
        <w:gridCol w:w="6110"/>
      </w:tblGrid>
      <w:tr w:rsidTr="00C8304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SpecialBold"/>
              </w:rPr>
              <w:t>RANGE STATEMENT</w:t>
            </w:r>
          </w:p>
        </w:tc>
      </w:tr>
      <w:tr w:rsidTr="00C8304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t xml:space="preserve">The range statement relates to the unit of competency as a whole. It allows for different work environments and situations that may affect </w:t>
            </w:r>
            <w:r w:rsidRPr="00EA0C33">
              <w:t>performance. Bold italicised wording, if used in the performance criteria, is detailed below. Essential operating conditions that may be present with training and assessment (depending on the work situation, needs of the candidate, accessibility of the ite</w:t>
            </w:r>
            <w:r w:rsidRPr="00EA0C33">
              <w:t>m, and local industry and regional contexts) may also be included.</w:t>
            </w:r>
          </w:p>
        </w:tc>
      </w:tr>
      <w:tr w:rsidTr="00C830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BoldandItalics"/>
              </w:rPr>
              <w:t>Legislative requirements may relate to</w:t>
            </w:r>
            <w:r w:rsidRPr="00EA0C33">
              <w:t xml:space="preserve">: </w:t>
            </w:r>
          </w:p>
        </w:tc>
        <w:tc>
          <w:tcPr>
            <w:tcW w:w="6110" w:type="dxa"/>
            <w:tcBorders>
              <w:top w:val="nil"/>
              <w:left w:val="nil"/>
              <w:bottom w:val="nil"/>
              <w:right w:val="nil"/>
            </w:tcBorders>
            <w:tcMar>
              <w:top w:w="0" w:type="dxa"/>
              <w:left w:w="62" w:type="dxa"/>
              <w:bottom w:w="0" w:type="dxa"/>
              <w:right w:w="62" w:type="dxa"/>
            </w:tcMar>
          </w:tcPr>
          <w:p w:rsidR="00000000" w:rsidRPr="00EA0C33" w:rsidP="00EA0C33">
            <w:pPr>
              <w:pStyle w:val="ListBullet"/>
            </w:pPr>
            <w:r w:rsidRPr="00EA0C33">
              <w:t xml:space="preserve">apprehension and powers of arrest </w:t>
            </w:r>
          </w:p>
          <w:p w:rsidR="00000000" w:rsidRPr="00EA0C33" w:rsidP="00EA0C33">
            <w:pPr>
              <w:pStyle w:val="ListBullet"/>
            </w:pPr>
            <w:r w:rsidRPr="00EA0C33">
              <w:t>Australian standards and quality assurance requirements</w:t>
            </w:r>
          </w:p>
          <w:p w:rsidR="00000000" w:rsidRPr="00EA0C33" w:rsidP="00EA0C33">
            <w:pPr>
              <w:pStyle w:val="ListBullet"/>
            </w:pPr>
            <w:r w:rsidRPr="00EA0C33">
              <w:t>counter-terrorism</w:t>
            </w:r>
          </w:p>
          <w:p w:rsidR="00000000" w:rsidRPr="00EA0C33" w:rsidP="00EA0C33">
            <w:pPr>
              <w:pStyle w:val="ListBullet"/>
            </w:pPr>
            <w:r w:rsidRPr="00EA0C33">
              <w:t>crowd control and control of persons</w:t>
            </w:r>
            <w:r w:rsidRPr="00EA0C33">
              <w:t xml:space="preserve"> under the influence of intoxicating substances</w:t>
            </w:r>
          </w:p>
          <w:p w:rsidR="00000000" w:rsidRPr="00EA0C33" w:rsidP="00EA0C33">
            <w:pPr>
              <w:pStyle w:val="ListBullet"/>
            </w:pPr>
            <w:r w:rsidRPr="00EA0C33">
              <w:t>force continuum, use of force guidelines</w:t>
            </w:r>
          </w:p>
          <w:p w:rsidR="00000000" w:rsidRPr="00EA0C33" w:rsidP="00EA0C33">
            <w:pPr>
              <w:pStyle w:val="ListBullet"/>
            </w:pPr>
            <w:r w:rsidRPr="00EA0C33">
              <w:t>general 'duty of care' responsibilities</w:t>
            </w:r>
          </w:p>
          <w:p w:rsidR="00000000" w:rsidRPr="00EA0C33" w:rsidP="00EA0C33">
            <w:pPr>
              <w:pStyle w:val="ListBullet"/>
            </w:pPr>
            <w:r w:rsidRPr="00EA0C33">
              <w:t>inspection of people and property, and search and seizure of goods</w:t>
            </w:r>
          </w:p>
          <w:p w:rsidR="00000000" w:rsidRPr="00EA0C33" w:rsidP="00EA0C33">
            <w:pPr>
              <w:pStyle w:val="ListBullet"/>
            </w:pPr>
            <w:r w:rsidRPr="00EA0C33">
              <w:t>licensing or certification requirements</w:t>
            </w:r>
          </w:p>
          <w:p w:rsidR="00000000" w:rsidRPr="00EA0C33" w:rsidP="00EA0C33">
            <w:pPr>
              <w:pStyle w:val="ListBullet"/>
            </w:pPr>
            <w:r w:rsidRPr="00EA0C33">
              <w:t>privacy and confidentiality</w:t>
            </w:r>
          </w:p>
          <w:p w:rsidR="00000000" w:rsidRPr="00EA0C33" w:rsidP="00EA0C33">
            <w:pPr>
              <w:pStyle w:val="ListBullet"/>
            </w:pPr>
            <w:r w:rsidRPr="00EA0C33">
              <w:t>relevant commonwealth, state and territory legislation, codes and national standards for:</w:t>
            </w:r>
          </w:p>
          <w:p w:rsidR="00000000" w:rsidRPr="00EA0C33" w:rsidP="00EA0C33">
            <w:pPr>
              <w:pStyle w:val="ListBullet2"/>
            </w:pPr>
            <w:r w:rsidRPr="00EA0C33">
              <w:t>anti-discrimination</w:t>
            </w:r>
          </w:p>
          <w:p w:rsidR="00000000" w:rsidRPr="00EA0C33" w:rsidP="00EA0C33">
            <w:pPr>
              <w:pStyle w:val="ListBullet2"/>
            </w:pPr>
            <w:r w:rsidRPr="00EA0C33">
              <w:t>cultural and ethnic diversity</w:t>
            </w:r>
          </w:p>
          <w:p w:rsidR="00000000" w:rsidRPr="00EA0C33" w:rsidP="00EA0C33">
            <w:pPr>
              <w:pStyle w:val="ListBullet2"/>
            </w:pPr>
            <w:r w:rsidRPr="00EA0C33">
              <w:t>environmental issues</w:t>
            </w:r>
          </w:p>
          <w:p w:rsidR="00000000" w:rsidRPr="00EA0C33" w:rsidP="00EA0C33">
            <w:pPr>
              <w:pStyle w:val="ListBullet2"/>
            </w:pPr>
            <w:r w:rsidRPr="00EA0C33">
              <w:t>equal employment opportunity</w:t>
            </w:r>
          </w:p>
          <w:p w:rsidR="00000000" w:rsidRPr="00EA0C33" w:rsidP="00EA0C33">
            <w:pPr>
              <w:pStyle w:val="ListBullet2"/>
            </w:pPr>
            <w:r w:rsidRPr="00EA0C33">
              <w:t>industrial relations</w:t>
            </w:r>
          </w:p>
          <w:p w:rsidR="00000000" w:rsidRPr="00EA0C33" w:rsidP="00EA0C33">
            <w:pPr>
              <w:pStyle w:val="ListBullet2"/>
            </w:pPr>
            <w:r w:rsidRPr="00EA0C33">
              <w:t>Occupational Hea</w:t>
            </w:r>
            <w:r w:rsidRPr="00EA0C33">
              <w:t>lth and Safety (OHS)</w:t>
            </w:r>
          </w:p>
          <w:p w:rsidR="00000000" w:rsidRPr="00EA0C33" w:rsidP="00EA0C33">
            <w:pPr>
              <w:pStyle w:val="ListBullet"/>
            </w:pPr>
            <w:r w:rsidRPr="00EA0C33">
              <w:t xml:space="preserve">relevant industry codes of practice </w:t>
            </w:r>
          </w:p>
          <w:p w:rsidR="00000000" w:rsidP="00EA0C33">
            <w:pPr>
              <w:pStyle w:val="ListBullet"/>
              <w:rPr>
                <w:lang w:val="en-NZ"/>
              </w:rPr>
            </w:pPr>
            <w:r w:rsidRPr="00EA0C33">
              <w:t>trespass and the removal of persons.</w:t>
            </w:r>
          </w:p>
        </w:tc>
      </w:tr>
      <w:tr w:rsidTr="00C830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BoldandItalics"/>
              </w:rPr>
              <w:t>Organisational requirements may relate to</w:t>
            </w:r>
            <w:r w:rsidRPr="00EA0C33">
              <w:t>:</w:t>
            </w:r>
          </w:p>
        </w:tc>
        <w:tc>
          <w:tcPr>
            <w:tcW w:w="6110" w:type="dxa"/>
            <w:tcBorders>
              <w:top w:val="nil"/>
              <w:left w:val="nil"/>
              <w:bottom w:val="nil"/>
              <w:right w:val="nil"/>
            </w:tcBorders>
            <w:tcMar>
              <w:top w:w="0" w:type="dxa"/>
              <w:left w:w="62" w:type="dxa"/>
              <w:bottom w:w="0" w:type="dxa"/>
              <w:right w:w="62" w:type="dxa"/>
            </w:tcMar>
          </w:tcPr>
          <w:p w:rsidR="00000000" w:rsidRPr="00EA0C33" w:rsidP="00EA0C33">
            <w:pPr>
              <w:pStyle w:val="ListBullet"/>
            </w:pPr>
            <w:r w:rsidRPr="00EA0C33">
              <w:t>access and equity policies, principles and practices</w:t>
            </w:r>
          </w:p>
          <w:p w:rsidR="00000000" w:rsidRPr="00EA0C33" w:rsidP="00EA0C33">
            <w:pPr>
              <w:pStyle w:val="ListBullet"/>
            </w:pPr>
            <w:r w:rsidRPr="00EA0C33">
              <w:t>business and performance plans</w:t>
            </w:r>
          </w:p>
          <w:p w:rsidR="00000000" w:rsidRPr="00EA0C33" w:rsidP="00EA0C33">
            <w:pPr>
              <w:pStyle w:val="ListBullet"/>
            </w:pPr>
            <w:r w:rsidRPr="00EA0C33">
              <w:t>client service standards</w:t>
            </w:r>
          </w:p>
          <w:p w:rsidR="00000000" w:rsidRPr="00EA0C33" w:rsidP="00EA0C33">
            <w:pPr>
              <w:pStyle w:val="ListBullet"/>
            </w:pPr>
            <w:r w:rsidRPr="00EA0C33">
              <w:t>code of conduct, code of ethics</w:t>
            </w:r>
          </w:p>
          <w:p w:rsidR="00000000" w:rsidRPr="00EA0C33" w:rsidP="00EA0C33">
            <w:pPr>
              <w:pStyle w:val="ListBullet"/>
            </w:pPr>
            <w:r w:rsidRPr="00EA0C33">
              <w:t>communication and reporting procedures</w:t>
            </w:r>
          </w:p>
          <w:p w:rsidR="00000000" w:rsidRPr="00EA0C33" w:rsidP="00EA0C33">
            <w:pPr>
              <w:pStyle w:val="ListBullet"/>
            </w:pPr>
            <w:r w:rsidRPr="00EA0C33">
              <w:t>complaint and dispute resolution procedures</w:t>
            </w:r>
          </w:p>
          <w:p w:rsidR="00000000" w:rsidRPr="00EA0C33" w:rsidP="00EA0C33">
            <w:pPr>
              <w:pStyle w:val="ListBullet"/>
            </w:pPr>
            <w:r w:rsidRPr="00EA0C33">
              <w:t>emergency and evacuation procedures</w:t>
            </w:r>
          </w:p>
          <w:p w:rsidR="00000000" w:rsidRPr="00EA0C33" w:rsidP="00EA0C33">
            <w:pPr>
              <w:pStyle w:val="ListBullet"/>
            </w:pPr>
            <w:r w:rsidRPr="00EA0C33">
              <w:t xml:space="preserve">employer and employee rights and responsibilities </w:t>
            </w:r>
          </w:p>
          <w:p w:rsidR="00000000" w:rsidRPr="00EA0C33" w:rsidP="00EA0C33">
            <w:pPr>
              <w:pStyle w:val="ListBullet"/>
            </w:pPr>
            <w:r w:rsidRPr="00EA0C33">
              <w:t>OHS policies, procedures and programs</w:t>
            </w:r>
          </w:p>
          <w:p w:rsidR="00000000" w:rsidRPr="00EA0C33" w:rsidP="00EA0C33">
            <w:pPr>
              <w:pStyle w:val="ListBullet"/>
            </w:pPr>
            <w:r w:rsidRPr="00EA0C33">
              <w:t>own role, respon</w:t>
            </w:r>
            <w:r w:rsidRPr="00EA0C33">
              <w:t xml:space="preserve">sibility and authority </w:t>
            </w:r>
          </w:p>
          <w:p w:rsidR="00000000" w:rsidRPr="00EA0C33" w:rsidP="00EA0C33">
            <w:pPr>
              <w:pStyle w:val="ListBullet"/>
            </w:pPr>
            <w:r w:rsidRPr="00EA0C33">
              <w:t>personal and professional development</w:t>
            </w:r>
          </w:p>
          <w:p w:rsidR="00000000" w:rsidRPr="00EA0C33" w:rsidP="00EA0C33">
            <w:pPr>
              <w:pStyle w:val="ListBullet"/>
            </w:pPr>
            <w:r w:rsidRPr="00EA0C33">
              <w:t>privacy and confidentiality of information</w:t>
            </w:r>
          </w:p>
          <w:p w:rsidR="00000000" w:rsidRPr="00EA0C33" w:rsidP="00EA0C33">
            <w:pPr>
              <w:pStyle w:val="ListBullet"/>
            </w:pPr>
            <w:r w:rsidRPr="00EA0C33">
              <w:t>quality assurance and continuous improvement processes and standards</w:t>
            </w:r>
          </w:p>
          <w:p w:rsidR="00000000" w:rsidRPr="00EA0C33" w:rsidP="00EA0C33">
            <w:pPr>
              <w:pStyle w:val="ListBullet"/>
            </w:pPr>
            <w:r w:rsidRPr="00EA0C33">
              <w:t>resource parameters and procedures</w:t>
            </w:r>
          </w:p>
          <w:p w:rsidR="00000000" w:rsidRPr="00EA0C33" w:rsidP="00EA0C33">
            <w:pPr>
              <w:pStyle w:val="ListBullet"/>
            </w:pPr>
            <w:r w:rsidRPr="00EA0C33">
              <w:t>roles, functions and responsibilities of security personnel</w:t>
            </w:r>
          </w:p>
          <w:p w:rsidR="00000000" w:rsidP="00EA0C33">
            <w:pPr>
              <w:pStyle w:val="ListBullet"/>
              <w:rPr>
                <w:lang w:val="en-NZ"/>
              </w:rPr>
            </w:pPr>
            <w:r w:rsidRPr="00EA0C33">
              <w:t>storage and disposal of information.</w:t>
            </w:r>
          </w:p>
        </w:tc>
      </w:tr>
      <w:tr w:rsidTr="00C830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BoldandItalics"/>
              </w:rPr>
              <w:t>Assignment instructions</w:t>
            </w:r>
            <w:r w:rsidRPr="00EA0C33">
              <w:t xml:space="preserve"> may include: </w:t>
            </w:r>
          </w:p>
        </w:tc>
        <w:tc>
          <w:tcPr>
            <w:tcW w:w="6110" w:type="dxa"/>
            <w:tcBorders>
              <w:top w:val="nil"/>
              <w:left w:val="nil"/>
              <w:bottom w:val="nil"/>
              <w:right w:val="nil"/>
            </w:tcBorders>
            <w:tcMar>
              <w:top w:w="0" w:type="dxa"/>
              <w:left w:w="62" w:type="dxa"/>
              <w:bottom w:w="0" w:type="dxa"/>
              <w:right w:w="62" w:type="dxa"/>
            </w:tcMar>
          </w:tcPr>
          <w:p w:rsidR="00000000" w:rsidRPr="00EA0C33" w:rsidP="00EA0C33">
            <w:pPr>
              <w:pStyle w:val="ListBullet"/>
            </w:pPr>
            <w:r w:rsidRPr="00EA0C33">
              <w:t>assignment purpose and objective</w:t>
            </w:r>
          </w:p>
          <w:p w:rsidR="00000000" w:rsidRPr="00EA0C33" w:rsidP="00EA0C33">
            <w:pPr>
              <w:pStyle w:val="ListBullet"/>
            </w:pPr>
            <w:r w:rsidRPr="00EA0C33">
              <w:t xml:space="preserve">assignment tasks and procedures </w:t>
            </w:r>
          </w:p>
          <w:p w:rsidR="00000000" w:rsidRPr="00EA0C33" w:rsidP="00EA0C33">
            <w:pPr>
              <w:pStyle w:val="ListBullet"/>
            </w:pPr>
            <w:r w:rsidRPr="00EA0C33">
              <w:t>assignment timeframe</w:t>
            </w:r>
          </w:p>
          <w:p w:rsidR="00000000" w:rsidRPr="00EA0C33" w:rsidP="00EA0C33">
            <w:pPr>
              <w:pStyle w:val="ListBullet"/>
            </w:pPr>
            <w:r w:rsidRPr="00EA0C33">
              <w:t>client identification informatio</w:t>
            </w:r>
            <w:r w:rsidRPr="00EA0C33">
              <w:t>n</w:t>
            </w:r>
          </w:p>
          <w:p w:rsidR="00000000" w:rsidRPr="00EA0C33" w:rsidP="00EA0C33">
            <w:pPr>
              <w:pStyle w:val="ListBullet"/>
            </w:pPr>
            <w:r w:rsidRPr="00EA0C33">
              <w:t>incident and security risk response procedures</w:t>
            </w:r>
          </w:p>
          <w:p w:rsidR="00000000" w:rsidRPr="00EA0C33" w:rsidP="00EA0C33">
            <w:pPr>
              <w:pStyle w:val="ListBullet"/>
            </w:pPr>
            <w:r w:rsidRPr="00EA0C33">
              <w:t>personal presentation requirements</w:t>
            </w:r>
          </w:p>
          <w:p w:rsidR="00000000" w:rsidRPr="00EA0C33" w:rsidP="00EA0C33">
            <w:pPr>
              <w:pStyle w:val="ListBullet"/>
            </w:pPr>
            <w:r w:rsidRPr="00EA0C33">
              <w:t>premises location and layout</w:t>
            </w:r>
          </w:p>
          <w:p w:rsidR="00000000" w:rsidRPr="00EA0C33" w:rsidP="00EA0C33">
            <w:pPr>
              <w:pStyle w:val="ListBullet"/>
            </w:pPr>
            <w:r w:rsidRPr="00EA0C33">
              <w:t>reporting and documentation requirements</w:t>
            </w:r>
          </w:p>
          <w:p w:rsidR="00000000" w:rsidRPr="00EA0C33" w:rsidP="00EA0C33">
            <w:pPr>
              <w:pStyle w:val="ListBullet"/>
            </w:pPr>
            <w:r w:rsidRPr="00EA0C33">
              <w:t>resource and equipment requirements</w:t>
            </w:r>
          </w:p>
          <w:p w:rsidR="00000000" w:rsidRPr="00EA0C33" w:rsidP="00EA0C33">
            <w:pPr>
              <w:pStyle w:val="ListBullet"/>
            </w:pPr>
            <w:r w:rsidRPr="00EA0C33">
              <w:t>surveillance plan</w:t>
            </w:r>
          </w:p>
          <w:p w:rsidR="00000000" w:rsidP="00EA0C33">
            <w:pPr>
              <w:pStyle w:val="ListBullet"/>
              <w:rPr>
                <w:lang w:val="en-NZ"/>
              </w:rPr>
            </w:pPr>
            <w:r w:rsidRPr="00EA0C33">
              <w:t>travel routes and schedules.</w:t>
            </w:r>
          </w:p>
        </w:tc>
      </w:tr>
      <w:tr w:rsidTr="00C830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BoldandItalics"/>
              </w:rPr>
              <w:t>Relevant persons</w:t>
            </w:r>
            <w:r w:rsidRPr="00EA0C33">
              <w:t xml:space="preserve"> </w:t>
            </w:r>
            <w:r w:rsidRPr="00EA0C33">
              <w:rPr>
                <w:rStyle w:val="SpecialBold"/>
              </w:rPr>
              <w:t>may include</w:t>
            </w:r>
            <w:r w:rsidRPr="00EA0C33">
              <w:t>:</w:t>
            </w:r>
          </w:p>
        </w:tc>
        <w:tc>
          <w:tcPr>
            <w:tcW w:w="6110" w:type="dxa"/>
            <w:tcBorders>
              <w:top w:val="nil"/>
              <w:left w:val="nil"/>
              <w:bottom w:val="nil"/>
              <w:right w:val="nil"/>
            </w:tcBorders>
            <w:tcMar>
              <w:top w:w="0" w:type="dxa"/>
              <w:left w:w="62" w:type="dxa"/>
              <w:bottom w:w="0" w:type="dxa"/>
              <w:right w:w="62" w:type="dxa"/>
            </w:tcMar>
          </w:tcPr>
          <w:p w:rsidR="00000000" w:rsidRPr="00EA0C33" w:rsidP="00EA0C33">
            <w:pPr>
              <w:pStyle w:val="ListBullet"/>
            </w:pPr>
            <w:r w:rsidRPr="00EA0C33">
              <w:t>clients</w:t>
            </w:r>
          </w:p>
          <w:p w:rsidR="00000000" w:rsidRPr="00EA0C33" w:rsidP="00EA0C33">
            <w:pPr>
              <w:pStyle w:val="ListBullet"/>
            </w:pPr>
            <w:r w:rsidRPr="00EA0C33">
              <w:t>colleagues</w:t>
            </w:r>
          </w:p>
          <w:p w:rsidR="00000000" w:rsidRPr="00EA0C33" w:rsidP="00EA0C33">
            <w:pPr>
              <w:pStyle w:val="ListBullet"/>
            </w:pPr>
            <w:r w:rsidRPr="00EA0C33">
              <w:t>security personnel</w:t>
            </w:r>
          </w:p>
          <w:p w:rsidR="00000000" w:rsidRPr="00EA0C33" w:rsidP="00EA0C33">
            <w:pPr>
              <w:pStyle w:val="ListBullet"/>
            </w:pPr>
            <w:r w:rsidRPr="00EA0C33">
              <w:t>supervisor</w:t>
            </w:r>
          </w:p>
          <w:p w:rsidR="00000000" w:rsidP="00EA0C33">
            <w:pPr>
              <w:pStyle w:val="ListBullet"/>
              <w:rPr>
                <w:lang w:val="en-NZ"/>
              </w:rPr>
            </w:pPr>
            <w:r w:rsidRPr="00EA0C33">
              <w:t>technical personnel.</w:t>
            </w:r>
          </w:p>
        </w:tc>
      </w:tr>
      <w:tr w:rsidTr="00C830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BoldandItalics"/>
              </w:rPr>
              <w:t>Resources and equipment may include</w:t>
            </w:r>
            <w:r w:rsidRPr="00EA0C33">
              <w:t>:</w:t>
            </w:r>
          </w:p>
        </w:tc>
        <w:tc>
          <w:tcPr>
            <w:tcW w:w="6110" w:type="dxa"/>
            <w:tcBorders>
              <w:top w:val="nil"/>
              <w:left w:val="nil"/>
              <w:bottom w:val="nil"/>
              <w:right w:val="nil"/>
            </w:tcBorders>
            <w:tcMar>
              <w:top w:w="0" w:type="dxa"/>
              <w:left w:w="62" w:type="dxa"/>
              <w:bottom w:w="0" w:type="dxa"/>
              <w:right w:w="62" w:type="dxa"/>
            </w:tcMar>
          </w:tcPr>
          <w:p w:rsidR="00000000" w:rsidRPr="00EA0C33" w:rsidP="00EA0C33">
            <w:pPr>
              <w:pStyle w:val="ListBullet"/>
            </w:pPr>
            <w:r w:rsidRPr="00EA0C33">
              <w:t>business equipment</w:t>
            </w:r>
          </w:p>
          <w:p w:rsidR="00000000" w:rsidRPr="00EA0C33" w:rsidP="00EA0C33">
            <w:pPr>
              <w:pStyle w:val="ListBullet2"/>
            </w:pPr>
            <w:r w:rsidRPr="00EA0C33">
              <w:t>laptop computer</w:t>
            </w:r>
          </w:p>
          <w:p w:rsidR="00000000" w:rsidRPr="00EA0C33" w:rsidP="00EA0C33">
            <w:pPr>
              <w:pStyle w:val="ListBullet"/>
            </w:pPr>
            <w:r w:rsidRPr="00EA0C33">
              <w:t>communication equipment</w:t>
            </w:r>
          </w:p>
          <w:p w:rsidR="00000000" w:rsidRPr="00EA0C33" w:rsidP="00EA0C33">
            <w:pPr>
              <w:pStyle w:val="ListBullet2"/>
            </w:pPr>
            <w:r w:rsidRPr="00EA0C33">
              <w:t>pager</w:t>
            </w:r>
          </w:p>
          <w:p w:rsidR="00000000" w:rsidRPr="00EA0C33" w:rsidP="00EA0C33">
            <w:pPr>
              <w:pStyle w:val="ListBullet2"/>
            </w:pPr>
            <w:r w:rsidRPr="00EA0C33">
              <w:t>portable two-way radio</w:t>
            </w:r>
          </w:p>
          <w:p w:rsidR="00000000" w:rsidRPr="00EA0C33" w:rsidP="00EA0C33">
            <w:pPr>
              <w:pStyle w:val="ListBullet2"/>
            </w:pPr>
            <w:r w:rsidRPr="00EA0C33">
              <w:t>mobile phone</w:t>
            </w:r>
          </w:p>
          <w:p w:rsidR="00000000" w:rsidRPr="00EA0C33" w:rsidP="00EA0C33">
            <w:pPr>
              <w:pStyle w:val="ListBullet"/>
            </w:pPr>
            <w:r w:rsidRPr="00EA0C33">
              <w:t>maps and street directories</w:t>
            </w:r>
          </w:p>
          <w:p w:rsidR="00000000" w:rsidRPr="00EA0C33" w:rsidP="00EA0C33">
            <w:pPr>
              <w:pStyle w:val="ListBullet"/>
            </w:pPr>
            <w:r w:rsidRPr="00EA0C33">
              <w:t>pen and security notebook</w:t>
            </w:r>
          </w:p>
          <w:p w:rsidR="00000000" w:rsidRPr="00EA0C33" w:rsidP="00EA0C33">
            <w:pPr>
              <w:pStyle w:val="ListBullet"/>
            </w:pPr>
            <w:r w:rsidRPr="00EA0C33">
              <w:t>personal protection equipment</w:t>
            </w:r>
          </w:p>
          <w:p w:rsidR="00000000" w:rsidRPr="00EA0C33" w:rsidP="00EA0C33">
            <w:pPr>
              <w:pStyle w:val="ListBullet"/>
            </w:pPr>
            <w:r w:rsidRPr="00EA0C33">
              <w:t>investigative equipment</w:t>
            </w:r>
          </w:p>
          <w:p w:rsidR="00000000" w:rsidRPr="00EA0C33" w:rsidP="00EA0C33">
            <w:pPr>
              <w:pStyle w:val="ListBullet2"/>
            </w:pPr>
            <w:r w:rsidRPr="00EA0C33">
              <w:t>35mm and video cameras</w:t>
            </w:r>
          </w:p>
          <w:p w:rsidR="00000000" w:rsidRPr="00EA0C33" w:rsidP="00EA0C33">
            <w:pPr>
              <w:pStyle w:val="ListBullet2"/>
            </w:pPr>
            <w:r w:rsidRPr="00EA0C33">
              <w:t>binoculars</w:t>
            </w:r>
          </w:p>
          <w:p w:rsidR="00000000" w:rsidRPr="00EA0C33" w:rsidP="00EA0C33">
            <w:pPr>
              <w:pStyle w:val="ListBullet2"/>
            </w:pPr>
            <w:r w:rsidRPr="00EA0C33">
              <w:t>telephoto lens</w:t>
            </w:r>
          </w:p>
          <w:p w:rsidR="00000000" w:rsidRPr="00EA0C33" w:rsidP="00EA0C33">
            <w:pPr>
              <w:pStyle w:val="ListBullet2"/>
            </w:pPr>
            <w:r w:rsidRPr="00EA0C33">
              <w:t>tripods</w:t>
            </w:r>
          </w:p>
          <w:p w:rsidR="00000000" w:rsidRPr="00EA0C33" w:rsidP="00EA0C33">
            <w:pPr>
              <w:pStyle w:val="ListBullet2"/>
            </w:pPr>
            <w:r w:rsidRPr="00EA0C33">
              <w:t>voice recorders</w:t>
            </w:r>
          </w:p>
          <w:p w:rsidR="00000000" w:rsidRPr="00EA0C33" w:rsidP="00EA0C33">
            <w:pPr>
              <w:pStyle w:val="ListBullet2"/>
            </w:pPr>
            <w:r w:rsidRPr="00EA0C33">
              <w:t>night vision equipment</w:t>
            </w:r>
          </w:p>
          <w:p w:rsidR="00000000" w:rsidP="00EA0C33">
            <w:pPr>
              <w:pStyle w:val="ListBullet"/>
              <w:rPr>
                <w:lang w:val="en-NZ"/>
              </w:rPr>
            </w:pPr>
            <w:r w:rsidRPr="00EA0C33">
              <w:t>transport.</w:t>
            </w:r>
          </w:p>
        </w:tc>
      </w:tr>
      <w:tr w:rsidTr="00C830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BoldandItalics"/>
              </w:rPr>
              <w:t>Factors</w:t>
            </w:r>
            <w:r w:rsidRPr="00EA0C33">
              <w:t xml:space="preserve"> </w:t>
            </w:r>
            <w:r w:rsidRPr="00EA0C33">
              <w:rPr>
                <w:rStyle w:val="SpecialBold"/>
              </w:rPr>
              <w:t>may relate to</w:t>
            </w:r>
            <w:r w:rsidRPr="00EA0C33">
              <w:t>:</w:t>
            </w:r>
          </w:p>
        </w:tc>
        <w:tc>
          <w:tcPr>
            <w:tcW w:w="6110" w:type="dxa"/>
            <w:tcBorders>
              <w:top w:val="nil"/>
              <w:left w:val="nil"/>
              <w:bottom w:val="nil"/>
              <w:right w:val="nil"/>
            </w:tcBorders>
            <w:tcMar>
              <w:top w:w="0" w:type="dxa"/>
              <w:left w:w="62" w:type="dxa"/>
              <w:bottom w:w="0" w:type="dxa"/>
              <w:right w:w="62" w:type="dxa"/>
            </w:tcMar>
          </w:tcPr>
          <w:p w:rsidR="00000000" w:rsidRPr="00EA0C33" w:rsidP="00EA0C33">
            <w:pPr>
              <w:pStyle w:val="ListBullet"/>
            </w:pPr>
            <w:r w:rsidRPr="00EA0C33">
              <w:t xml:space="preserve">assignment timeframes </w:t>
            </w:r>
          </w:p>
          <w:p w:rsidR="00000000" w:rsidRPr="00EA0C33" w:rsidP="00EA0C33">
            <w:pPr>
              <w:pStyle w:val="ListBullet"/>
            </w:pPr>
            <w:r w:rsidRPr="00EA0C33">
              <w:t>resource requirements</w:t>
            </w:r>
          </w:p>
          <w:p w:rsidR="00000000" w:rsidRPr="00EA0C33" w:rsidP="00EA0C33">
            <w:pPr>
              <w:pStyle w:val="ListBullet"/>
            </w:pPr>
            <w:r w:rsidRPr="00EA0C33">
              <w:t>specialist equipment requirements</w:t>
            </w:r>
          </w:p>
          <w:p w:rsidR="00000000" w:rsidRPr="00EA0C33" w:rsidP="00EA0C33">
            <w:pPr>
              <w:pStyle w:val="ListBullet"/>
            </w:pPr>
            <w:r w:rsidRPr="00EA0C33">
              <w:t>surveillance site layout</w:t>
            </w:r>
          </w:p>
          <w:p w:rsidR="00000000" w:rsidP="00EA0C33">
            <w:pPr>
              <w:pStyle w:val="ListBullet"/>
              <w:rPr>
                <w:lang w:val="en-NZ"/>
              </w:rPr>
            </w:pPr>
            <w:r w:rsidRPr="00EA0C33">
              <w:t>technical specialist requirements.</w:t>
            </w:r>
          </w:p>
        </w:tc>
      </w:tr>
      <w:tr w:rsidTr="00C830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BoldandItalics"/>
              </w:rPr>
              <w:t>Sources</w:t>
            </w:r>
            <w:r w:rsidRPr="00EA0C33">
              <w:t xml:space="preserve"> </w:t>
            </w:r>
            <w:r w:rsidRPr="00EA0C33">
              <w:rPr>
                <w:rStyle w:val="SpecialBold"/>
              </w:rPr>
              <w:t>may include</w:t>
            </w:r>
            <w:r w:rsidRPr="00EA0C33">
              <w:t>:</w:t>
            </w:r>
          </w:p>
        </w:tc>
        <w:tc>
          <w:tcPr>
            <w:tcW w:w="6110" w:type="dxa"/>
            <w:tcBorders>
              <w:top w:val="nil"/>
              <w:left w:val="nil"/>
              <w:bottom w:val="nil"/>
              <w:right w:val="nil"/>
            </w:tcBorders>
            <w:tcMar>
              <w:top w:w="0" w:type="dxa"/>
              <w:left w:w="62" w:type="dxa"/>
              <w:bottom w:w="0" w:type="dxa"/>
              <w:right w:w="62" w:type="dxa"/>
            </w:tcMar>
          </w:tcPr>
          <w:p w:rsidR="00000000" w:rsidRPr="00EA0C33" w:rsidP="00EA0C33">
            <w:pPr>
              <w:pStyle w:val="ListBullet"/>
            </w:pPr>
            <w:r w:rsidRPr="00EA0C33">
              <w:t>electoral rolls</w:t>
            </w:r>
          </w:p>
          <w:p w:rsidR="00000000" w:rsidRPr="00EA0C33" w:rsidP="00EA0C33">
            <w:pPr>
              <w:pStyle w:val="ListBullet"/>
            </w:pPr>
            <w:r w:rsidRPr="00EA0C33">
              <w:t xml:space="preserve">government authorities </w:t>
            </w:r>
          </w:p>
          <w:p w:rsidR="00000000" w:rsidRPr="00EA0C33" w:rsidP="00EA0C33">
            <w:pPr>
              <w:pStyle w:val="ListBullet"/>
            </w:pPr>
            <w:r w:rsidRPr="00EA0C33">
              <w:t>internet</w:t>
            </w:r>
          </w:p>
          <w:p w:rsidR="00000000" w:rsidRPr="00EA0C33" w:rsidP="00EA0C33">
            <w:pPr>
              <w:pStyle w:val="ListBullet"/>
            </w:pPr>
            <w:r w:rsidRPr="00EA0C33">
              <w:t>media</w:t>
            </w:r>
          </w:p>
          <w:p w:rsidR="00000000" w:rsidRPr="00EA0C33" w:rsidP="00EA0C33">
            <w:pPr>
              <w:pStyle w:val="ListBullet"/>
            </w:pPr>
            <w:r w:rsidRPr="00EA0C33">
              <w:t>professional organisations</w:t>
            </w:r>
          </w:p>
          <w:p w:rsidR="00000000" w:rsidRPr="00EA0C33" w:rsidP="00EA0C33">
            <w:pPr>
              <w:pStyle w:val="ListBullet"/>
            </w:pPr>
            <w:r w:rsidRPr="00EA0C33">
              <w:t>reliable contacts or informants</w:t>
            </w:r>
          </w:p>
          <w:p w:rsidR="00000000" w:rsidP="00EA0C33">
            <w:pPr>
              <w:pStyle w:val="ListBullet"/>
              <w:rPr>
                <w:lang w:val="en-NZ"/>
              </w:rPr>
            </w:pPr>
            <w:r w:rsidRPr="00EA0C33">
              <w:t>telephone directories.</w:t>
            </w:r>
          </w:p>
        </w:tc>
      </w:tr>
      <w:tr w:rsidTr="00C830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BoldandItalics"/>
              </w:rPr>
              <w:t>Surveillance</w:t>
            </w:r>
            <w:r w:rsidRPr="00EA0C33">
              <w:t xml:space="preserve"> </w:t>
            </w:r>
            <w:r w:rsidRPr="00EA0C33">
              <w:rPr>
                <w:rStyle w:val="SpecialBold"/>
              </w:rPr>
              <w:t>may be</w:t>
            </w:r>
            <w:r w:rsidRPr="00EA0C33">
              <w:t>:</w:t>
            </w:r>
          </w:p>
        </w:tc>
        <w:tc>
          <w:tcPr>
            <w:tcW w:w="6110" w:type="dxa"/>
            <w:tcBorders>
              <w:top w:val="nil"/>
              <w:left w:val="nil"/>
              <w:bottom w:val="nil"/>
              <w:right w:val="nil"/>
            </w:tcBorders>
            <w:tcMar>
              <w:top w:w="0" w:type="dxa"/>
              <w:left w:w="62" w:type="dxa"/>
              <w:bottom w:w="0" w:type="dxa"/>
              <w:right w:w="62" w:type="dxa"/>
            </w:tcMar>
          </w:tcPr>
          <w:p w:rsidR="00000000" w:rsidRPr="00EA0C33" w:rsidP="00EA0C33">
            <w:pPr>
              <w:pStyle w:val="ListBullet"/>
            </w:pPr>
            <w:r w:rsidRPr="00EA0C33">
              <w:t>covert</w:t>
            </w:r>
          </w:p>
          <w:p w:rsidR="00000000" w:rsidRPr="00EA0C33" w:rsidP="00EA0C33">
            <w:pPr>
              <w:pStyle w:val="ListBullet"/>
            </w:pPr>
            <w:r w:rsidRPr="00EA0C33">
              <w:t>mobile</w:t>
            </w:r>
          </w:p>
          <w:p w:rsidR="00000000" w:rsidRPr="00EA0C33" w:rsidP="00EA0C33">
            <w:pPr>
              <w:pStyle w:val="ListBullet"/>
            </w:pPr>
            <w:r w:rsidRPr="00EA0C33">
              <w:t xml:space="preserve">overt </w:t>
            </w:r>
          </w:p>
          <w:p w:rsidR="00000000" w:rsidP="00EA0C33">
            <w:pPr>
              <w:pStyle w:val="ListBullet"/>
              <w:rPr>
                <w:lang w:val="en-NZ"/>
              </w:rPr>
            </w:pPr>
            <w:r w:rsidRPr="00EA0C33">
              <w:t>static.</w:t>
            </w:r>
          </w:p>
        </w:tc>
      </w:tr>
      <w:tr w:rsidTr="00C8304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BoldandItalics"/>
              </w:rPr>
              <w:t>Evidence</w:t>
            </w:r>
            <w:r w:rsidRPr="00EA0C33">
              <w:t xml:space="preserve"> </w:t>
            </w:r>
            <w:r w:rsidRPr="00EA0C33">
              <w:rPr>
                <w:rStyle w:val="SpecialBold"/>
              </w:rPr>
              <w:t>may include</w:t>
            </w:r>
            <w:r w:rsidRPr="00EA0C33">
              <w:t>:</w:t>
            </w:r>
          </w:p>
        </w:tc>
        <w:tc>
          <w:tcPr>
            <w:tcW w:w="6110" w:type="dxa"/>
            <w:tcBorders>
              <w:top w:val="nil"/>
              <w:left w:val="nil"/>
              <w:bottom w:val="nil"/>
              <w:right w:val="nil"/>
            </w:tcBorders>
            <w:tcMar>
              <w:top w:w="0" w:type="dxa"/>
              <w:left w:w="62" w:type="dxa"/>
              <w:bottom w:w="0" w:type="dxa"/>
              <w:right w:w="62" w:type="dxa"/>
            </w:tcMar>
          </w:tcPr>
          <w:p w:rsidR="00000000" w:rsidRPr="00EA0C33" w:rsidP="00EA0C33">
            <w:pPr>
              <w:pStyle w:val="ListBullet"/>
            </w:pPr>
            <w:r w:rsidRPr="00EA0C33">
              <w:t xml:space="preserve">audio </w:t>
            </w:r>
          </w:p>
          <w:p w:rsidR="00000000" w:rsidRPr="00EA0C33" w:rsidP="00EA0C33">
            <w:pPr>
              <w:pStyle w:val="ListBullet"/>
            </w:pPr>
            <w:r w:rsidRPr="00EA0C33">
              <w:t>film or video</w:t>
            </w:r>
          </w:p>
          <w:p w:rsidR="00000000" w:rsidRPr="00EA0C33" w:rsidP="00EA0C33">
            <w:pPr>
              <w:pStyle w:val="ListBullet"/>
            </w:pPr>
            <w:r w:rsidRPr="00EA0C33">
              <w:t>photographs</w:t>
            </w:r>
          </w:p>
          <w:p w:rsidR="00000000" w:rsidRPr="00EA0C33" w:rsidP="00EA0C33">
            <w:pPr>
              <w:pStyle w:val="ListBullet"/>
            </w:pPr>
            <w:r w:rsidRPr="00EA0C33">
              <w:t xml:space="preserve">sketches </w:t>
            </w:r>
          </w:p>
          <w:p w:rsidR="00000000" w:rsidRPr="00EA0C33" w:rsidP="00EA0C33">
            <w:pPr>
              <w:pStyle w:val="ListBullet"/>
            </w:pPr>
            <w:r w:rsidRPr="00EA0C33">
              <w:t>written and electronic notes.</w:t>
            </w:r>
          </w:p>
        </w:tc>
      </w:tr>
    </w:tbl>
    <w:p w:rsidR="00C83045" w:rsidP="00EA0C33">
      <w:pPr>
        <w:pStyle w:val="BodyText"/>
      </w:pPr>
    </w:p>
    <w:p w:rsidR="00C83045" w:rsidP="00EA0C33">
      <w:pPr>
        <w:pStyle w:val="BodyText"/>
      </w:pPr>
    </w:p>
    <w:p w:rsidR="00000000" w:rsidRPr="00EA0C33" w:rsidP="00EA0C33">
      <w:pPr>
        <w:pStyle w:val="Heading1"/>
      </w:pPr>
      <w:bookmarkStart w:id="12" w:name="O_201739"/>
      <w:bookmarkEnd w:id="12"/>
      <w:r w:rsidRPr="00EA0C33">
        <w:t>Unit Sector(s)</w:t>
      </w:r>
    </w:p>
    <w:tbl>
      <w:tblPr>
        <w:tblW w:w="0" w:type="auto"/>
        <w:tblLayout w:type="fixed"/>
        <w:tblCellMar>
          <w:left w:w="62" w:type="dxa"/>
          <w:right w:w="62" w:type="dxa"/>
        </w:tblCellMar>
        <w:tblLook w:val="0000"/>
      </w:tblPr>
      <w:tblGrid>
        <w:gridCol w:w="2391"/>
        <w:gridCol w:w="6131"/>
      </w:tblGrid>
      <w:tr w:rsidTr="00C83045">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EA0C33" w:rsidP="00EA0C33">
            <w:pPr>
              <w:pStyle w:val="BodyText"/>
            </w:pPr>
            <w:r w:rsidRPr="00EA0C33">
              <w:t>Security</w:t>
            </w:r>
          </w:p>
        </w:tc>
      </w:tr>
    </w:tbl>
    <w:p w:rsidR="00C83045" w:rsidP="00EA0C33">
      <w:pPr>
        <w:pStyle w:val="BodyText"/>
      </w:pPr>
    </w:p>
    <w:p w:rsidR="00C83045" w:rsidP="00EA0C33">
      <w:pPr>
        <w:pStyle w:val="BodyText"/>
      </w:pPr>
    </w:p>
    <w:p w:rsidR="00000000" w:rsidRPr="00EA0C33" w:rsidP="00EA0C33">
      <w:pPr>
        <w:pStyle w:val="Heading1"/>
      </w:pPr>
      <w:bookmarkStart w:id="13" w:name="O_201738"/>
      <w:bookmarkEnd w:id="13"/>
      <w:r w:rsidRPr="00EA0C33">
        <w:t>Competency field</w:t>
      </w:r>
    </w:p>
    <w:tbl>
      <w:tblPr>
        <w:tblW w:w="0" w:type="auto"/>
        <w:tblLayout w:type="fixed"/>
        <w:tblCellMar>
          <w:left w:w="62" w:type="dxa"/>
          <w:right w:w="62" w:type="dxa"/>
        </w:tblCellMar>
        <w:tblLook w:val="0000"/>
      </w:tblPr>
      <w:tblGrid>
        <w:gridCol w:w="2450"/>
        <w:gridCol w:w="6072"/>
      </w:tblGrid>
      <w:tr w:rsidTr="00C83045">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EA0C33">
            <w:pPr>
              <w:pStyle w:val="BodyText"/>
              <w:rPr>
                <w:lang w:val="en-NZ"/>
              </w:rPr>
            </w:pPr>
            <w:r w:rsidRPr="00EA0C33">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EA0C33" w:rsidP="00EA0C33">
            <w:pPr>
              <w:pStyle w:val="BodyText"/>
            </w:pPr>
            <w:r w:rsidRPr="00EA0C33">
              <w:t>Operations</w:t>
            </w:r>
          </w:p>
        </w:tc>
      </w:tr>
    </w:tbl>
    <w:p w:rsidR="00C83045" w:rsidP="00EA0C33">
      <w:pPr>
        <w:pStyle w:val="BodyText"/>
      </w:pPr>
    </w:p>
    <w:p w:rsidR="00C83045" w:rsidP="00EA0C33">
      <w:pPr>
        <w:pStyle w:val="BodyText"/>
      </w:pPr>
    </w:p>
    <w:p w:rsidR="00000000" w:rsidRPr="00EA0C33" w:rsidP="00EA0C33"/>
    <w:sectPr w:rsidSect="00EA0C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3045" w:rsidP="00C830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45" w:rsidP="00EA0C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83045" w:rsidP="00EA0C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83045" w:rsidP="00EA0C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3045" w:rsidP="00C830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45" w:rsidP="00EA0C33">
    <w:pPr>
      <w:pStyle w:val="Header"/>
      <w:framePr w:wrap="around"/>
    </w:pPr>
    <w:r>
      <w:fldChar w:fldCharType="begin"/>
    </w:r>
    <w:r>
      <w:instrText xml:space="preserve"> TITLE   \* MERGEFORMAT </w:instrText>
    </w:r>
    <w:r>
      <w:fldChar w:fldCharType="separate"/>
    </w:r>
    <w:r>
      <w:t>CPPSEC2016A Contribute to investigative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83045" w:rsidP="00EA0C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C0F0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3258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AAB7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C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0C33"/>
    <w:pPr>
      <w:spacing w:before="360" w:after="60"/>
      <w:outlineLvl w:val="0"/>
    </w:pPr>
    <w:rPr>
      <w:sz w:val="32"/>
    </w:rPr>
  </w:style>
  <w:style w:type="paragraph" w:styleId="Heading2">
    <w:name w:val="heading 2"/>
    <w:basedOn w:val="HeadingBase"/>
    <w:next w:val="BodyText"/>
    <w:link w:val="Heading2Char"/>
    <w:qFormat/>
    <w:rsid w:val="00EA0C33"/>
    <w:pPr>
      <w:keepLines/>
      <w:spacing w:before="240" w:after="120"/>
      <w:outlineLvl w:val="1"/>
    </w:pPr>
    <w:rPr>
      <w:sz w:val="28"/>
      <w:szCs w:val="40"/>
    </w:rPr>
  </w:style>
  <w:style w:type="paragraph" w:styleId="Heading3">
    <w:name w:val="heading 3"/>
    <w:basedOn w:val="HeadingBase"/>
    <w:next w:val="BodyText"/>
    <w:link w:val="Heading3Char"/>
    <w:qFormat/>
    <w:rsid w:val="00EA0C33"/>
    <w:pPr>
      <w:spacing w:before="180" w:after="120"/>
      <w:outlineLvl w:val="2"/>
    </w:pPr>
    <w:rPr>
      <w:spacing w:val="-10"/>
      <w:kern w:val="32"/>
    </w:rPr>
  </w:style>
  <w:style w:type="paragraph" w:styleId="Heading4">
    <w:name w:val="heading 4"/>
    <w:basedOn w:val="HeadingBase"/>
    <w:next w:val="BodyText"/>
    <w:link w:val="Heading4Char"/>
    <w:qFormat/>
    <w:rsid w:val="00EA0C33"/>
    <w:pPr>
      <w:spacing w:before="160" w:after="120"/>
      <w:outlineLvl w:val="3"/>
    </w:pPr>
    <w:rPr>
      <w:sz w:val="22"/>
    </w:rPr>
  </w:style>
  <w:style w:type="paragraph" w:styleId="Heading5">
    <w:name w:val="heading 5"/>
    <w:basedOn w:val="HeadingBase"/>
    <w:next w:val="Normal"/>
    <w:link w:val="Heading5Char"/>
    <w:qFormat/>
    <w:rsid w:val="00EA0C33"/>
    <w:pPr>
      <w:spacing w:before="80"/>
      <w:outlineLvl w:val="4"/>
    </w:pPr>
    <w:rPr>
      <w:color w:val="918585"/>
      <w:sz w:val="20"/>
    </w:rPr>
  </w:style>
  <w:style w:type="paragraph" w:styleId="Heading6">
    <w:name w:val="heading 6"/>
    <w:basedOn w:val="HeadingBase"/>
    <w:next w:val="Normal"/>
    <w:link w:val="Heading6Char"/>
    <w:qFormat/>
    <w:rsid w:val="00EA0C33"/>
    <w:pPr>
      <w:spacing w:before="60"/>
      <w:outlineLvl w:val="5"/>
    </w:pPr>
    <w:rPr>
      <w:color w:val="918585"/>
      <w:sz w:val="20"/>
    </w:rPr>
  </w:style>
  <w:style w:type="paragraph" w:styleId="Heading7">
    <w:name w:val="heading 7"/>
    <w:basedOn w:val="Normal"/>
    <w:next w:val="Normal"/>
    <w:link w:val="Heading7Char"/>
    <w:qFormat/>
    <w:rsid w:val="00EA0C33"/>
    <w:pPr>
      <w:ind w:left="720"/>
      <w:outlineLvl w:val="6"/>
    </w:pPr>
    <w:rPr>
      <w:i/>
    </w:rPr>
  </w:style>
  <w:style w:type="paragraph" w:styleId="Heading8">
    <w:name w:val="heading 8"/>
    <w:basedOn w:val="Normal"/>
    <w:next w:val="Normal"/>
    <w:link w:val="Heading8Char"/>
    <w:qFormat/>
    <w:rsid w:val="00EA0C33"/>
    <w:pPr>
      <w:ind w:left="720"/>
      <w:outlineLvl w:val="7"/>
    </w:pPr>
    <w:rPr>
      <w:i/>
    </w:rPr>
  </w:style>
  <w:style w:type="paragraph" w:styleId="Heading9">
    <w:name w:val="heading 9"/>
    <w:basedOn w:val="Normal"/>
    <w:next w:val="Normal"/>
    <w:link w:val="Heading9Char"/>
    <w:qFormat/>
    <w:rsid w:val="00EA0C33"/>
    <w:pPr>
      <w:ind w:left="720"/>
      <w:outlineLvl w:val="8"/>
    </w:pPr>
    <w:rPr>
      <w:i/>
    </w:rPr>
  </w:style>
  <w:style w:type="character" w:default="1" w:styleId="DefaultParagraphFont">
    <w:name w:val="Default Paragraph Font"/>
    <w:uiPriority w:val="1"/>
    <w:unhideWhenUsed/>
    <w:rsid w:val="00EA0C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C33"/>
  </w:style>
  <w:style w:type="character" w:customStyle="1" w:styleId="Heading1Char">
    <w:name w:val="Heading 1 Char"/>
    <w:basedOn w:val="DefaultParagraphFont"/>
    <w:link w:val="Heading1"/>
    <w:rsid w:val="00EA0C33"/>
    <w:rPr>
      <w:rFonts w:ascii="Times New Roman" w:eastAsia="Times New Roman" w:hAnsi="Times New Roman" w:cs="Times New Roman"/>
      <w:b/>
      <w:sz w:val="32"/>
      <w:szCs w:val="20"/>
      <w:lang w:eastAsia="en-US"/>
    </w:rPr>
  </w:style>
  <w:style w:type="paragraph" w:styleId="BodyText">
    <w:name w:val="Body Text"/>
    <w:basedOn w:val="Normal"/>
    <w:link w:val="BodyTextChar"/>
    <w:rsid w:val="00EA0C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0C33"/>
    <w:rPr>
      <w:rFonts w:ascii="Times New Roman" w:eastAsia="Times New Roman" w:hAnsi="Times New Roman" w:cs="Times New Roman"/>
      <w:sz w:val="24"/>
      <w:lang w:val="en-US" w:eastAsia="en-US"/>
    </w:rPr>
  </w:style>
  <w:style w:type="paragraph" w:styleId="Footer">
    <w:name w:val="footer"/>
    <w:basedOn w:val="Normal"/>
    <w:link w:val="FooterChar"/>
    <w:rsid w:val="00EA0C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C33"/>
    <w:rPr>
      <w:rFonts w:ascii="Times New Roman" w:eastAsia="Times New Roman" w:hAnsi="Times New Roman" w:cs="Times New Roman"/>
      <w:sz w:val="16"/>
      <w:lang w:val="en-US" w:eastAsia="en-US"/>
    </w:rPr>
  </w:style>
  <w:style w:type="paragraph" w:styleId="List">
    <w:name w:val="List"/>
    <w:basedOn w:val="BodyText"/>
    <w:next w:val="BodyText"/>
    <w:rsid w:val="00EA0C33"/>
    <w:pPr>
      <w:tabs>
        <w:tab w:val="left" w:pos="340"/>
      </w:tabs>
      <w:spacing w:before="60" w:after="60"/>
      <w:ind w:left="340" w:hanging="340"/>
    </w:pPr>
  </w:style>
  <w:style w:type="paragraph" w:styleId="ListBullet">
    <w:name w:val="List Bullet"/>
    <w:basedOn w:val="List"/>
    <w:rsid w:val="00EA0C33"/>
    <w:pPr>
      <w:numPr>
        <w:numId w:val="13"/>
      </w:numPr>
      <w:tabs>
        <w:tab w:val="clear" w:pos="340"/>
      </w:tabs>
      <w:spacing w:before="40" w:after="40"/>
    </w:pPr>
  </w:style>
  <w:style w:type="character" w:customStyle="1" w:styleId="SpecialBold">
    <w:name w:val="Special Bold"/>
    <w:basedOn w:val="DefaultParagraphFont"/>
    <w:rsid w:val="00EA0C33"/>
    <w:rPr>
      <w:b/>
      <w:spacing w:val="0"/>
    </w:rPr>
  </w:style>
  <w:style w:type="paragraph" w:styleId="ListBullet2">
    <w:name w:val="List Bullet 2"/>
    <w:basedOn w:val="List2"/>
    <w:rsid w:val="00EA0C33"/>
    <w:pPr>
      <w:numPr>
        <w:numId w:val="14"/>
      </w:numPr>
      <w:tabs>
        <w:tab w:val="clear" w:pos="680"/>
      </w:tabs>
    </w:pPr>
  </w:style>
  <w:style w:type="paragraph" w:styleId="Header">
    <w:name w:val="header"/>
    <w:basedOn w:val="Normal"/>
    <w:link w:val="HeaderChar"/>
    <w:rsid w:val="00EA0C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C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0C33"/>
    <w:pPr>
      <w:spacing w:before="240" w:after="120"/>
      <w:outlineLvl w:val="0"/>
    </w:pPr>
    <w:rPr>
      <w:rFonts w:ascii="Times New Roman" w:hAnsi="Times New Roman"/>
      <w:b/>
      <w:sz w:val="28"/>
    </w:rPr>
  </w:style>
  <w:style w:type="paragraph" w:customStyle="1" w:styleId="AllowPageBreak">
    <w:name w:val="AllowPageBreak"/>
    <w:rsid w:val="00EA0C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0C33"/>
    <w:rPr>
      <w:b/>
      <w:i/>
      <w:u w:val="none"/>
    </w:rPr>
  </w:style>
  <w:style w:type="character" w:customStyle="1" w:styleId="Heading2Char">
    <w:name w:val="Heading 2 Char"/>
    <w:basedOn w:val="DefaultParagraphFont"/>
    <w:link w:val="Heading2"/>
    <w:rsid w:val="00EA0C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C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C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C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C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C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0C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0C33"/>
    <w:rPr>
      <w:rFonts w:ascii="Courier New" w:eastAsia="Times New Roman" w:hAnsi="Courier New" w:cs="Times New Roman"/>
      <w:i/>
      <w:szCs w:val="20"/>
      <w:lang w:val="en-US" w:eastAsia="en-US"/>
    </w:rPr>
  </w:style>
  <w:style w:type="paragraph" w:customStyle="1" w:styleId="HeadingBase">
    <w:name w:val="Heading Base"/>
    <w:rsid w:val="00EA0C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C33"/>
    <w:pPr>
      <w:tabs>
        <w:tab w:val="right" w:leader="dot" w:pos="9072"/>
      </w:tabs>
      <w:ind w:left="567"/>
    </w:pPr>
    <w:rPr>
      <w:szCs w:val="22"/>
    </w:rPr>
  </w:style>
  <w:style w:type="paragraph" w:customStyle="1" w:styleId="TOCBase">
    <w:name w:val="TOC Base"/>
    <w:rsid w:val="00EA0C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C33"/>
    <w:pPr>
      <w:tabs>
        <w:tab w:val="right" w:leader="dot" w:pos="9072"/>
      </w:tabs>
      <w:spacing w:before="40" w:after="40"/>
      <w:ind w:left="284"/>
    </w:pPr>
    <w:rPr>
      <w:rFonts w:ascii="Times New Roman" w:hAnsi="Times New Roman"/>
    </w:rPr>
  </w:style>
  <w:style w:type="paragraph" w:styleId="TOC1">
    <w:name w:val="toc 1"/>
    <w:basedOn w:val="TOCBase"/>
    <w:next w:val="Normal"/>
    <w:rsid w:val="00EA0C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0C33"/>
    <w:pPr>
      <w:spacing w:before="5040"/>
      <w:jc w:val="center"/>
    </w:pPr>
    <w:rPr>
      <w:sz w:val="48"/>
      <w:szCs w:val="72"/>
      <w:lang w:val="en-US"/>
    </w:rPr>
  </w:style>
  <w:style w:type="character" w:customStyle="1" w:styleId="TitleChar">
    <w:name w:val="Title Char"/>
    <w:basedOn w:val="DefaultParagraphFont"/>
    <w:link w:val="Title"/>
    <w:rsid w:val="00EA0C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C33"/>
    <w:pPr>
      <w:tabs>
        <w:tab w:val="left" w:pos="3600"/>
        <w:tab w:val="left" w:pos="3958"/>
      </w:tabs>
    </w:pPr>
  </w:style>
  <w:style w:type="paragraph" w:customStyle="1" w:styleId="Note">
    <w:name w:val="Note"/>
    <w:basedOn w:val="BodyText"/>
    <w:rsid w:val="00EA0C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C33"/>
    <w:pPr>
      <w:framePr w:wrap="auto" w:hAnchor="text" w:y="6049"/>
    </w:pPr>
    <w:rPr>
      <w:color w:val="000000"/>
      <w:sz w:val="40"/>
    </w:rPr>
  </w:style>
  <w:style w:type="paragraph" w:customStyle="1" w:styleId="TOCTitle">
    <w:name w:val="TOCTitle"/>
    <w:basedOn w:val="Heading1"/>
    <w:rsid w:val="00EA0C33"/>
    <w:pPr>
      <w:spacing w:after="240"/>
      <w:jc w:val="center"/>
      <w:outlineLvl w:val="9"/>
    </w:pPr>
    <w:rPr>
      <w:caps/>
    </w:rPr>
  </w:style>
  <w:style w:type="paragraph" w:customStyle="1" w:styleId="Version">
    <w:name w:val="Version"/>
    <w:rsid w:val="00EA0C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0C33"/>
    <w:pPr>
      <w:keepNext w:val="0"/>
      <w:tabs>
        <w:tab w:val="right" w:pos="4176"/>
      </w:tabs>
      <w:ind w:left="198" w:hanging="198"/>
    </w:pPr>
    <w:rPr>
      <w:rFonts w:ascii="Garamond" w:hAnsi="Garamond"/>
    </w:rPr>
  </w:style>
  <w:style w:type="paragraph" w:styleId="IndexHeading">
    <w:name w:val="index heading"/>
    <w:basedOn w:val="Normal"/>
    <w:next w:val="Index1"/>
    <w:semiHidden/>
    <w:rsid w:val="00EA0C33"/>
    <w:pPr>
      <w:spacing w:before="120" w:after="120"/>
    </w:pPr>
    <w:rPr>
      <w:rFonts w:ascii="Arial" w:hAnsi="Arial"/>
      <w:b/>
      <w:color w:val="918585"/>
      <w:sz w:val="24"/>
    </w:rPr>
  </w:style>
  <w:style w:type="paragraph" w:customStyle="1" w:styleId="Chapter">
    <w:name w:val="Chapter"/>
    <w:basedOn w:val="Normal"/>
    <w:rsid w:val="00EA0C33"/>
    <w:pPr>
      <w:spacing w:before="240"/>
    </w:pPr>
    <w:rPr>
      <w:rFonts w:ascii="Times New Roman" w:hAnsi="Times New Roman"/>
      <w:smallCaps/>
      <w:spacing w:val="80"/>
      <w:sz w:val="28"/>
    </w:rPr>
  </w:style>
  <w:style w:type="paragraph" w:customStyle="1" w:styleId="InChapter">
    <w:name w:val="InChapter"/>
    <w:basedOn w:val="Heading3"/>
    <w:rsid w:val="00EA0C33"/>
    <w:pPr>
      <w:spacing w:after="240"/>
      <w:outlineLvl w:val="9"/>
    </w:pPr>
    <w:rPr>
      <w:noProof/>
    </w:rPr>
  </w:style>
  <w:style w:type="paragraph" w:styleId="Index2">
    <w:name w:val="index 2"/>
    <w:basedOn w:val="Normal"/>
    <w:next w:val="Normal"/>
    <w:semiHidden/>
    <w:rsid w:val="00EA0C33"/>
    <w:pPr>
      <w:tabs>
        <w:tab w:val="right" w:pos="4176"/>
      </w:tabs>
      <w:ind w:left="568" w:hanging="284"/>
    </w:pPr>
    <w:rPr>
      <w:rFonts w:ascii="Garamond" w:hAnsi="Garamond"/>
    </w:rPr>
  </w:style>
  <w:style w:type="paragraph" w:customStyle="1" w:styleId="Byline">
    <w:name w:val="Byline"/>
    <w:rsid w:val="00EA0C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C33"/>
    <w:pPr>
      <w:tabs>
        <w:tab w:val="clear" w:pos="3600"/>
        <w:tab w:val="clear" w:pos="3958"/>
      </w:tabs>
      <w:jc w:val="right"/>
    </w:pPr>
  </w:style>
  <w:style w:type="character" w:styleId="Emphasis">
    <w:name w:val="Emphasis"/>
    <w:basedOn w:val="DefaultParagraphFont"/>
    <w:qFormat/>
    <w:rsid w:val="00EA0C33"/>
    <w:rPr>
      <w:i/>
    </w:rPr>
  </w:style>
  <w:style w:type="paragraph" w:styleId="Caption">
    <w:name w:val="caption"/>
    <w:basedOn w:val="BodyText"/>
    <w:next w:val="Normal"/>
    <w:qFormat/>
    <w:rsid w:val="00EA0C33"/>
    <w:pPr>
      <w:framePr w:w="2268" w:hSpace="181" w:vSpace="181" w:wrap="around" w:vAnchor="text" w:hAnchor="page" w:x="1135" w:y="285" w:anchorLock="1"/>
    </w:pPr>
    <w:rPr>
      <w:i/>
    </w:rPr>
  </w:style>
  <w:style w:type="paragraph" w:customStyle="1" w:styleId="MiniTOCTitle">
    <w:name w:val="MiniTOCTitle"/>
    <w:basedOn w:val="Heading4"/>
    <w:rsid w:val="00EA0C33"/>
    <w:pPr>
      <w:spacing w:before="240"/>
      <w:outlineLvl w:val="9"/>
    </w:pPr>
    <w:rPr>
      <w:noProof/>
      <w:sz w:val="24"/>
    </w:rPr>
  </w:style>
  <w:style w:type="paragraph" w:customStyle="1" w:styleId="MiniTOCItem">
    <w:name w:val="MiniTOCItem"/>
    <w:basedOn w:val="ListBullet"/>
    <w:rsid w:val="00EA0C33"/>
    <w:pPr>
      <w:numPr>
        <w:numId w:val="0"/>
      </w:numPr>
      <w:tabs>
        <w:tab w:val="right" w:leader="dot" w:pos="6521"/>
      </w:tabs>
      <w:spacing w:before="0" w:after="0"/>
    </w:pPr>
  </w:style>
  <w:style w:type="paragraph" w:customStyle="1" w:styleId="TOFTitle">
    <w:name w:val="TOFTitle"/>
    <w:basedOn w:val="TOCTitle"/>
    <w:rsid w:val="00EA0C33"/>
  </w:style>
  <w:style w:type="paragraph" w:styleId="TableofFigures">
    <w:name w:val="table of figures"/>
    <w:basedOn w:val="Normal"/>
    <w:next w:val="Normal"/>
    <w:semiHidden/>
    <w:rsid w:val="00EA0C33"/>
    <w:pPr>
      <w:tabs>
        <w:tab w:val="right" w:leader="dot" w:pos="9072"/>
      </w:tabs>
      <w:ind w:left="970" w:hanging="403"/>
    </w:pPr>
    <w:rPr>
      <w:rFonts w:ascii="Times New Roman" w:hAnsi="Times New Roman"/>
      <w:b/>
    </w:rPr>
  </w:style>
  <w:style w:type="paragraph" w:styleId="ListNumber">
    <w:name w:val="List Number"/>
    <w:basedOn w:val="List"/>
    <w:rsid w:val="00EA0C33"/>
    <w:pPr>
      <w:numPr>
        <w:numId w:val="11"/>
      </w:numPr>
    </w:pPr>
  </w:style>
  <w:style w:type="character" w:customStyle="1" w:styleId="WingdingSymbols">
    <w:name w:val="Wingding Symbols"/>
    <w:rsid w:val="00EA0C33"/>
    <w:rPr>
      <w:rFonts w:ascii="Wingdings" w:hAnsi="Wingdings"/>
    </w:rPr>
  </w:style>
  <w:style w:type="paragraph" w:customStyle="1" w:styleId="TableHeading">
    <w:name w:val="Table Heading"/>
    <w:basedOn w:val="HeadingBase"/>
    <w:rsid w:val="00EA0C33"/>
    <w:pPr>
      <w:keepLines/>
      <w:pBdr>
        <w:bottom w:val="single" w:sz="6" w:space="1" w:color="918585"/>
      </w:pBdr>
      <w:spacing w:before="240"/>
    </w:pPr>
  </w:style>
  <w:style w:type="character" w:customStyle="1" w:styleId="HotSpot">
    <w:name w:val="HotSpot"/>
    <w:rsid w:val="00EA0C33"/>
    <w:rPr>
      <w:color w:val="0033CC"/>
      <w:u w:val="none"/>
    </w:rPr>
  </w:style>
  <w:style w:type="paragraph" w:customStyle="1" w:styleId="BodyTextRight">
    <w:name w:val="Body Text Right"/>
    <w:basedOn w:val="BodyText"/>
    <w:rsid w:val="00EA0C33"/>
    <w:pPr>
      <w:spacing w:before="0" w:after="0"/>
      <w:jc w:val="right"/>
    </w:pPr>
  </w:style>
  <w:style w:type="paragraph" w:styleId="Index3">
    <w:name w:val="index 3"/>
    <w:basedOn w:val="ListNumber2"/>
    <w:next w:val="Normal"/>
    <w:semiHidden/>
    <w:rsid w:val="00EA0C33"/>
    <w:pPr>
      <w:numPr>
        <w:numId w:val="0"/>
      </w:numPr>
      <w:tabs>
        <w:tab w:val="right" w:leader="dot" w:pos="4176"/>
      </w:tabs>
    </w:pPr>
  </w:style>
  <w:style w:type="paragraph" w:styleId="ListNumber2">
    <w:name w:val="List Number 2"/>
    <w:basedOn w:val="List2"/>
    <w:rsid w:val="00EA0C33"/>
    <w:pPr>
      <w:numPr>
        <w:numId w:val="10"/>
      </w:numPr>
      <w:tabs>
        <w:tab w:val="clear" w:pos="1060"/>
      </w:tabs>
    </w:pPr>
  </w:style>
  <w:style w:type="paragraph" w:customStyle="1" w:styleId="MarginNote">
    <w:name w:val="Margin Note"/>
    <w:basedOn w:val="BodyText"/>
    <w:rsid w:val="00EA0C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C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C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0C33"/>
    <w:rPr>
      <w:sz w:val="32"/>
    </w:rPr>
  </w:style>
  <w:style w:type="paragraph" w:customStyle="1" w:styleId="HeadingProcedure">
    <w:name w:val="Heading Procedure"/>
    <w:basedOn w:val="HeadingBase"/>
    <w:next w:val="Normal"/>
    <w:rsid w:val="00EA0C33"/>
    <w:pPr>
      <w:tabs>
        <w:tab w:val="left" w:pos="0"/>
      </w:tabs>
      <w:spacing w:before="120" w:after="60"/>
    </w:pPr>
    <w:rPr>
      <w:i/>
      <w:color w:val="918585"/>
      <w:sz w:val="22"/>
    </w:rPr>
  </w:style>
  <w:style w:type="paragraph" w:customStyle="1" w:styleId="TableBodyText">
    <w:name w:val="Table Body Text"/>
    <w:basedOn w:val="BodyText"/>
    <w:rsid w:val="00EA0C33"/>
    <w:pPr>
      <w:spacing w:before="60" w:after="60"/>
    </w:pPr>
  </w:style>
  <w:style w:type="paragraph" w:styleId="ListContinue">
    <w:name w:val="List Continue"/>
    <w:basedOn w:val="List"/>
    <w:rsid w:val="00EA0C33"/>
    <w:pPr>
      <w:ind w:firstLine="0"/>
    </w:pPr>
  </w:style>
  <w:style w:type="paragraph" w:customStyle="1" w:styleId="ListNote">
    <w:name w:val="List Note"/>
    <w:basedOn w:val="List"/>
    <w:rsid w:val="00EA0C33"/>
    <w:pPr>
      <w:pBdr>
        <w:top w:val="single" w:sz="6" w:space="2" w:color="918585"/>
        <w:bottom w:val="single" w:sz="6" w:space="2" w:color="918585"/>
      </w:pBdr>
      <w:tabs>
        <w:tab w:val="left" w:pos="1021"/>
      </w:tabs>
      <w:ind w:firstLine="0"/>
    </w:pPr>
  </w:style>
  <w:style w:type="paragraph" w:customStyle="1" w:styleId="Warning">
    <w:name w:val="Warning"/>
    <w:basedOn w:val="BodyText"/>
    <w:rsid w:val="00EA0C33"/>
    <w:pPr>
      <w:shd w:val="clear" w:color="auto" w:fill="D9D9D9"/>
      <w:tabs>
        <w:tab w:val="left" w:pos="992"/>
      </w:tabs>
      <w:ind w:left="119" w:right="119"/>
    </w:pPr>
    <w:rPr>
      <w:sz w:val="20"/>
    </w:rPr>
  </w:style>
  <w:style w:type="paragraph" w:customStyle="1" w:styleId="MarginIcons">
    <w:name w:val="Margin Icons"/>
    <w:basedOn w:val="BodyText"/>
    <w:rsid w:val="00EA0C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C33"/>
    <w:rPr>
      <w:rFonts w:ascii="Courier New" w:hAnsi="Courier New"/>
    </w:rPr>
  </w:style>
  <w:style w:type="paragraph" w:customStyle="1" w:styleId="NoteBullet">
    <w:name w:val="Note Bullet"/>
    <w:basedOn w:val="Note"/>
    <w:rsid w:val="00EA0C33"/>
    <w:pPr>
      <w:tabs>
        <w:tab w:val="clear" w:pos="680"/>
      </w:tabs>
      <w:spacing w:before="60" w:after="60"/>
    </w:pPr>
  </w:style>
  <w:style w:type="paragraph" w:customStyle="1" w:styleId="SubHeading2">
    <w:name w:val="SubHeading2"/>
    <w:basedOn w:val="HeadingBase"/>
    <w:rsid w:val="00EA0C33"/>
    <w:pPr>
      <w:spacing w:before="240" w:after="60"/>
    </w:pPr>
    <w:rPr>
      <w:sz w:val="20"/>
    </w:rPr>
  </w:style>
  <w:style w:type="paragraph" w:customStyle="1" w:styleId="SubHeading1">
    <w:name w:val="SubHeading1"/>
    <w:basedOn w:val="HeadingBase"/>
    <w:rsid w:val="00EA0C33"/>
    <w:pPr>
      <w:spacing w:before="240" w:after="60"/>
    </w:pPr>
    <w:rPr>
      <w:color w:val="918585"/>
      <w:sz w:val="22"/>
    </w:rPr>
  </w:style>
  <w:style w:type="paragraph" w:customStyle="1" w:styleId="SideHeading">
    <w:name w:val="Side Heading"/>
    <w:basedOn w:val="HeadingBase"/>
    <w:rsid w:val="00EA0C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C33"/>
    <w:pPr>
      <w:numPr>
        <w:numId w:val="12"/>
      </w:numPr>
    </w:pPr>
  </w:style>
  <w:style w:type="paragraph" w:styleId="PlainText">
    <w:name w:val="Plain Text"/>
    <w:basedOn w:val="Normal"/>
    <w:link w:val="PlainTextChar"/>
    <w:rsid w:val="00EA0C33"/>
    <w:rPr>
      <w:sz w:val="20"/>
    </w:rPr>
  </w:style>
  <w:style w:type="character" w:customStyle="1" w:styleId="PlainTextChar">
    <w:name w:val="Plain Text Char"/>
    <w:basedOn w:val="DefaultParagraphFont"/>
    <w:link w:val="PlainText"/>
    <w:rsid w:val="00EA0C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0C33"/>
    <w:rPr>
      <w:b/>
      <w:smallCaps/>
    </w:rPr>
  </w:style>
  <w:style w:type="paragraph" w:customStyle="1" w:styleId="TableListNumber">
    <w:name w:val="Table List Number"/>
    <w:basedOn w:val="ListNumber"/>
    <w:rsid w:val="00EA0C33"/>
    <w:pPr>
      <w:numPr>
        <w:numId w:val="0"/>
      </w:numPr>
    </w:pPr>
  </w:style>
  <w:style w:type="paragraph" w:styleId="TOC4">
    <w:name w:val="toc 4"/>
    <w:basedOn w:val="TOCBase"/>
    <w:next w:val="Normal"/>
    <w:semiHidden/>
    <w:rsid w:val="00EA0C33"/>
    <w:pPr>
      <w:tabs>
        <w:tab w:val="right" w:leader="dot" w:pos="9071"/>
      </w:tabs>
      <w:ind w:left="1701"/>
    </w:pPr>
  </w:style>
  <w:style w:type="paragraph" w:customStyle="1" w:styleId="ListAlpha">
    <w:name w:val="List Alpha"/>
    <w:basedOn w:val="List"/>
    <w:rsid w:val="00EA0C33"/>
    <w:pPr>
      <w:numPr>
        <w:numId w:val="9"/>
      </w:numPr>
    </w:pPr>
  </w:style>
  <w:style w:type="paragraph" w:customStyle="1" w:styleId="ListAlpha2">
    <w:name w:val="List Alpha 2"/>
    <w:basedOn w:val="List2"/>
    <w:rsid w:val="00EA0C33"/>
    <w:pPr>
      <w:numPr>
        <w:numId w:val="8"/>
      </w:numPr>
    </w:pPr>
  </w:style>
  <w:style w:type="paragraph" w:styleId="List2">
    <w:name w:val="List 2"/>
    <w:basedOn w:val="BodyText"/>
    <w:rsid w:val="00EA0C33"/>
    <w:pPr>
      <w:tabs>
        <w:tab w:val="left" w:pos="680"/>
      </w:tabs>
      <w:spacing w:before="60" w:after="60"/>
      <w:ind w:left="680" w:hanging="340"/>
    </w:pPr>
  </w:style>
  <w:style w:type="paragraph" w:styleId="List3">
    <w:name w:val="List 3"/>
    <w:basedOn w:val="BodyText"/>
    <w:rsid w:val="00EA0C33"/>
    <w:pPr>
      <w:tabs>
        <w:tab w:val="left" w:pos="1021"/>
      </w:tabs>
      <w:spacing w:before="60" w:after="60"/>
      <w:ind w:left="1020" w:hanging="340"/>
    </w:pPr>
  </w:style>
  <w:style w:type="paragraph" w:styleId="List4">
    <w:name w:val="List 4"/>
    <w:basedOn w:val="BodyText"/>
    <w:rsid w:val="00EA0C33"/>
    <w:pPr>
      <w:tabs>
        <w:tab w:val="left" w:pos="1361"/>
      </w:tabs>
      <w:spacing w:before="60" w:after="60"/>
      <w:ind w:left="1361" w:hanging="340"/>
    </w:pPr>
  </w:style>
  <w:style w:type="paragraph" w:styleId="List5">
    <w:name w:val="List 5"/>
    <w:basedOn w:val="BodyText"/>
    <w:rsid w:val="00EA0C33"/>
    <w:pPr>
      <w:tabs>
        <w:tab w:val="left" w:pos="1701"/>
      </w:tabs>
      <w:spacing w:before="60" w:after="60"/>
      <w:ind w:left="1701" w:hanging="340"/>
    </w:pPr>
  </w:style>
  <w:style w:type="paragraph" w:styleId="ListBullet3">
    <w:name w:val="List Bullet 3"/>
    <w:basedOn w:val="List3"/>
    <w:rsid w:val="00EA0C33"/>
    <w:pPr>
      <w:numPr>
        <w:numId w:val="15"/>
      </w:numPr>
      <w:tabs>
        <w:tab w:val="clear" w:pos="1021"/>
      </w:tabs>
      <w:ind w:left="1037" w:hanging="357"/>
    </w:pPr>
  </w:style>
  <w:style w:type="paragraph" w:styleId="ListBullet4">
    <w:name w:val="List Bullet 4"/>
    <w:basedOn w:val="List4"/>
    <w:rsid w:val="00EA0C33"/>
    <w:pPr>
      <w:numPr>
        <w:numId w:val="3"/>
      </w:numPr>
    </w:pPr>
  </w:style>
  <w:style w:type="paragraph" w:styleId="ListBullet5">
    <w:name w:val="List Bullet 5"/>
    <w:basedOn w:val="List5"/>
    <w:rsid w:val="00EA0C33"/>
    <w:pPr>
      <w:numPr>
        <w:numId w:val="4"/>
      </w:numPr>
    </w:pPr>
  </w:style>
  <w:style w:type="paragraph" w:styleId="ListContinue2">
    <w:name w:val="List Continue 2"/>
    <w:basedOn w:val="List2"/>
    <w:rsid w:val="00EA0C33"/>
    <w:pPr>
      <w:ind w:firstLine="0"/>
    </w:pPr>
  </w:style>
  <w:style w:type="paragraph" w:styleId="ListContinue3">
    <w:name w:val="List Continue 3"/>
    <w:basedOn w:val="List3"/>
    <w:rsid w:val="00EA0C33"/>
    <w:pPr>
      <w:ind w:left="1021" w:firstLine="0"/>
    </w:pPr>
  </w:style>
  <w:style w:type="paragraph" w:styleId="ListContinue4">
    <w:name w:val="List Continue 4"/>
    <w:basedOn w:val="List4"/>
    <w:rsid w:val="00EA0C33"/>
    <w:pPr>
      <w:ind w:firstLine="0"/>
    </w:pPr>
  </w:style>
  <w:style w:type="paragraph" w:styleId="ListContinue5">
    <w:name w:val="List Continue 5"/>
    <w:basedOn w:val="List5"/>
    <w:rsid w:val="00EA0C33"/>
    <w:pPr>
      <w:ind w:firstLine="0"/>
    </w:pPr>
  </w:style>
  <w:style w:type="paragraph" w:styleId="ListNumber3">
    <w:name w:val="List Number 3"/>
    <w:basedOn w:val="List3"/>
    <w:rsid w:val="00EA0C33"/>
    <w:pPr>
      <w:numPr>
        <w:numId w:val="5"/>
      </w:numPr>
    </w:pPr>
  </w:style>
  <w:style w:type="paragraph" w:styleId="ListNumber4">
    <w:name w:val="List Number 4"/>
    <w:basedOn w:val="List4"/>
    <w:rsid w:val="00EA0C33"/>
    <w:pPr>
      <w:numPr>
        <w:numId w:val="6"/>
      </w:numPr>
    </w:pPr>
  </w:style>
  <w:style w:type="paragraph" w:styleId="ListNumber5">
    <w:name w:val="List Number 5"/>
    <w:basedOn w:val="List5"/>
    <w:rsid w:val="00EA0C33"/>
    <w:pPr>
      <w:numPr>
        <w:numId w:val="7"/>
      </w:numPr>
    </w:pPr>
  </w:style>
  <w:style w:type="paragraph" w:styleId="BlockText">
    <w:name w:val="Block Text"/>
    <w:basedOn w:val="Normal"/>
    <w:rsid w:val="00EA0C33"/>
    <w:pPr>
      <w:spacing w:after="120"/>
      <w:ind w:left="1440" w:right="1440"/>
    </w:pPr>
  </w:style>
  <w:style w:type="character" w:customStyle="1" w:styleId="Subscript">
    <w:name w:val="Subscript"/>
    <w:basedOn w:val="DefaultParagraphFont"/>
    <w:rsid w:val="00EA0C33"/>
    <w:rPr>
      <w:sz w:val="16"/>
      <w:vertAlign w:val="subscript"/>
    </w:rPr>
  </w:style>
  <w:style w:type="character" w:customStyle="1" w:styleId="Superscript">
    <w:name w:val="Superscript"/>
    <w:basedOn w:val="DefaultParagraphFont"/>
    <w:rsid w:val="00EA0C33"/>
    <w:rPr>
      <w:sz w:val="16"/>
      <w:vertAlign w:val="superscript"/>
    </w:rPr>
  </w:style>
  <w:style w:type="character" w:customStyle="1" w:styleId="Symbols">
    <w:name w:val="Symbols"/>
    <w:basedOn w:val="DefaultParagraphFont"/>
    <w:rsid w:val="00EA0C33"/>
    <w:rPr>
      <w:rFonts w:ascii="Symbol" w:hAnsi="Symbol"/>
    </w:rPr>
  </w:style>
  <w:style w:type="character" w:customStyle="1" w:styleId="MenuOptions">
    <w:name w:val="Menu Options"/>
    <w:basedOn w:val="DefaultParagraphFont"/>
    <w:rsid w:val="00EA0C33"/>
    <w:rPr>
      <w:rFonts w:ascii="Arial Narrow" w:hAnsi="Arial Narrow"/>
      <w:smallCaps/>
    </w:rPr>
  </w:style>
  <w:style w:type="character" w:customStyle="1" w:styleId="Buttons">
    <w:name w:val="Buttons"/>
    <w:basedOn w:val="DefaultParagraphFont"/>
    <w:rsid w:val="00EA0C33"/>
    <w:rPr>
      <w:b/>
    </w:rPr>
  </w:style>
  <w:style w:type="character" w:customStyle="1" w:styleId="Underlined">
    <w:name w:val="Underlined"/>
    <w:basedOn w:val="DefaultParagraphFont"/>
    <w:rsid w:val="00EA0C33"/>
    <w:rPr>
      <w:u w:val="single"/>
    </w:rPr>
  </w:style>
  <w:style w:type="paragraph" w:customStyle="1" w:styleId="TableBodyTextRight">
    <w:name w:val="Table Body Text Right"/>
    <w:basedOn w:val="TableBodyText"/>
    <w:rsid w:val="00EA0C33"/>
    <w:pPr>
      <w:widowControl w:val="0"/>
      <w:autoSpaceDE w:val="0"/>
      <w:autoSpaceDN w:val="0"/>
      <w:adjustRightInd w:val="0"/>
      <w:jc w:val="right"/>
    </w:pPr>
    <w:rPr>
      <w:rFonts w:cs="Arial"/>
      <w:szCs w:val="18"/>
    </w:rPr>
  </w:style>
  <w:style w:type="paragraph" w:customStyle="1" w:styleId="CopyrightText">
    <w:name w:val="Copyright Text"/>
    <w:basedOn w:val="BodyText"/>
    <w:rsid w:val="00EA0C33"/>
    <w:rPr>
      <w:sz w:val="18"/>
    </w:rPr>
  </w:style>
  <w:style w:type="paragraph" w:customStyle="1" w:styleId="BodySmallRight">
    <w:name w:val="Body Small Right"/>
    <w:basedOn w:val="BodyTextRight"/>
    <w:rsid w:val="00EA0C33"/>
    <w:rPr>
      <w:sz w:val="18"/>
      <w:szCs w:val="18"/>
    </w:rPr>
  </w:style>
  <w:style w:type="paragraph" w:customStyle="1" w:styleId="MarginEdition">
    <w:name w:val="Margin Edition"/>
    <w:basedOn w:val="MarginNote"/>
    <w:rsid w:val="00EA0C33"/>
    <w:pPr>
      <w:spacing w:before="0" w:after="0"/>
    </w:pPr>
    <w:rPr>
      <w:rFonts w:ascii="Times New Roman" w:hAnsi="Times New Roman"/>
      <w:color w:val="999999"/>
    </w:rPr>
  </w:style>
  <w:style w:type="paragraph" w:customStyle="1" w:styleId="Spacer">
    <w:name w:val="Spacer"/>
    <w:basedOn w:val="Normal"/>
    <w:rsid w:val="00EA0C33"/>
    <w:rPr>
      <w:sz w:val="2"/>
      <w:szCs w:val="2"/>
    </w:rPr>
  </w:style>
  <w:style w:type="character" w:customStyle="1" w:styleId="Small">
    <w:name w:val="Small"/>
    <w:basedOn w:val="DefaultParagraphFont"/>
    <w:rsid w:val="00EA0C33"/>
    <w:rPr>
      <w:sz w:val="16"/>
    </w:rPr>
  </w:style>
  <w:style w:type="paragraph" w:customStyle="1" w:styleId="WideTable">
    <w:name w:val="Wide Table"/>
    <w:basedOn w:val="Normal"/>
    <w:rsid w:val="00EA0C33"/>
    <w:pPr>
      <w:ind w:left="-1418"/>
    </w:pPr>
    <w:rPr>
      <w:sz w:val="2"/>
      <w:szCs w:val="2"/>
    </w:rPr>
  </w:style>
  <w:style w:type="character" w:styleId="PageNumber">
    <w:name w:val="page number"/>
    <w:basedOn w:val="DefaultParagraphFont"/>
    <w:rsid w:val="00EA0C33"/>
  </w:style>
  <w:style w:type="paragraph" w:styleId="Quote">
    <w:name w:val="Quote"/>
    <w:basedOn w:val="Heading1"/>
    <w:link w:val="QuoteChar"/>
    <w:qFormat/>
    <w:rsid w:val="00EA0C33"/>
    <w:rPr>
      <w:b w:val="0"/>
      <w:sz w:val="72"/>
      <w:szCs w:val="72"/>
      <w:lang w:val="en-NZ"/>
    </w:rPr>
  </w:style>
  <w:style w:type="character" w:customStyle="1" w:styleId="QuoteChar">
    <w:name w:val="Quote Char"/>
    <w:basedOn w:val="DefaultParagraphFont"/>
    <w:link w:val="Quote"/>
    <w:rsid w:val="00EA0C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C33"/>
    <w:pPr>
      <w:pageBreakBefore/>
    </w:pPr>
  </w:style>
  <w:style w:type="paragraph" w:customStyle="1" w:styleId="Border">
    <w:name w:val="Border"/>
    <w:basedOn w:val="Normal"/>
    <w:qFormat/>
    <w:rsid w:val="00EA0C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C33"/>
    <w:rPr>
      <w:b/>
      <w:bCs/>
      <w:i/>
      <w:iCs/>
      <w:color w:val="auto"/>
    </w:rPr>
  </w:style>
  <w:style w:type="paragraph" w:styleId="IntenseQuote">
    <w:name w:val="Intense Quote"/>
    <w:basedOn w:val="Normal"/>
    <w:next w:val="Normal"/>
    <w:link w:val="IntenseQuoteChar"/>
    <w:uiPriority w:val="30"/>
    <w:qFormat/>
    <w:rsid w:val="00EA0C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C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0C33"/>
    <w:rPr>
      <w:smallCaps/>
      <w:color w:val="auto"/>
      <w:u w:val="single"/>
    </w:rPr>
  </w:style>
  <w:style w:type="character" w:styleId="IntenseReference">
    <w:name w:val="Intense Reference"/>
    <w:basedOn w:val="DefaultParagraphFont"/>
    <w:uiPriority w:val="32"/>
    <w:qFormat/>
    <w:rsid w:val="00EA0C33"/>
    <w:rPr>
      <w:b/>
      <w:bCs/>
      <w:smallCaps/>
      <w:color w:val="auto"/>
      <w:spacing w:val="5"/>
      <w:u w:val="single"/>
    </w:rPr>
  </w:style>
  <w:style w:type="paragraph" w:customStyle="1" w:styleId="2ColumnHeading">
    <w:name w:val="2Column Heading"/>
    <w:basedOn w:val="BodyText"/>
    <w:qFormat/>
    <w:rsid w:val="00EA0C33"/>
    <w:pPr>
      <w:spacing w:after="60"/>
      <w:ind w:left="-2268"/>
    </w:pPr>
    <w:rPr>
      <w:b/>
    </w:rPr>
  </w:style>
  <w:style w:type="paragraph" w:customStyle="1" w:styleId="Heading1TOC">
    <w:name w:val="Heading1 TOC"/>
    <w:basedOn w:val="Normal"/>
    <w:qFormat/>
    <w:rsid w:val="00EA0C33"/>
    <w:pPr>
      <w:spacing w:before="240" w:after="120"/>
    </w:pPr>
    <w:rPr>
      <w:rFonts w:ascii="Times New Roman" w:hAnsi="Times New Roman"/>
      <w:b/>
      <w:sz w:val="32"/>
    </w:rPr>
  </w:style>
  <w:style w:type="paragraph" w:customStyle="1" w:styleId="Heading2TOC">
    <w:name w:val="Heading2 TOC"/>
    <w:basedOn w:val="Normal"/>
    <w:qFormat/>
    <w:rsid w:val="00EA0C33"/>
    <w:pPr>
      <w:spacing w:before="240" w:after="60"/>
    </w:pPr>
    <w:rPr>
      <w:rFonts w:ascii="Times New Roman" w:hAnsi="Times New Roman"/>
      <w:b/>
      <w:sz w:val="28"/>
    </w:rPr>
  </w:style>
  <w:style w:type="character" w:customStyle="1" w:styleId="Underline">
    <w:name w:val="Underline"/>
    <w:basedOn w:val="DefaultParagraphFont"/>
    <w:qFormat/>
    <w:rsid w:val="00EA0C33"/>
    <w:rPr>
      <w:u w:val="single"/>
    </w:rPr>
  </w:style>
  <w:style w:type="paragraph" w:styleId="BalloonText">
    <w:name w:val="Balloon Text"/>
    <w:basedOn w:val="Normal"/>
    <w:link w:val="BalloonTextChar"/>
    <w:rsid w:val="00EA0C33"/>
    <w:rPr>
      <w:rFonts w:ascii="Tahoma" w:hAnsi="Tahoma" w:cs="Tahoma"/>
      <w:sz w:val="16"/>
      <w:szCs w:val="16"/>
    </w:rPr>
  </w:style>
  <w:style w:type="character" w:customStyle="1" w:styleId="BalloonTextChar">
    <w:name w:val="Balloon Text Char"/>
    <w:basedOn w:val="DefaultParagraphFont"/>
    <w:link w:val="BalloonText"/>
    <w:rsid w:val="00EA0C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0C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0C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1467</Words>
  <Characters>10035</Characters>
  <Application>Microsoft Office Word</Application>
  <DocSecurity>0</DocSecurity>
  <Lines>346</Lines>
  <Paragraphs>239</Paragraphs>
  <ScaleCrop>false</ScaleCrop>
  <Company>Author-it Software Corporation Ltd.</Company>
  <LinksUpToDate>false</LinksUpToDate>
  <CharactersWithSpaces>11263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CPPSEC2016A Contribute to investigative activities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2012-05-26T06:20:00Z</dcterms:created>
  <dcterms:modified xsi:type="dcterms:W3CDTF">2012-05-26T06:20:00Z</dcterms:modified>
</cp:coreProperties>
</file>