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629" w:rsidP="00633629">
      <w:pPr>
        <w:pStyle w:val="Title"/>
      </w:pPr>
      <w:r>
        <w:fldChar w:fldCharType="begin"/>
      </w:r>
      <w:r>
        <w:instrText xml:space="preserve"> TITLE   \* MERGEFORMAT </w:instrText>
      </w:r>
      <w:r>
        <w:fldChar w:fldCharType="separate"/>
      </w:r>
      <w:r>
        <w:t>CPPPMT3029A Plan and schedule pest management operations</w:t>
      </w:r>
      <w:r>
        <w:fldChar w:fldCharType="end"/>
      </w:r>
    </w:p>
    <w:p w:rsidR="00633629" w:rsidP="00633629">
      <w:pPr>
        <w:pStyle w:val="Version"/>
        <w:sectPr w:rsidSect="00C44A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A54" w:rsidP="00C44A54">
      <w:pPr>
        <w:pStyle w:val="SuperHeading"/>
      </w:pPr>
      <w:r w:rsidRPr="00C44A54">
        <w:t>CPPPMT3029A Plan and schedule pest management operations</w:t>
      </w:r>
    </w:p>
    <w:p w:rsidR="00000000" w:rsidRPr="00C44A54" w:rsidP="00C44A54">
      <w:pPr>
        <w:pStyle w:val="Heading1"/>
      </w:pPr>
      <w:bookmarkStart w:id="1" w:name="O_374596"/>
      <w:bookmarkEnd w:id="1"/>
      <w:r w:rsidRPr="00C44A54">
        <w:t>Modification History</w:t>
      </w:r>
    </w:p>
    <w:p w:rsidR="00000000" w:rsidRPr="00C44A54" w:rsidP="00C44A54">
      <w:pPr>
        <w:pStyle w:val="BodyText"/>
      </w:pPr>
      <w:r w:rsidRPr="00C44A54">
        <w:t>Revised unit</w:t>
      </w:r>
    </w:p>
    <w:p w:rsidR="00633629" w:rsidP="00C44A54">
      <w:pPr>
        <w:pStyle w:val="BodyText"/>
      </w:pPr>
      <w:r w:rsidRPr="00C44A54">
        <w:t>Unit updated and equivalent to PRMPM29B Plan and schedule pest management operations</w:t>
      </w:r>
    </w:p>
    <w:p w:rsidR="00633629" w:rsidP="00C44A54">
      <w:pPr>
        <w:pStyle w:val="BodyText"/>
      </w:pPr>
    </w:p>
    <w:p w:rsidR="00000000" w:rsidRPr="00C44A54" w:rsidP="00C44A54">
      <w:pPr>
        <w:pStyle w:val="Heading1"/>
      </w:pPr>
      <w:bookmarkStart w:id="2" w:name="O_374597"/>
      <w:bookmarkEnd w:id="2"/>
      <w:r w:rsidRPr="00C44A54">
        <w:t>Unit Descriptor</w:t>
      </w:r>
    </w:p>
    <w:p w:rsidR="00633629" w:rsidP="00C44A54">
      <w:pPr>
        <w:pStyle w:val="BodyText"/>
      </w:pPr>
      <w:r w:rsidRPr="00C44A54">
        <w:t>This unit of competency s</w:t>
      </w:r>
      <w:r w:rsidRPr="00C44A54">
        <w:t>pecifies the outcomes required to plan and schedule all types of pest management operations, including rescheduling when circumstances change. The unit requires the ability to assess the workload implications of current work orders, including amount and ty</w:t>
      </w:r>
      <w:r w:rsidRPr="00C44A54">
        <w:t>pe of work required; and then, using this knowledge, to schedule work in a logical and organised manner. A comprehensive understanding of the pest management services and treatments being offered is required.</w:t>
      </w:r>
    </w:p>
    <w:p w:rsidR="00633629" w:rsidP="00C44A54">
      <w:pPr>
        <w:pStyle w:val="BodyText"/>
      </w:pPr>
    </w:p>
    <w:p w:rsidR="00000000" w:rsidRPr="00C44A54" w:rsidP="00C44A54">
      <w:pPr>
        <w:pStyle w:val="Heading1"/>
      </w:pPr>
      <w:bookmarkStart w:id="3" w:name="O_374598"/>
      <w:bookmarkEnd w:id="3"/>
      <w:r w:rsidRPr="00C44A54">
        <w:t>Application of the Unit</w:t>
      </w:r>
    </w:p>
    <w:p w:rsidR="00000000" w:rsidRPr="00C44A54" w:rsidP="00C44A54">
      <w:pPr>
        <w:pStyle w:val="BodyText"/>
      </w:pPr>
      <w:r w:rsidRPr="00C44A54">
        <w:t xml:space="preserve">This unit of competency supports pest management technicians responsible for creating the physical conditions necessary to manage the pest environment. The unit applies to the presence or activities of non-timber pests that impact on the health, safety or </w:t>
      </w:r>
      <w:r w:rsidRPr="00C44A54">
        <w:t>amenity of persons or environments and can be applied to domestic, commercial or industrial premises.</w:t>
      </w:r>
    </w:p>
    <w:p w:rsidR="00000000" w:rsidRPr="00C44A54" w:rsidP="00C44A54">
      <w:pPr>
        <w:pStyle w:val="AllowPageBreak"/>
      </w:pPr>
    </w:p>
    <w:p w:rsidR="00000000" w:rsidRPr="00C44A54" w:rsidP="00C44A54">
      <w:pPr>
        <w:pStyle w:val="Heading1"/>
      </w:pPr>
      <w:bookmarkStart w:id="4" w:name="O_374599"/>
      <w:bookmarkEnd w:id="4"/>
      <w:r w:rsidRPr="00C44A54">
        <w:t>Licensing/Regulatory Information</w:t>
      </w:r>
    </w:p>
    <w:p w:rsidR="00000000" w:rsidRPr="00C44A54" w:rsidP="00C44A54">
      <w:pPr>
        <w:pStyle w:val="BodyText"/>
      </w:pPr>
      <w:r w:rsidRPr="00C44A54">
        <w:t>This unit may be an essential requirement for a pest management licence. The full requirements for diffe</w:t>
      </w:r>
      <w:r w:rsidRPr="00C44A54">
        <w:t>rent licences may vary in different states and territories.</w:t>
      </w:r>
    </w:p>
    <w:p w:rsidR="00000000" w:rsidRPr="00C44A54" w:rsidP="00C44A54">
      <w:pPr>
        <w:pStyle w:val="AllowPageBreak"/>
      </w:pPr>
    </w:p>
    <w:p w:rsidR="00000000" w:rsidRPr="00C44A54" w:rsidP="00C44A54">
      <w:pPr>
        <w:pStyle w:val="Heading1"/>
      </w:pPr>
      <w:bookmarkStart w:id="5" w:name="O_374600"/>
      <w:bookmarkEnd w:id="5"/>
      <w:r w:rsidRPr="00C44A54">
        <w:t>Pre-Requisites</w:t>
      </w:r>
    </w:p>
    <w:p w:rsidR="00000000" w:rsidRPr="00C44A54" w:rsidP="00C44A54">
      <w:pPr>
        <w:pStyle w:val="BodyText"/>
      </w:pPr>
      <w:r w:rsidRPr="00C44A54">
        <w:t>Not applicable.</w:t>
      </w:r>
    </w:p>
    <w:p w:rsidR="00000000" w:rsidRPr="00C44A54" w:rsidP="00C44A54">
      <w:pPr>
        <w:pStyle w:val="AllowPageBreak"/>
      </w:pPr>
    </w:p>
    <w:p w:rsidR="00000000" w:rsidRPr="00C44A54" w:rsidP="00C44A54">
      <w:pPr>
        <w:pStyle w:val="Heading1"/>
      </w:pPr>
      <w:bookmarkStart w:id="6" w:name="O_374601"/>
      <w:bookmarkEnd w:id="6"/>
      <w:r w:rsidRPr="00C44A54">
        <w:t>Employability Skills Information</w:t>
      </w:r>
    </w:p>
    <w:p w:rsidR="00000000" w:rsidRPr="00C44A54" w:rsidP="00C44A54">
      <w:pPr>
        <w:pStyle w:val="BodyText"/>
      </w:pPr>
      <w:r w:rsidRPr="00C44A54">
        <w:t>This unit contains employability skills.</w:t>
      </w:r>
    </w:p>
    <w:p w:rsidR="00000000" w:rsidRPr="00C44A54" w:rsidP="00C44A54">
      <w:pPr>
        <w:pStyle w:val="AllowPageBreak"/>
      </w:pPr>
    </w:p>
    <w:p w:rsidR="00000000" w:rsidRPr="00C44A54" w:rsidP="00C44A54">
      <w:pPr>
        <w:pStyle w:val="Heading1"/>
      </w:pPr>
      <w:bookmarkStart w:id="7" w:name="O_374602"/>
      <w:bookmarkEnd w:id="7"/>
      <w:r w:rsidRPr="00C44A54">
        <w:t>Elements and Performance Criteria Pre-Content</w:t>
      </w:r>
    </w:p>
    <w:tbl>
      <w:tblPr>
        <w:tblW w:w="0" w:type="auto"/>
        <w:tblLayout w:type="fixed"/>
        <w:tblCellMar>
          <w:left w:w="62" w:type="dxa"/>
          <w:right w:w="62" w:type="dxa"/>
        </w:tblCellMar>
        <w:tblLook w:val="0000"/>
      </w:tblPr>
      <w:tblGrid>
        <w:gridCol w:w="2640"/>
        <w:gridCol w:w="6380"/>
      </w:tblGrid>
      <w:tr w:rsidTr="00C44A5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44A54" w:rsidP="00C44A54">
            <w:pPr>
              <w:pStyle w:val="BodyText"/>
            </w:pPr>
            <w:r w:rsidRPr="00C44A54">
              <w:t>Performance criteria describe the performance needed to demonstrate achievement of the element. Where bold italicised text is used, further info</w:t>
            </w:r>
            <w:r w:rsidRPr="00C44A54">
              <w:t>rmation is detailed in the required skills and knowledge section and the range statement. Assessment of performance is to be consistent with the evidence guide.</w:t>
            </w:r>
          </w:p>
        </w:tc>
      </w:tr>
    </w:tbl>
    <w:p w:rsidR="00000000" w:rsidRPr="00C44A54" w:rsidP="00C44A54">
      <w:pPr>
        <w:pStyle w:val="BodyText"/>
      </w:pPr>
    </w:p>
    <w:p w:rsidR="00000000" w:rsidRPr="00C44A54" w:rsidP="00C44A54">
      <w:pPr>
        <w:pStyle w:val="AllowPageBreak"/>
      </w:pPr>
    </w:p>
    <w:p w:rsidR="00000000" w:rsidRPr="00C44A54" w:rsidP="00C44A54">
      <w:pPr>
        <w:pStyle w:val="Heading1"/>
      </w:pPr>
      <w:bookmarkStart w:id="8" w:name="O_374603"/>
      <w:bookmarkEnd w:id="8"/>
      <w:r w:rsidRPr="00C44A5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44A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1</w:t>
            </w:r>
          </w:p>
        </w:tc>
        <w:tc>
          <w:tcPr>
            <w:tcW w:w="1962" w:type="dxa"/>
            <w:vMerge w:val="restart"/>
            <w:tcBorders>
              <w:top w:val="nil"/>
              <w:left w:val="nil"/>
              <w:bottom w:val="nil"/>
              <w:right w:val="nil"/>
            </w:tcBorders>
            <w:tcMar>
              <w:top w:w="0" w:type="dxa"/>
              <w:left w:w="62" w:type="dxa"/>
              <w:bottom w:w="0" w:type="dxa"/>
              <w:right w:w="62" w:type="dxa"/>
            </w:tcMar>
          </w:tcPr>
          <w:p w:rsidR="00000000" w:rsidRPr="00C44A54" w:rsidP="00C44A54">
            <w:pPr>
              <w:pStyle w:val="BodyText"/>
            </w:pPr>
            <w:r w:rsidRPr="00C44A54">
              <w:t>Assess requirements of current work orde</w:t>
            </w:r>
            <w:r w:rsidRPr="00C44A54">
              <w:t>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44A54" w:rsidP="00C44A54">
            <w:pPr>
              <w:pStyle w:val="BodyText"/>
            </w:pPr>
            <w:r w:rsidRPr="00C44A54">
              <w:t>1.1</w:t>
            </w:r>
          </w:p>
        </w:tc>
        <w:tc>
          <w:tcPr>
            <w:tcW w:w="5610"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rPr>
                <w:rStyle w:val="BoldandItalics"/>
              </w:rPr>
              <w:t>Work orders</w:t>
            </w:r>
            <w:r w:rsidRPr="00C44A54">
              <w:t xml:space="preserve"> are identified for specified </w:t>
            </w:r>
            <w:r w:rsidRPr="00C44A54">
              <w:rPr>
                <w:rStyle w:val="BoldandItalics"/>
              </w:rPr>
              <w:t>schedule period</w:t>
            </w:r>
            <w:r w:rsidRPr="00C44A54">
              <w:t xml:space="preserve"> according to </w:t>
            </w:r>
            <w:r w:rsidRPr="00C44A54">
              <w:rPr>
                <w:rStyle w:val="BoldandItalics"/>
              </w:rPr>
              <w:t>company requirements</w:t>
            </w:r>
            <w:r w:rsidRPr="00C44A54">
              <w:t>.</w:t>
            </w:r>
          </w:p>
        </w:tc>
      </w:tr>
      <w:tr w:rsidTr="00C44A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1.2</w:t>
            </w:r>
          </w:p>
        </w:tc>
        <w:tc>
          <w:tcPr>
            <w:tcW w:w="5610"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Geographic locations of work orders are identified according to company requirements.</w:t>
            </w:r>
          </w:p>
        </w:tc>
      </w:tr>
      <w:tr w:rsidTr="00C44A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1.3</w:t>
            </w:r>
          </w:p>
        </w:tc>
        <w:tc>
          <w:tcPr>
            <w:tcW w:w="5610"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Work orders are reviewed to assess types of pest management services delivered according to company requirements.</w:t>
            </w:r>
          </w:p>
        </w:tc>
      </w:tr>
      <w:tr w:rsidTr="00C44A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1.4</w:t>
            </w:r>
          </w:p>
        </w:tc>
        <w:tc>
          <w:tcPr>
            <w:tcW w:w="5610" w:type="dxa"/>
            <w:tcBorders>
              <w:top w:val="nil"/>
              <w:left w:val="nil"/>
              <w:bottom w:val="nil"/>
              <w:right w:val="nil"/>
            </w:tcBorders>
            <w:tcMar>
              <w:top w:w="0" w:type="dxa"/>
              <w:left w:w="62" w:type="dxa"/>
              <w:bottom w:w="0" w:type="dxa"/>
              <w:right w:w="62" w:type="dxa"/>
            </w:tcMar>
          </w:tcPr>
          <w:p w:rsidR="00000000" w:rsidRPr="00C44A54" w:rsidP="00C44A54">
            <w:pPr>
              <w:pStyle w:val="BodyText"/>
            </w:pPr>
            <w:r w:rsidRPr="00C44A54">
              <w:t>Time requirement</w:t>
            </w:r>
            <w:r w:rsidRPr="00C44A54">
              <w:t>s are estimated for each work order by comparison with records of similar work orders and according to company requirements.</w:t>
            </w:r>
          </w:p>
        </w:tc>
      </w:tr>
    </w:tbl>
    <w:p w:rsidR="00000000" w:rsidRPr="00C44A54" w:rsidP="00C44A54">
      <w:pPr>
        <w:pStyle w:val="BodyText"/>
      </w:pPr>
    </w:p>
    <w:tbl>
      <w:tblPr>
        <w:tblW w:w="0" w:type="auto"/>
        <w:tblLayout w:type="fixed"/>
        <w:tblCellMar>
          <w:left w:w="62" w:type="dxa"/>
          <w:right w:w="62" w:type="dxa"/>
        </w:tblCellMar>
        <w:tblLook w:val="0000"/>
      </w:tblPr>
      <w:tblGrid>
        <w:gridCol w:w="678"/>
        <w:gridCol w:w="1962"/>
        <w:gridCol w:w="770"/>
        <w:gridCol w:w="5610"/>
      </w:tblGrid>
      <w:tr w:rsidTr="00C44A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2</w:t>
            </w:r>
          </w:p>
        </w:tc>
        <w:tc>
          <w:tcPr>
            <w:tcW w:w="1962" w:type="dxa"/>
            <w:vMerge w:val="restart"/>
            <w:tcBorders>
              <w:top w:val="nil"/>
              <w:left w:val="nil"/>
              <w:bottom w:val="nil"/>
              <w:right w:val="nil"/>
            </w:tcBorders>
            <w:tcMar>
              <w:top w:w="0" w:type="dxa"/>
              <w:left w:w="62" w:type="dxa"/>
              <w:bottom w:w="0" w:type="dxa"/>
              <w:right w:w="62" w:type="dxa"/>
            </w:tcMar>
          </w:tcPr>
          <w:p w:rsidR="00000000" w:rsidRPr="00C44A54" w:rsidP="00C44A54">
            <w:pPr>
              <w:pStyle w:val="BodyText"/>
            </w:pPr>
            <w:r w:rsidRPr="00C44A54">
              <w:t>Prepare work schedule.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44A54" w:rsidP="00C44A54">
            <w:pPr>
              <w:pStyle w:val="BodyText"/>
            </w:pPr>
            <w:r w:rsidRPr="00C44A54">
              <w:t>2.1</w:t>
            </w:r>
          </w:p>
        </w:tc>
        <w:tc>
          <w:tcPr>
            <w:tcW w:w="5610"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rPr>
                <w:rStyle w:val="BoldandItalics"/>
              </w:rPr>
              <w:t>Schedule</w:t>
            </w:r>
            <w:r w:rsidRPr="00C44A54">
              <w:t xml:space="preserve"> of work orders is prepared to maximise company productivity, achieve business targets, and</w:t>
            </w:r>
            <w:r w:rsidRPr="00C44A54">
              <w:t xml:space="preserve"> meet </w:t>
            </w:r>
            <w:r w:rsidRPr="00C44A54">
              <w:rPr>
                <w:rStyle w:val="BoldandItalics"/>
              </w:rPr>
              <w:t>client</w:t>
            </w:r>
            <w:r w:rsidRPr="00C44A54">
              <w:t xml:space="preserve"> expectations according to company, </w:t>
            </w:r>
            <w:r w:rsidRPr="00C44A54">
              <w:rPr>
                <w:rStyle w:val="BoldandItalics"/>
              </w:rPr>
              <w:t>legislative</w:t>
            </w:r>
            <w:r w:rsidRPr="00C44A54">
              <w:t xml:space="preserve"> and </w:t>
            </w:r>
            <w:r w:rsidRPr="00C44A54">
              <w:rPr>
                <w:rStyle w:val="BoldandItalics"/>
              </w:rPr>
              <w:t>occupational health and safety (OHS) requirements</w:t>
            </w:r>
            <w:r w:rsidRPr="00C44A54">
              <w:t>.</w:t>
            </w:r>
          </w:p>
        </w:tc>
      </w:tr>
      <w:tr w:rsidTr="00C44A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2.2</w:t>
            </w:r>
          </w:p>
        </w:tc>
        <w:tc>
          <w:tcPr>
            <w:tcW w:w="5610"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Schedule is prepared to minimise travel and staff downtime according to OHS and company requirements.</w:t>
            </w:r>
          </w:p>
        </w:tc>
      </w:tr>
      <w:tr w:rsidTr="00C44A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2.3</w:t>
            </w:r>
          </w:p>
        </w:tc>
        <w:tc>
          <w:tcPr>
            <w:tcW w:w="5610"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 xml:space="preserve">Treatment time is planned to minimise disruption and discomfort to clients and </w:t>
            </w:r>
            <w:r w:rsidRPr="00C44A54">
              <w:rPr>
                <w:rStyle w:val="BoldandItalics"/>
              </w:rPr>
              <w:t>personnel</w:t>
            </w:r>
            <w:r w:rsidRPr="00C44A54">
              <w:t xml:space="preserve"> at </w:t>
            </w:r>
            <w:r w:rsidRPr="00C44A54">
              <w:rPr>
                <w:rStyle w:val="BoldandItalics"/>
              </w:rPr>
              <w:t>work site</w:t>
            </w:r>
            <w:r w:rsidRPr="00C44A54">
              <w:t xml:space="preserve"> according to legislative, OHS and company requirements.</w:t>
            </w:r>
          </w:p>
        </w:tc>
      </w:tr>
      <w:tr w:rsidTr="00C44A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2.4</w:t>
            </w:r>
          </w:p>
        </w:tc>
        <w:tc>
          <w:tcPr>
            <w:tcW w:w="5610"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Provision is made in schedule for weather and other variables when planning treatments.</w:t>
            </w:r>
          </w:p>
        </w:tc>
      </w:tr>
      <w:tr w:rsidTr="00C44A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2.5</w:t>
            </w:r>
          </w:p>
        </w:tc>
        <w:tc>
          <w:tcPr>
            <w:tcW w:w="5610"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Work orders are scheduled with reference to staff skills, preferences and licences and according to legislative and company requirements.</w:t>
            </w:r>
          </w:p>
        </w:tc>
      </w:tr>
      <w:tr w:rsidTr="00C44A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2.6</w:t>
            </w:r>
          </w:p>
        </w:tc>
        <w:tc>
          <w:tcPr>
            <w:tcW w:w="5610" w:type="dxa"/>
            <w:tcBorders>
              <w:top w:val="nil"/>
              <w:left w:val="nil"/>
              <w:bottom w:val="nil"/>
              <w:right w:val="nil"/>
            </w:tcBorders>
            <w:tcMar>
              <w:top w:w="0" w:type="dxa"/>
              <w:left w:w="62" w:type="dxa"/>
              <w:bottom w:w="0" w:type="dxa"/>
              <w:right w:w="62" w:type="dxa"/>
            </w:tcMar>
          </w:tcPr>
          <w:p w:rsidR="00000000" w:rsidRPr="00C44A54" w:rsidP="00C44A54">
            <w:pPr>
              <w:pStyle w:val="BodyText"/>
            </w:pPr>
            <w:r w:rsidRPr="00C44A54">
              <w:t>Emergency and priority work orders are scheduled according to company requirements.</w:t>
            </w:r>
          </w:p>
        </w:tc>
      </w:tr>
    </w:tbl>
    <w:p w:rsidR="00000000" w:rsidRPr="00C44A54" w:rsidP="00C44A54">
      <w:pPr>
        <w:pStyle w:val="BodyText"/>
      </w:pPr>
    </w:p>
    <w:tbl>
      <w:tblPr>
        <w:tblW w:w="0" w:type="auto"/>
        <w:tblLayout w:type="fixed"/>
        <w:tblCellMar>
          <w:left w:w="62" w:type="dxa"/>
          <w:right w:w="62" w:type="dxa"/>
        </w:tblCellMar>
        <w:tblLook w:val="0000"/>
      </w:tblPr>
      <w:tblGrid>
        <w:gridCol w:w="678"/>
        <w:gridCol w:w="1962"/>
        <w:gridCol w:w="770"/>
        <w:gridCol w:w="5610"/>
      </w:tblGrid>
      <w:tr w:rsidTr="00C44A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3</w:t>
            </w:r>
          </w:p>
        </w:tc>
        <w:tc>
          <w:tcPr>
            <w:tcW w:w="1962" w:type="dxa"/>
            <w:vMerge w:val="restart"/>
            <w:tcBorders>
              <w:top w:val="nil"/>
              <w:left w:val="nil"/>
              <w:bottom w:val="nil"/>
              <w:right w:val="nil"/>
            </w:tcBorders>
            <w:tcMar>
              <w:top w:w="0" w:type="dxa"/>
              <w:left w:w="62" w:type="dxa"/>
              <w:bottom w:w="0" w:type="dxa"/>
              <w:right w:w="62" w:type="dxa"/>
            </w:tcMar>
          </w:tcPr>
          <w:p w:rsidR="00000000" w:rsidRPr="00C44A54" w:rsidP="00C44A54">
            <w:pPr>
              <w:pStyle w:val="BodyText"/>
            </w:pPr>
            <w:r w:rsidRPr="00C44A54">
              <w:t>Monitor and adjust work schedule.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3.1</w:t>
            </w:r>
          </w:p>
        </w:tc>
        <w:tc>
          <w:tcPr>
            <w:tcW w:w="5610"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Clients are advised promptly, according to company requirements, when adjustments to the schedule affect timing of work order.</w:t>
            </w:r>
          </w:p>
        </w:tc>
      </w:tr>
      <w:tr w:rsidTr="00C44A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3.2</w:t>
            </w:r>
          </w:p>
        </w:tc>
        <w:tc>
          <w:tcPr>
            <w:tcW w:w="5610" w:type="dxa"/>
            <w:tcBorders>
              <w:top w:val="nil"/>
              <w:left w:val="nil"/>
              <w:bottom w:val="nil"/>
              <w:right w:val="nil"/>
            </w:tcBorders>
            <w:tcMar>
              <w:top w:w="0" w:type="dxa"/>
              <w:left w:w="62" w:type="dxa"/>
              <w:bottom w:w="0" w:type="dxa"/>
              <w:right w:w="62" w:type="dxa"/>
            </w:tcMar>
          </w:tcPr>
          <w:p w:rsidR="00000000" w:rsidRPr="00C44A54" w:rsidP="00C44A54">
            <w:pPr>
              <w:pStyle w:val="BodyText"/>
            </w:pPr>
            <w:r w:rsidRPr="00C44A54">
              <w:t xml:space="preserve">Reasons for changes to schedules are recorded according to company requirements to </w:t>
            </w:r>
            <w:r w:rsidRPr="00C44A54">
              <w:t>assist future planning.</w:t>
            </w:r>
          </w:p>
        </w:tc>
      </w:tr>
    </w:tbl>
    <w:p w:rsidR="00633629" w:rsidP="00C44A54">
      <w:pPr>
        <w:pStyle w:val="BodyText"/>
      </w:pPr>
    </w:p>
    <w:p w:rsidR="00633629" w:rsidP="00C44A54">
      <w:pPr>
        <w:pStyle w:val="BodyText"/>
      </w:pPr>
    </w:p>
    <w:p w:rsidR="00000000" w:rsidRPr="00C44A54" w:rsidP="00C44A54">
      <w:pPr>
        <w:pStyle w:val="Heading1"/>
      </w:pPr>
      <w:bookmarkStart w:id="9" w:name="O_374604"/>
      <w:bookmarkEnd w:id="9"/>
      <w:r w:rsidRPr="00C44A54">
        <w:t>Required Skills and Knowledge</w:t>
      </w:r>
    </w:p>
    <w:tbl>
      <w:tblPr>
        <w:tblW w:w="9354" w:type="dxa"/>
        <w:tblLayout w:type="fixed"/>
        <w:tblCellMar>
          <w:left w:w="62" w:type="dxa"/>
          <w:right w:w="62" w:type="dxa"/>
        </w:tblCellMar>
        <w:tblLook w:val="0000"/>
      </w:tblPr>
      <w:tblGrid>
        <w:gridCol w:w="9354"/>
      </w:tblGrid>
      <w:tr w:rsidTr="00C44A5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t>This section describes the skills and knowledge required for this unit.</w:t>
            </w:r>
          </w:p>
        </w:tc>
      </w:tr>
      <w:tr w:rsidTr="00C44A5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rPr>
                <w:rStyle w:val="SpecialBold"/>
              </w:rPr>
              <w:t>Required skills</w:t>
            </w:r>
          </w:p>
        </w:tc>
      </w:tr>
      <w:tr w:rsidTr="00C44A5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44A54" w:rsidP="00C44A54">
            <w:pPr>
              <w:pStyle w:val="ListBullet"/>
            </w:pPr>
            <w:r w:rsidRPr="00C44A54">
              <w:t>customer service skills for:</w:t>
            </w:r>
          </w:p>
          <w:p w:rsidR="00000000" w:rsidRPr="00C44A54" w:rsidP="00C44A54">
            <w:pPr>
              <w:pStyle w:val="ListBullet2"/>
            </w:pPr>
            <w:r w:rsidRPr="00C44A54">
              <w:t xml:space="preserve">keeping clients informed of scheduling </w:t>
            </w:r>
          </w:p>
          <w:p w:rsidR="00000000" w:rsidRPr="00C44A54" w:rsidP="00C44A54">
            <w:pPr>
              <w:pStyle w:val="ListBullet2"/>
            </w:pPr>
            <w:r w:rsidRPr="00C44A54">
              <w:t xml:space="preserve">negotiating scheduling changes </w:t>
            </w:r>
          </w:p>
          <w:p w:rsidR="00000000" w:rsidRPr="00C44A54" w:rsidP="00C44A54">
            <w:pPr>
              <w:pStyle w:val="ListBullet"/>
            </w:pPr>
            <w:r w:rsidRPr="00C44A54">
              <w:t>language, literacy and numeracy skills for:</w:t>
            </w:r>
          </w:p>
          <w:p w:rsidR="00000000" w:rsidRPr="00C44A54" w:rsidP="00C44A54">
            <w:pPr>
              <w:pStyle w:val="ListBullet2"/>
            </w:pPr>
            <w:r w:rsidRPr="00C44A54">
              <w:t>communicating clearly and concisely verbally and in writing</w:t>
            </w:r>
          </w:p>
          <w:p w:rsidR="00000000" w:rsidRPr="00C44A54" w:rsidP="00C44A54">
            <w:pPr>
              <w:pStyle w:val="ListBullet2"/>
            </w:pPr>
            <w:r w:rsidRPr="00C44A54">
              <w:t>estimating time to complete work orders and to travel between locations</w:t>
            </w:r>
          </w:p>
          <w:p w:rsidR="00000000" w:rsidRPr="00C44A54" w:rsidP="00C44A54">
            <w:pPr>
              <w:pStyle w:val="ListBullet2"/>
            </w:pPr>
            <w:r w:rsidRPr="00C44A54">
              <w:t>calculating work order times and travel times</w:t>
            </w:r>
          </w:p>
          <w:p w:rsidR="00000000" w:rsidRPr="00C44A54" w:rsidP="00C44A54">
            <w:pPr>
              <w:pStyle w:val="ListBullet2"/>
            </w:pPr>
            <w:r w:rsidRPr="00C44A54">
              <w:t>requesting advice or further information</w:t>
            </w:r>
          </w:p>
          <w:p w:rsidR="00000000" w:rsidRPr="00C44A54" w:rsidP="00C44A54">
            <w:pPr>
              <w:pStyle w:val="ListBullet2"/>
            </w:pPr>
            <w:r w:rsidRPr="00C44A54">
              <w:t>seeking and receiving feedback</w:t>
            </w:r>
          </w:p>
          <w:p w:rsidR="00000000" w:rsidRPr="00C44A54" w:rsidP="00C44A54">
            <w:pPr>
              <w:pStyle w:val="ListBullet2"/>
            </w:pPr>
            <w:r w:rsidRPr="00C44A54">
              <w:t>sourcing, organising and recording information</w:t>
            </w:r>
          </w:p>
          <w:p w:rsidR="00000000" w:rsidRPr="00C44A54" w:rsidP="00C44A54">
            <w:pPr>
              <w:pStyle w:val="ListBullet"/>
            </w:pPr>
            <w:r w:rsidRPr="00C44A54">
              <w:t>planning and organising work, including:</w:t>
            </w:r>
          </w:p>
          <w:p w:rsidR="00000000" w:rsidRPr="00C44A54" w:rsidP="00C44A54">
            <w:pPr>
              <w:pStyle w:val="BodyText"/>
            </w:pPr>
            <w:r w:rsidRPr="00C44A54">
              <w:t>accurately estimating timeframes</w:t>
            </w:r>
          </w:p>
          <w:p w:rsidR="00000000" w:rsidRPr="00C44A54" w:rsidP="00C44A54">
            <w:pPr>
              <w:pStyle w:val="ListBullet2"/>
            </w:pPr>
            <w:r w:rsidRPr="00C44A54">
              <w:t>scheduling efficiently</w:t>
            </w:r>
          </w:p>
          <w:p w:rsidR="00000000" w:rsidRPr="00C44A54" w:rsidP="00C44A54">
            <w:pPr>
              <w:pStyle w:val="ListBullet2"/>
            </w:pPr>
            <w:r w:rsidRPr="00C44A54">
              <w:t>time management</w:t>
            </w:r>
          </w:p>
          <w:p w:rsidR="00000000" w:rsidRPr="00C44A54" w:rsidP="00C44A54">
            <w:pPr>
              <w:pStyle w:val="ListBullet"/>
            </w:pPr>
            <w:r w:rsidRPr="00C44A54">
              <w:t xml:space="preserve">problem-solving and contingency management skills to reschedule work </w:t>
            </w:r>
          </w:p>
          <w:p w:rsidR="00000000" w:rsidP="00C44A54">
            <w:pPr>
              <w:pStyle w:val="ListBullet"/>
              <w:rPr>
                <w:lang w:val="en-NZ"/>
              </w:rPr>
            </w:pPr>
            <w:r w:rsidRPr="00C44A54">
              <w:t>self-management skills to work alone and in a team</w:t>
            </w:r>
          </w:p>
        </w:tc>
      </w:tr>
      <w:tr w:rsidTr="00C44A5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44A54">
            <w:pPr>
              <w:pStyle w:val="BodyText"/>
              <w:rPr>
                <w:lang w:val="en-NZ"/>
              </w:rPr>
            </w:pPr>
            <w:r w:rsidRPr="00C44A54">
              <w:rPr>
                <w:rStyle w:val="SpecialBold"/>
              </w:rPr>
              <w:t>Required knowledge</w:t>
            </w:r>
          </w:p>
        </w:tc>
      </w:tr>
      <w:tr w:rsidTr="00C44A5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44A54" w:rsidP="00C44A54">
            <w:pPr>
              <w:pStyle w:val="ListBullet"/>
            </w:pPr>
            <w:r w:rsidRPr="00C44A54">
              <w:t>company management structure and reporting procedures, including:</w:t>
            </w:r>
          </w:p>
          <w:p w:rsidR="00000000" w:rsidRPr="00C44A54" w:rsidP="00C44A54">
            <w:pPr>
              <w:pStyle w:val="ListBullet2"/>
            </w:pPr>
            <w:r w:rsidRPr="00C44A54">
              <w:t>OHS procedures</w:t>
            </w:r>
          </w:p>
          <w:p w:rsidR="00000000" w:rsidRPr="00C44A54" w:rsidP="00C44A54">
            <w:pPr>
              <w:pStyle w:val="ListBullet2"/>
            </w:pPr>
            <w:r w:rsidRPr="00C44A54">
              <w:t xml:space="preserve">reporting procedures </w:t>
            </w:r>
          </w:p>
          <w:p w:rsidR="00000000" w:rsidRPr="00C44A54" w:rsidP="00C44A54">
            <w:pPr>
              <w:pStyle w:val="ListBullet"/>
            </w:pPr>
            <w:r w:rsidRPr="00C44A54">
              <w:t>contingency factors that may affect pest management operation schedules</w:t>
            </w:r>
          </w:p>
          <w:p w:rsidR="00000000" w:rsidRPr="00C44A54" w:rsidP="00C44A54">
            <w:pPr>
              <w:pStyle w:val="ListBullet"/>
            </w:pPr>
            <w:r w:rsidRPr="00C44A54">
              <w:t>legislation, regulations, codes of practice and industry advisory standards that apply to pest management operations, including OHS legislation</w:t>
            </w:r>
          </w:p>
          <w:p w:rsidR="00000000" w:rsidRPr="00C44A54" w:rsidP="00C44A54">
            <w:pPr>
              <w:pStyle w:val="ListBullet"/>
            </w:pPr>
            <w:r w:rsidRPr="00C44A54">
              <w:t>local conditions and travel routes</w:t>
            </w:r>
          </w:p>
          <w:p w:rsidR="00000000" w:rsidRPr="00C44A54" w:rsidP="00C44A54">
            <w:pPr>
              <w:pStyle w:val="ListBullet"/>
            </w:pPr>
            <w:r w:rsidRPr="00C44A54">
              <w:t>relev</w:t>
            </w:r>
            <w:r w:rsidRPr="00C44A54">
              <w:t>ant software programs</w:t>
            </w:r>
          </w:p>
          <w:p w:rsidR="00000000" w:rsidRPr="00C44A54" w:rsidP="00C44A54">
            <w:pPr>
              <w:pStyle w:val="ListBullet"/>
            </w:pPr>
            <w:r w:rsidRPr="00C44A54">
              <w:t>scheduling methods</w:t>
            </w:r>
          </w:p>
          <w:p w:rsidR="00000000" w:rsidRPr="00C44A54" w:rsidP="00C44A54">
            <w:pPr>
              <w:pStyle w:val="ListBullet"/>
            </w:pPr>
            <w:r w:rsidRPr="00C44A54">
              <w:t>time requirements to perform each of the pest management services</w:t>
            </w:r>
          </w:p>
          <w:p w:rsidR="00000000" w:rsidRPr="00C44A54" w:rsidP="00C44A54">
            <w:pPr>
              <w:pStyle w:val="ListBullet"/>
            </w:pPr>
            <w:r w:rsidRPr="00C44A54">
              <w:t>types of pest management services offered</w:t>
            </w:r>
          </w:p>
          <w:p w:rsidR="00000000" w:rsidRPr="00C44A54" w:rsidP="00C44A54">
            <w:pPr>
              <w:pStyle w:val="ListBullet"/>
            </w:pPr>
            <w:r w:rsidRPr="00C44A54">
              <w:t>work order specifications</w:t>
            </w:r>
          </w:p>
        </w:tc>
      </w:tr>
    </w:tbl>
    <w:p w:rsidR="00000000" w:rsidRPr="00C44A54" w:rsidP="00C44A54">
      <w:pPr>
        <w:pStyle w:val="BodyText"/>
      </w:pPr>
    </w:p>
    <w:p w:rsidR="00000000" w:rsidRPr="00C44A54" w:rsidP="00C44A54">
      <w:pPr>
        <w:pStyle w:val="AllowPageBreak"/>
      </w:pPr>
    </w:p>
    <w:p w:rsidR="00000000" w:rsidRPr="00C44A54" w:rsidP="00C44A54">
      <w:pPr>
        <w:pStyle w:val="Heading1"/>
      </w:pPr>
      <w:bookmarkStart w:id="10" w:name="O_374605"/>
      <w:bookmarkEnd w:id="10"/>
      <w:r w:rsidRPr="00C44A54">
        <w:t>Evidence Guide</w:t>
      </w:r>
    </w:p>
    <w:tbl>
      <w:tblPr>
        <w:tblW w:w="9462" w:type="dxa"/>
        <w:tblLayout w:type="fixed"/>
        <w:tblCellMar>
          <w:left w:w="62" w:type="dxa"/>
          <w:right w:w="62" w:type="dxa"/>
        </w:tblCellMar>
        <w:tblLook w:val="0000"/>
      </w:tblPr>
      <w:tblGrid>
        <w:gridCol w:w="2700"/>
        <w:gridCol w:w="6762"/>
      </w:tblGrid>
      <w:tr w:rsidTr="00C44A5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44A54">
            <w:pPr>
              <w:pStyle w:val="BodyText"/>
              <w:rPr>
                <w:lang w:val="en-NZ"/>
              </w:rPr>
            </w:pPr>
            <w:r w:rsidRPr="00C44A54">
              <w:t>The evidence guide provides advice on assessment and must be read in conjunction with the performance criteria, required skills and knowledge, range statement and the Assessment Guidelines for the Training Package.</w:t>
            </w:r>
          </w:p>
        </w:tc>
      </w:tr>
      <w:tr w:rsidTr="00C44A5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54">
            <w:pPr>
              <w:pStyle w:val="BodyText"/>
              <w:rPr>
                <w:lang w:val="en-NZ"/>
              </w:rPr>
            </w:pPr>
            <w:r w:rsidRPr="00C44A54">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54">
            <w:pPr>
              <w:pStyle w:val="BodyText"/>
              <w:rPr>
                <w:lang w:val="en-NZ"/>
              </w:rPr>
            </w:pPr>
            <w:r w:rsidRPr="00C44A54">
              <w:t>This unit of com</w:t>
            </w:r>
            <w:r w:rsidRPr="00C44A54">
              <w:t>petency could be assessed by reviewing an actual work schedule prepared under normal industry operating conditions, or if this is not practicable, in a realistic simulated work environment.</w:t>
            </w:r>
          </w:p>
        </w:tc>
      </w:tr>
      <w:tr w:rsidTr="00C44A5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54">
            <w:pPr>
              <w:pStyle w:val="BodyText"/>
              <w:rPr>
                <w:lang w:val="en-NZ"/>
              </w:rPr>
            </w:pPr>
            <w:r w:rsidRPr="00C44A54">
              <w:t>Critical aspects for assessment and evidence required to demonstr</w:t>
            </w:r>
            <w:r w:rsidRPr="00C44A54">
              <w:t>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54" w:rsidP="00C44A54">
            <w:pPr>
              <w:pStyle w:val="BodyText"/>
            </w:pPr>
            <w:r w:rsidRPr="00C44A54">
              <w:t>A person who demonstrates competency in this unit must be able to provide evidence of the required skills and knowledge specified in this unit.</w:t>
            </w:r>
          </w:p>
          <w:p w:rsidR="00000000" w:rsidRPr="00C44A54" w:rsidP="00C44A54">
            <w:pPr>
              <w:pStyle w:val="BodyText"/>
            </w:pPr>
            <w:r w:rsidRPr="00C44A54">
              <w:t xml:space="preserve">In particular the person should demonstrate the ability to: </w:t>
            </w:r>
          </w:p>
          <w:p w:rsidR="00000000" w:rsidRPr="00C44A54" w:rsidP="00C44A54">
            <w:pPr>
              <w:pStyle w:val="ListBullet"/>
            </w:pPr>
            <w:r w:rsidRPr="00C44A54">
              <w:t>assess and prioritise work order requirements</w:t>
            </w:r>
          </w:p>
          <w:p w:rsidR="00000000" w:rsidRPr="00C44A54" w:rsidP="00C44A54">
            <w:pPr>
              <w:pStyle w:val="ListBullet"/>
            </w:pPr>
            <w:r w:rsidRPr="00C44A54">
              <w:t>allocate work to appropriately trained staff</w:t>
            </w:r>
          </w:p>
          <w:p w:rsidR="00000000" w:rsidRPr="00C44A54" w:rsidP="00C44A54">
            <w:pPr>
              <w:pStyle w:val="ListBullet"/>
            </w:pPr>
            <w:r w:rsidRPr="00C44A54">
              <w:t>negotiate rescheduling in the case of contingencies</w:t>
            </w:r>
          </w:p>
          <w:p w:rsidR="00000000" w:rsidRPr="00C44A54" w:rsidP="00C44A54">
            <w:pPr>
              <w:pStyle w:val="ListBullet"/>
            </w:pPr>
            <w:r w:rsidRPr="00C44A54">
              <w:t>schedule work orders efficiently</w:t>
            </w:r>
          </w:p>
          <w:p w:rsidR="00000000" w:rsidP="00C44A54">
            <w:pPr>
              <w:pStyle w:val="ListBullet"/>
              <w:rPr>
                <w:lang w:val="en-NZ"/>
              </w:rPr>
            </w:pPr>
            <w:r w:rsidRPr="00C44A54">
              <w:t>comply with company, legislative and regulatory requirements for pest management</w:t>
            </w:r>
            <w:r w:rsidRPr="00C44A54">
              <w:t xml:space="preserve"> operations.</w:t>
            </w:r>
          </w:p>
        </w:tc>
      </w:tr>
      <w:tr w:rsidTr="00C44A5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54">
            <w:pPr>
              <w:pStyle w:val="BodyText"/>
              <w:rPr>
                <w:lang w:val="en-NZ"/>
              </w:rPr>
            </w:pPr>
            <w:r w:rsidRPr="00C44A54">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54" w:rsidP="00C44A54">
            <w:pPr>
              <w:pStyle w:val="BodyText"/>
            </w:pPr>
            <w:r w:rsidRPr="00C44A54">
              <w:t>Assessment of essential underpinning knowledge may be conducted in an off-site context. It is to comply with relevant regulatory or Australian standards’ requirements.</w:t>
            </w:r>
          </w:p>
          <w:p w:rsidR="00000000" w:rsidRPr="00C44A54" w:rsidP="00C44A54">
            <w:pPr>
              <w:pStyle w:val="BodyText"/>
            </w:pPr>
            <w:r w:rsidRPr="00C44A54">
              <w:t>Resource implications for</w:t>
            </w:r>
            <w:r w:rsidRPr="00C44A54">
              <w:t xml:space="preserve"> assessment include access to:</w:t>
            </w:r>
          </w:p>
          <w:p w:rsidR="00000000" w:rsidRPr="00C44A54" w:rsidP="00C44A54">
            <w:pPr>
              <w:pStyle w:val="ListBullet"/>
            </w:pPr>
            <w:r w:rsidRPr="00C44A54">
              <w:t>relevant databases and information sources, including industry and company time allocations</w:t>
            </w:r>
          </w:p>
          <w:p w:rsidR="00000000" w:rsidRPr="00C44A54" w:rsidP="00C44A54">
            <w:pPr>
              <w:pStyle w:val="ListBullet"/>
            </w:pPr>
            <w:r w:rsidRPr="00C44A54">
              <w:t>work order instructions, work plans and schedules, and policy documents</w:t>
            </w:r>
          </w:p>
          <w:p w:rsidR="00000000" w:rsidP="00C44A54">
            <w:pPr>
              <w:pStyle w:val="ListBullet"/>
              <w:rPr>
                <w:lang w:val="en-NZ"/>
              </w:rPr>
            </w:pPr>
            <w:r w:rsidRPr="00C44A54">
              <w:t>assessment instruments, including personal planner and asses</w:t>
            </w:r>
            <w:r w:rsidRPr="00C44A54">
              <w:t>sment record book.</w:t>
            </w:r>
          </w:p>
        </w:tc>
      </w:tr>
      <w:tr w:rsidTr="00C44A5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54">
            <w:pPr>
              <w:pStyle w:val="BodyText"/>
              <w:rPr>
                <w:lang w:val="en-NZ"/>
              </w:rPr>
            </w:pPr>
            <w:r w:rsidRPr="00C44A54">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54" w:rsidP="00C44A54">
            <w:pPr>
              <w:pStyle w:val="BodyText"/>
            </w:pPr>
            <w:r w:rsidRPr="00C44A54">
              <w:t>Assessment methods must:</w:t>
            </w:r>
          </w:p>
          <w:p w:rsidR="00000000" w:rsidRPr="00C44A54" w:rsidP="00C44A54">
            <w:pPr>
              <w:pStyle w:val="ListBullet"/>
            </w:pPr>
            <w:r w:rsidRPr="00C44A54">
              <w:t>satisfy the endorsed Assessment Guidelines of the Property Services Training Package</w:t>
            </w:r>
          </w:p>
          <w:p w:rsidR="00000000" w:rsidRPr="00C44A54" w:rsidP="00C44A54">
            <w:pPr>
              <w:pStyle w:val="ListBullet"/>
            </w:pPr>
            <w:r w:rsidRPr="00C44A54">
              <w:t>include direct observation of tasks in real or simulated work conditions, with questioning to confirm the ability to consistently identify and correctly interpret the essential underpinning knowledge required for practical application</w:t>
            </w:r>
          </w:p>
          <w:p w:rsidR="00000000" w:rsidRPr="00C44A54" w:rsidP="00C44A54">
            <w:pPr>
              <w:pStyle w:val="ListBullet"/>
            </w:pPr>
            <w:r w:rsidRPr="00C44A54">
              <w:t>reinforce the integra</w:t>
            </w:r>
            <w:r w:rsidRPr="00C44A54">
              <w:t>tion of employability skills with workplace tasks and job roles</w:t>
            </w:r>
          </w:p>
          <w:p w:rsidR="00000000" w:rsidP="00C44A54">
            <w:pPr>
              <w:pStyle w:val="ListBullet"/>
              <w:rPr>
                <w:lang w:val="en-NZ"/>
              </w:rPr>
            </w:pPr>
            <w:r w:rsidRPr="00C44A54">
              <w:t>confirm that competency is verified and able to be transferred to other circumstances and environments.</w:t>
            </w:r>
          </w:p>
        </w:tc>
      </w:tr>
      <w:tr w:rsidTr="00C44A5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54">
            <w:pPr>
              <w:pStyle w:val="BodyText"/>
              <w:rPr>
                <w:lang w:val="en-NZ"/>
              </w:rPr>
            </w:pPr>
            <w:r w:rsidRPr="00C44A54">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54" w:rsidP="00C44A54">
            <w:pPr>
              <w:pStyle w:val="BodyText"/>
            </w:pPr>
            <w:r w:rsidRPr="00C44A54">
              <w:t>Reasonable adjustments for people with disabilities</w:t>
            </w:r>
            <w:r w:rsidRPr="00C44A54">
              <w:t xml:space="preserve"> must be made to assessment processes where required. This could include access to modified equipment and other physical resources, and the provision of appropriate assessment support.</w:t>
            </w:r>
          </w:p>
          <w:p w:rsidR="00000000" w:rsidRPr="00C44A54" w:rsidP="00C44A54">
            <w:pPr>
              <w:pStyle w:val="BodyText"/>
            </w:pPr>
            <w:r w:rsidRPr="00C44A54">
              <w:t xml:space="preserve">Assessment processes and techniques should as far as is practical take </w:t>
            </w:r>
            <w:r w:rsidRPr="00C44A54">
              <w:t>into account the language, literacy and numeracy capacity of the candidate in relation to the competency being assessed.</w:t>
            </w:r>
          </w:p>
          <w:p w:rsidR="00000000" w:rsidRPr="00C44A54" w:rsidP="00C44A54">
            <w:pPr>
              <w:pStyle w:val="BodyText"/>
            </w:pPr>
            <w:r w:rsidRPr="00C44A54">
              <w:t>This unit could be assessed on its own or in combination with other units relevant to the job function, for example:</w:t>
            </w:r>
          </w:p>
          <w:p w:rsidR="00000000" w:rsidRPr="00C44A54" w:rsidP="00C44A54">
            <w:pPr>
              <w:pStyle w:val="ListBullet"/>
            </w:pPr>
            <w:r w:rsidRPr="00C44A54">
              <w:t>CPPPMT3019A Organ</w:t>
            </w:r>
            <w:r w:rsidRPr="00C44A54">
              <w:t>ise and monitor pest management operations.</w:t>
            </w:r>
          </w:p>
        </w:tc>
      </w:tr>
    </w:tbl>
    <w:p w:rsidR="00000000" w:rsidRPr="00C44A54" w:rsidP="00C44A54">
      <w:pPr>
        <w:pStyle w:val="BodyText"/>
      </w:pPr>
    </w:p>
    <w:p w:rsidR="00000000" w:rsidRPr="00C44A54" w:rsidP="00C44A54">
      <w:pPr>
        <w:pStyle w:val="AllowPageBreak"/>
      </w:pPr>
    </w:p>
    <w:p w:rsidR="00000000" w:rsidRPr="00C44A54" w:rsidP="00C44A54">
      <w:pPr>
        <w:pStyle w:val="Heading1"/>
      </w:pPr>
      <w:bookmarkStart w:id="11" w:name="O_374606"/>
      <w:bookmarkEnd w:id="11"/>
      <w:r w:rsidRPr="00C44A54">
        <w:t>Range Statement</w:t>
      </w:r>
    </w:p>
    <w:tbl>
      <w:tblPr>
        <w:tblW w:w="9508" w:type="dxa"/>
        <w:tblLayout w:type="fixed"/>
        <w:tblCellMar>
          <w:left w:w="62" w:type="dxa"/>
          <w:right w:w="62" w:type="dxa"/>
        </w:tblCellMar>
        <w:tblLook w:val="0000"/>
      </w:tblPr>
      <w:tblGrid>
        <w:gridCol w:w="3100"/>
        <w:gridCol w:w="6408"/>
      </w:tblGrid>
      <w:tr w:rsidTr="00C44A54">
        <w:tblPrEx>
          <w:tblW w:w="9508" w:type="dxa"/>
          <w:tblLayout w:type="fixed"/>
          <w:tblCellMar>
            <w:left w:w="62" w:type="dxa"/>
            <w:right w:w="62" w:type="dxa"/>
          </w:tblCellMar>
          <w:tblLook w:val="0000"/>
        </w:tblPrEx>
        <w:tc>
          <w:tcPr>
            <w:tcW w:w="95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44A54">
            <w:pPr>
              <w:pStyle w:val="BodyText"/>
              <w:rPr>
                <w:lang w:val="en-NZ"/>
              </w:rPr>
            </w:pPr>
            <w:r w:rsidRPr="00C44A54">
              <w:t xml:space="preserve">The range statement relates to the unit of competency as a whole. It allows for different work environments and situations that may affect </w:t>
            </w:r>
            <w:r w:rsidRPr="00C44A54">
              <w:t>performance. Bold italicised wording, if used in the performance criteria, is detailed below. Essential operating conditions that may be present with training and assessment (depending on the work situation, needs of the candidate, accessibility of the ite</w:t>
            </w:r>
            <w:r w:rsidRPr="00C44A54">
              <w:t>m, and local industry and regional contexts) may also be included.</w:t>
            </w:r>
          </w:p>
        </w:tc>
      </w:tr>
      <w:tr w:rsidTr="00C44A54">
        <w:tblPrEx>
          <w:tblW w:w="9508" w:type="dxa"/>
          <w:tblLayout w:type="fixed"/>
          <w:tblCellMar>
            <w:left w:w="62" w:type="dxa"/>
            <w:right w:w="62" w:type="dxa"/>
          </w:tblCellMar>
          <w:tblLook w:val="0000"/>
        </w:tblPrEx>
        <w:tc>
          <w:tcPr>
            <w:tcW w:w="3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54">
            <w:pPr>
              <w:pStyle w:val="BodyText"/>
              <w:rPr>
                <w:lang w:val="en-NZ"/>
              </w:rPr>
            </w:pPr>
            <w:r w:rsidRPr="00C44A54">
              <w:rPr>
                <w:rStyle w:val="BoldandItalics"/>
              </w:rPr>
              <w:t>Work orders</w:t>
            </w:r>
            <w:r w:rsidRPr="00C44A54">
              <w:t xml:space="preserve"> may include:</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54" w:rsidP="00C44A54">
            <w:pPr>
              <w:pStyle w:val="ListBullet"/>
            </w:pPr>
            <w:r w:rsidRPr="00C44A54">
              <w:t>access to work site, including:</w:t>
            </w:r>
          </w:p>
          <w:p w:rsidR="00000000" w:rsidRPr="00C44A54" w:rsidP="00C44A54">
            <w:pPr>
              <w:pStyle w:val="ListBullet2"/>
            </w:pPr>
            <w:r w:rsidRPr="00C44A54">
              <w:t>timing of access</w:t>
            </w:r>
          </w:p>
          <w:p w:rsidR="00000000" w:rsidRPr="00C44A54" w:rsidP="00C44A54">
            <w:pPr>
              <w:pStyle w:val="ListBullet2"/>
            </w:pPr>
            <w:r w:rsidRPr="00C44A54">
              <w:t>access and egress points</w:t>
            </w:r>
          </w:p>
          <w:p w:rsidR="00000000" w:rsidRPr="00C44A54" w:rsidP="00C44A54">
            <w:pPr>
              <w:pStyle w:val="ListBullet"/>
            </w:pPr>
            <w:r w:rsidRPr="00C44A54">
              <w:t>budget allocations</w:t>
            </w:r>
          </w:p>
          <w:p w:rsidR="00000000" w:rsidRPr="00C44A54" w:rsidP="00C44A54">
            <w:pPr>
              <w:pStyle w:val="ListBullet"/>
            </w:pPr>
            <w:r w:rsidRPr="00C44A54">
              <w:t>completion times and dates</w:t>
            </w:r>
          </w:p>
          <w:p w:rsidR="00000000" w:rsidRPr="00C44A54" w:rsidP="00C44A54">
            <w:pPr>
              <w:pStyle w:val="ListBullet"/>
            </w:pPr>
            <w:r w:rsidRPr="00C44A54">
              <w:t>dress and presentation requirements</w:t>
            </w:r>
          </w:p>
          <w:p w:rsidR="00000000" w:rsidRPr="00C44A54" w:rsidP="00C44A54">
            <w:pPr>
              <w:pStyle w:val="ListBullet"/>
            </w:pPr>
            <w:r w:rsidRPr="00C44A54">
              <w:t>job requirements and tasks</w:t>
            </w:r>
          </w:p>
          <w:p w:rsidR="00000000" w:rsidRPr="00C44A54" w:rsidP="00C44A54">
            <w:pPr>
              <w:pStyle w:val="ListBullet"/>
            </w:pPr>
            <w:r w:rsidRPr="00C44A54">
              <w:t>legislative and local government requirements</w:t>
            </w:r>
          </w:p>
          <w:p w:rsidR="00000000" w:rsidRPr="00C44A54" w:rsidP="00C44A54">
            <w:pPr>
              <w:pStyle w:val="ListBullet"/>
            </w:pPr>
            <w:r w:rsidRPr="00C44A54">
              <w:t>OHS requirements and emergency response procedures</w:t>
            </w:r>
          </w:p>
          <w:p w:rsidR="00000000" w:rsidRPr="00C44A54" w:rsidP="00C44A54">
            <w:pPr>
              <w:pStyle w:val="ListBullet"/>
            </w:pPr>
            <w:r w:rsidRPr="00C44A54">
              <w:t>requirements for working in isolated and remote locations</w:t>
            </w:r>
          </w:p>
          <w:p w:rsidR="00000000" w:rsidRPr="00C44A54" w:rsidP="00C44A54">
            <w:pPr>
              <w:pStyle w:val="ListBullet"/>
            </w:pPr>
            <w:r w:rsidRPr="00C44A54">
              <w:t>resource requirements – equipment and materials</w:t>
            </w:r>
          </w:p>
          <w:p w:rsidR="00000000" w:rsidRPr="00C44A54" w:rsidP="00C44A54">
            <w:pPr>
              <w:pStyle w:val="ListBullet"/>
            </w:pPr>
            <w:r w:rsidRPr="00C44A54">
              <w:t>specific client requiremen</w:t>
            </w:r>
            <w:r w:rsidRPr="00C44A54">
              <w:t>ts, such as:</w:t>
            </w:r>
          </w:p>
          <w:p w:rsidR="00000000" w:rsidRPr="00C44A54" w:rsidP="00C44A54">
            <w:pPr>
              <w:pStyle w:val="ListBullet2"/>
            </w:pPr>
            <w:r w:rsidRPr="00C44A54">
              <w:t>noise control</w:t>
            </w:r>
          </w:p>
          <w:p w:rsidR="00000000" w:rsidRPr="00C44A54" w:rsidP="00C44A54">
            <w:pPr>
              <w:pStyle w:val="ListBullet2"/>
            </w:pPr>
            <w:r w:rsidRPr="00C44A54">
              <w:t>relationships with other customer activities</w:t>
            </w:r>
          </w:p>
          <w:p w:rsidR="00000000" w:rsidRPr="00C44A54" w:rsidP="00C44A54">
            <w:pPr>
              <w:pStyle w:val="ListBullet2"/>
            </w:pPr>
            <w:r w:rsidRPr="00C44A54">
              <w:t>sensitivity of occupants to pests or management</w:t>
            </w:r>
          </w:p>
          <w:p w:rsidR="00000000" w:rsidRPr="00C44A54" w:rsidP="00C44A54">
            <w:pPr>
              <w:pStyle w:val="ListBullet"/>
            </w:pPr>
            <w:r w:rsidRPr="00C44A54">
              <w:t>use of signage and barriers</w:t>
            </w:r>
          </w:p>
          <w:p w:rsidR="00000000" w:rsidRPr="00C44A54" w:rsidP="00C44A54">
            <w:pPr>
              <w:pStyle w:val="ListBullet"/>
            </w:pPr>
            <w:r w:rsidRPr="00C44A54">
              <w:t>work schedules</w:t>
            </w:r>
          </w:p>
          <w:p w:rsidR="00000000" w:rsidP="00C44A54">
            <w:pPr>
              <w:pStyle w:val="ListBullet"/>
              <w:rPr>
                <w:lang w:val="en-NZ"/>
              </w:rPr>
            </w:pPr>
            <w:r w:rsidRPr="00C44A54">
              <w:t>work site contact persons.</w:t>
            </w:r>
          </w:p>
        </w:tc>
      </w:tr>
      <w:tr w:rsidTr="00C44A54">
        <w:tblPrEx>
          <w:tblW w:w="9508" w:type="dxa"/>
          <w:tblLayout w:type="fixed"/>
          <w:tblCellMar>
            <w:left w:w="62" w:type="dxa"/>
            <w:right w:w="62" w:type="dxa"/>
          </w:tblCellMar>
          <w:tblLook w:val="0000"/>
        </w:tblPrEx>
        <w:tc>
          <w:tcPr>
            <w:tcW w:w="3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54">
            <w:pPr>
              <w:pStyle w:val="BodyText"/>
              <w:rPr>
                <w:lang w:val="en-NZ"/>
              </w:rPr>
            </w:pPr>
            <w:r w:rsidRPr="00C44A54">
              <w:rPr>
                <w:rStyle w:val="BoldandItalics"/>
              </w:rPr>
              <w:t>Schedule period</w:t>
            </w:r>
            <w:r w:rsidRPr="00C44A54">
              <w:t xml:space="preserve"> may include:</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54" w:rsidP="00C44A54">
            <w:pPr>
              <w:pStyle w:val="ListBullet"/>
            </w:pPr>
            <w:r w:rsidRPr="00C44A54">
              <w:t>annual</w:t>
            </w:r>
          </w:p>
          <w:p w:rsidR="00000000" w:rsidRPr="00C44A54" w:rsidP="00C44A54">
            <w:pPr>
              <w:pStyle w:val="ListBullet"/>
            </w:pPr>
            <w:r w:rsidRPr="00C44A54">
              <w:t>daily</w:t>
            </w:r>
          </w:p>
          <w:p w:rsidR="00000000" w:rsidRPr="00C44A54" w:rsidP="00C44A54">
            <w:pPr>
              <w:pStyle w:val="ListBullet"/>
            </w:pPr>
            <w:r w:rsidRPr="00C44A54">
              <w:t>monthly</w:t>
            </w:r>
          </w:p>
          <w:p w:rsidR="00000000" w:rsidP="00C44A54">
            <w:pPr>
              <w:pStyle w:val="ListBullet"/>
              <w:rPr>
                <w:lang w:val="en-NZ"/>
              </w:rPr>
            </w:pPr>
            <w:r w:rsidRPr="00C44A54">
              <w:t>weekly.</w:t>
            </w:r>
          </w:p>
        </w:tc>
      </w:tr>
      <w:tr w:rsidTr="00C44A54">
        <w:tblPrEx>
          <w:tblW w:w="9508" w:type="dxa"/>
          <w:tblLayout w:type="fixed"/>
          <w:tblCellMar>
            <w:left w:w="62" w:type="dxa"/>
            <w:right w:w="62" w:type="dxa"/>
          </w:tblCellMar>
          <w:tblLook w:val="0000"/>
        </w:tblPrEx>
        <w:tc>
          <w:tcPr>
            <w:tcW w:w="3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54">
            <w:pPr>
              <w:pStyle w:val="BodyText"/>
              <w:rPr>
                <w:lang w:val="en-NZ"/>
              </w:rPr>
            </w:pPr>
            <w:r w:rsidRPr="00C44A54">
              <w:rPr>
                <w:rStyle w:val="BoldandItalics"/>
              </w:rPr>
              <w:t xml:space="preserve">Company requirements </w:t>
            </w:r>
            <w:r w:rsidRPr="00C44A54">
              <w:t>may include:</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54" w:rsidP="00C44A54">
            <w:pPr>
              <w:pStyle w:val="ListBullet"/>
            </w:pPr>
            <w:r w:rsidRPr="00C44A54">
              <w:t>access and equity policy, principles and practice</w:t>
            </w:r>
          </w:p>
          <w:p w:rsidR="00000000" w:rsidRPr="00C44A54" w:rsidP="00C44A54">
            <w:pPr>
              <w:pStyle w:val="ListBullet"/>
            </w:pPr>
            <w:r w:rsidRPr="00C44A54">
              <w:t>business and performance plans</w:t>
            </w:r>
          </w:p>
          <w:p w:rsidR="00000000" w:rsidRPr="00C44A54" w:rsidP="00C44A54">
            <w:pPr>
              <w:pStyle w:val="ListBullet"/>
            </w:pPr>
            <w:r w:rsidRPr="00C44A54">
              <w:t>client communication procedures</w:t>
            </w:r>
          </w:p>
          <w:p w:rsidR="00000000" w:rsidRPr="00C44A54" w:rsidP="00C44A54">
            <w:pPr>
              <w:pStyle w:val="ListBullet"/>
            </w:pPr>
            <w:r w:rsidRPr="00C44A54">
              <w:t>client confidentiality procedures</w:t>
            </w:r>
          </w:p>
          <w:p w:rsidR="00000000" w:rsidRPr="00C44A54" w:rsidP="00C44A54">
            <w:pPr>
              <w:pStyle w:val="ListBullet"/>
            </w:pPr>
            <w:r w:rsidRPr="00C44A54">
              <w:t>client service standards</w:t>
            </w:r>
          </w:p>
          <w:p w:rsidR="00000000" w:rsidRPr="00C44A54" w:rsidP="00C44A54">
            <w:pPr>
              <w:pStyle w:val="ListBullet"/>
            </w:pPr>
            <w:r w:rsidRPr="00C44A54">
              <w:t>company goals, objectives, plans, systems and pro</w:t>
            </w:r>
            <w:r w:rsidRPr="00C44A54">
              <w:t>cesses</w:t>
            </w:r>
          </w:p>
          <w:p w:rsidR="00000000" w:rsidRPr="00C44A54" w:rsidP="00C44A54">
            <w:pPr>
              <w:pStyle w:val="ListBullet"/>
            </w:pPr>
            <w:r w:rsidRPr="00C44A54">
              <w:t>company issued identification badge, card or pass</w:t>
            </w:r>
          </w:p>
          <w:p w:rsidR="00000000" w:rsidRPr="00C44A54" w:rsidP="00C44A54">
            <w:pPr>
              <w:pStyle w:val="ListBullet"/>
            </w:pPr>
            <w:r w:rsidRPr="00C44A54">
              <w:t>company policies and procedures</w:t>
            </w:r>
          </w:p>
          <w:p w:rsidR="00000000" w:rsidRPr="00C44A54" w:rsidP="00C44A54">
            <w:pPr>
              <w:pStyle w:val="ListBullet"/>
            </w:pPr>
            <w:r w:rsidRPr="00C44A54">
              <w:t>defined resource parameters</w:t>
            </w:r>
          </w:p>
          <w:p w:rsidR="00000000" w:rsidRPr="00C44A54" w:rsidP="00C44A54">
            <w:pPr>
              <w:pStyle w:val="ListBullet"/>
            </w:pPr>
            <w:r w:rsidRPr="00C44A54">
              <w:t>dress and presentation requirements</w:t>
            </w:r>
          </w:p>
          <w:p w:rsidR="00000000" w:rsidRPr="00C44A54" w:rsidP="00C44A54">
            <w:pPr>
              <w:pStyle w:val="ListBullet"/>
            </w:pPr>
            <w:r w:rsidRPr="00C44A54">
              <w:t>duty of care, code of conduct and code of ethics</w:t>
            </w:r>
          </w:p>
          <w:p w:rsidR="00000000" w:rsidRPr="00C44A54" w:rsidP="00C44A54">
            <w:pPr>
              <w:pStyle w:val="ListBullet"/>
            </w:pPr>
            <w:r w:rsidRPr="00C44A54">
              <w:t>emergency response and evacuation procedures</w:t>
            </w:r>
          </w:p>
          <w:p w:rsidR="00000000" w:rsidRPr="00C44A54" w:rsidP="00C44A54">
            <w:pPr>
              <w:pStyle w:val="ListBullet"/>
            </w:pPr>
            <w:r w:rsidRPr="00C44A54">
              <w:t>employer and employee rights and responsibilities</w:t>
            </w:r>
          </w:p>
          <w:p w:rsidR="00000000" w:rsidRPr="00C44A54" w:rsidP="00C44A54">
            <w:pPr>
              <w:pStyle w:val="ListBullet"/>
            </w:pPr>
            <w:r w:rsidRPr="00C44A54">
              <w:t>establishing operator identity with client</w:t>
            </w:r>
          </w:p>
          <w:p w:rsidR="00000000" w:rsidRPr="00C44A54" w:rsidP="00C44A54">
            <w:pPr>
              <w:pStyle w:val="ListBullet"/>
            </w:pPr>
            <w:r w:rsidRPr="00C44A54">
              <w:t>internal communication channels and reporting procedures</w:t>
            </w:r>
          </w:p>
          <w:p w:rsidR="00000000" w:rsidRPr="00C44A54" w:rsidP="00C44A54">
            <w:pPr>
              <w:pStyle w:val="ListBullet"/>
            </w:pPr>
            <w:r w:rsidRPr="00C44A54">
              <w:t>maintenance procedures for equipment and PPE</w:t>
            </w:r>
          </w:p>
          <w:p w:rsidR="00000000" w:rsidRPr="00C44A54" w:rsidP="00C44A54">
            <w:pPr>
              <w:pStyle w:val="ListBullet"/>
            </w:pPr>
            <w:r w:rsidRPr="00C44A54">
              <w:t>OHS policies and procedures</w:t>
            </w:r>
          </w:p>
          <w:p w:rsidR="00000000" w:rsidRPr="00C44A54" w:rsidP="00C44A54">
            <w:pPr>
              <w:pStyle w:val="ListBullet"/>
            </w:pPr>
            <w:r w:rsidRPr="00C44A54">
              <w:t>personnel practices and guideline</w:t>
            </w:r>
            <w:r w:rsidRPr="00C44A54">
              <w:t>s</w:t>
            </w:r>
          </w:p>
          <w:p w:rsidR="00000000" w:rsidRPr="00C44A54" w:rsidP="00C44A54">
            <w:pPr>
              <w:pStyle w:val="ListBullet"/>
            </w:pPr>
            <w:r w:rsidRPr="00C44A54">
              <w:t>policies and procedures relating to own role, responsibility and delegation</w:t>
            </w:r>
          </w:p>
          <w:p w:rsidR="00000000" w:rsidRPr="00C44A54" w:rsidP="00C44A54">
            <w:pPr>
              <w:pStyle w:val="ListBullet"/>
            </w:pPr>
            <w:r w:rsidRPr="00C44A54">
              <w:t>quality and continuous improvement processes and standards</w:t>
            </w:r>
          </w:p>
          <w:p w:rsidR="00000000" w:rsidRPr="00C44A54" w:rsidP="00C44A54">
            <w:pPr>
              <w:pStyle w:val="ListBullet"/>
            </w:pPr>
            <w:r w:rsidRPr="00C44A54">
              <w:t>records and information systems and processes</w:t>
            </w:r>
          </w:p>
          <w:p w:rsidR="00000000" w:rsidRPr="00C44A54" w:rsidP="00C44A54">
            <w:pPr>
              <w:pStyle w:val="ListBullet"/>
            </w:pPr>
            <w:r w:rsidRPr="00C44A54">
              <w:t>training (induction and refresher) materials</w:t>
            </w:r>
          </w:p>
          <w:p w:rsidR="00000000" w:rsidP="00C44A54">
            <w:pPr>
              <w:pStyle w:val="ListBullet"/>
              <w:rPr>
                <w:lang w:val="en-NZ"/>
              </w:rPr>
            </w:pPr>
            <w:r w:rsidRPr="00C44A54">
              <w:t>work site access security cl</w:t>
            </w:r>
            <w:r w:rsidRPr="00C44A54">
              <w:t>earance procedures.</w:t>
            </w:r>
          </w:p>
        </w:tc>
      </w:tr>
      <w:tr w:rsidTr="00C44A54">
        <w:tblPrEx>
          <w:tblW w:w="9508" w:type="dxa"/>
          <w:tblLayout w:type="fixed"/>
          <w:tblCellMar>
            <w:left w:w="62" w:type="dxa"/>
            <w:right w:w="62" w:type="dxa"/>
          </w:tblCellMar>
          <w:tblLook w:val="0000"/>
        </w:tblPrEx>
        <w:tc>
          <w:tcPr>
            <w:tcW w:w="3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54">
            <w:pPr>
              <w:pStyle w:val="BodyText"/>
              <w:rPr>
                <w:lang w:val="en-NZ"/>
              </w:rPr>
            </w:pPr>
            <w:r w:rsidRPr="00C44A54">
              <w:rPr>
                <w:rStyle w:val="BoldandItalics"/>
              </w:rPr>
              <w:t xml:space="preserve">Schedule </w:t>
            </w:r>
            <w:r w:rsidRPr="00C44A54">
              <w:t>may include:</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54" w:rsidP="00C44A54">
            <w:pPr>
              <w:pStyle w:val="ListBullet"/>
            </w:pPr>
            <w:r w:rsidRPr="00C44A54">
              <w:t>charts and wall-mounted planning boards</w:t>
            </w:r>
          </w:p>
          <w:p w:rsidR="00000000" w:rsidRPr="00C44A54" w:rsidP="00C44A54">
            <w:pPr>
              <w:pStyle w:val="ListBullet"/>
            </w:pPr>
            <w:r w:rsidRPr="00C44A54">
              <w:t>electronic or paper-based</w:t>
            </w:r>
          </w:p>
          <w:p w:rsidR="00000000" w:rsidRPr="00C44A54" w:rsidP="00C44A54">
            <w:pPr>
              <w:pStyle w:val="ListBullet"/>
            </w:pPr>
            <w:r w:rsidRPr="00C44A54">
              <w:t>to-do lists</w:t>
            </w:r>
          </w:p>
          <w:p w:rsidR="00000000" w:rsidP="00C44A54">
            <w:pPr>
              <w:pStyle w:val="ListBullet"/>
              <w:rPr>
                <w:lang w:val="en-NZ"/>
              </w:rPr>
            </w:pPr>
            <w:r w:rsidRPr="00C44A54">
              <w:t>work diaries.</w:t>
            </w:r>
          </w:p>
        </w:tc>
      </w:tr>
      <w:tr w:rsidTr="00C44A54">
        <w:tblPrEx>
          <w:tblW w:w="9508" w:type="dxa"/>
          <w:tblLayout w:type="fixed"/>
          <w:tblCellMar>
            <w:left w:w="62" w:type="dxa"/>
            <w:right w:w="62" w:type="dxa"/>
          </w:tblCellMar>
          <w:tblLook w:val="0000"/>
        </w:tblPrEx>
        <w:tc>
          <w:tcPr>
            <w:tcW w:w="3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54">
            <w:pPr>
              <w:pStyle w:val="BodyText"/>
              <w:rPr>
                <w:lang w:val="en-NZ"/>
              </w:rPr>
            </w:pPr>
            <w:r w:rsidRPr="00C44A54">
              <w:rPr>
                <w:rStyle w:val="BoldandItalics"/>
              </w:rPr>
              <w:t xml:space="preserve">Client </w:t>
            </w:r>
            <w:r w:rsidRPr="00C44A54">
              <w:t>may include:</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54" w:rsidP="00C44A54">
            <w:pPr>
              <w:pStyle w:val="ListBullet"/>
            </w:pPr>
            <w:r w:rsidRPr="00C44A54">
              <w:t>bodies corporate</w:t>
            </w:r>
          </w:p>
          <w:p w:rsidR="00000000" w:rsidRPr="00C44A54" w:rsidP="00C44A54">
            <w:pPr>
              <w:pStyle w:val="ListBullet"/>
            </w:pPr>
            <w:r w:rsidRPr="00C44A54">
              <w:t>building supervisors</w:t>
            </w:r>
          </w:p>
          <w:p w:rsidR="00000000" w:rsidRPr="00C44A54" w:rsidP="00C44A54">
            <w:pPr>
              <w:pStyle w:val="ListBullet"/>
            </w:pPr>
            <w:r w:rsidRPr="00C44A54">
              <w:t>companies or organisations</w:t>
            </w:r>
          </w:p>
          <w:p w:rsidR="00000000" w:rsidRPr="00C44A54" w:rsidP="00C44A54">
            <w:pPr>
              <w:pStyle w:val="ListBullet"/>
            </w:pPr>
            <w:r w:rsidRPr="00C44A54">
              <w:t>environmental health officers</w:t>
            </w:r>
          </w:p>
          <w:p w:rsidR="00000000" w:rsidRPr="00C44A54" w:rsidP="00C44A54">
            <w:pPr>
              <w:pStyle w:val="ListBullet"/>
            </w:pPr>
            <w:r w:rsidRPr="00C44A54">
              <w:t>executive housekeepers</w:t>
            </w:r>
          </w:p>
          <w:p w:rsidR="00000000" w:rsidRPr="00C44A54" w:rsidP="00C44A54">
            <w:pPr>
              <w:pStyle w:val="ListBullet"/>
            </w:pPr>
            <w:r w:rsidRPr="00C44A54">
              <w:t>maintenance managers</w:t>
            </w:r>
          </w:p>
          <w:p w:rsidR="00000000" w:rsidRPr="00C44A54" w:rsidP="00C44A54">
            <w:pPr>
              <w:pStyle w:val="ListBullet"/>
            </w:pPr>
            <w:r w:rsidRPr="00C44A54">
              <w:t>owners</w:t>
            </w:r>
          </w:p>
          <w:p w:rsidR="00000000" w:rsidRPr="00C44A54" w:rsidP="00C44A54">
            <w:pPr>
              <w:pStyle w:val="ListBullet"/>
            </w:pPr>
            <w:r w:rsidRPr="00C44A54">
              <w:t>persons in control of work processes</w:t>
            </w:r>
          </w:p>
          <w:p w:rsidR="00000000" w:rsidRPr="00C44A54" w:rsidP="00C44A54">
            <w:pPr>
              <w:pStyle w:val="ListBullet"/>
            </w:pPr>
            <w:r w:rsidRPr="00C44A54">
              <w:t>property agents or managers</w:t>
            </w:r>
          </w:p>
          <w:p w:rsidR="00000000" w:rsidP="00C44A54">
            <w:pPr>
              <w:pStyle w:val="ListBullet"/>
              <w:rPr>
                <w:lang w:val="en-NZ"/>
              </w:rPr>
            </w:pPr>
            <w:r w:rsidRPr="00C44A54">
              <w:t>tenants.</w:t>
            </w:r>
          </w:p>
        </w:tc>
      </w:tr>
      <w:tr w:rsidTr="00C44A54">
        <w:tblPrEx>
          <w:tblW w:w="9508" w:type="dxa"/>
          <w:tblLayout w:type="fixed"/>
          <w:tblCellMar>
            <w:left w:w="62" w:type="dxa"/>
            <w:right w:w="62" w:type="dxa"/>
          </w:tblCellMar>
          <w:tblLook w:val="0000"/>
        </w:tblPrEx>
        <w:tc>
          <w:tcPr>
            <w:tcW w:w="3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54">
            <w:pPr>
              <w:pStyle w:val="BodyText"/>
              <w:rPr>
                <w:lang w:val="en-NZ"/>
              </w:rPr>
            </w:pPr>
            <w:r w:rsidRPr="00C44A54">
              <w:rPr>
                <w:rStyle w:val="BoldandItalics"/>
              </w:rPr>
              <w:t xml:space="preserve">Legislative requirements </w:t>
            </w:r>
            <w:r w:rsidRPr="00C44A54">
              <w:t>may include:</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54" w:rsidP="00C44A54">
            <w:pPr>
              <w:pStyle w:val="ListBullet"/>
            </w:pPr>
            <w:r w:rsidRPr="00C44A54">
              <w:t>Australian standards, quality assurance and certification requirements</w:t>
            </w:r>
          </w:p>
          <w:p w:rsidR="00000000" w:rsidRPr="00C44A54" w:rsidP="00C44A54">
            <w:pPr>
              <w:pStyle w:val="ListBullet"/>
            </w:pPr>
            <w:r w:rsidRPr="00C44A54">
              <w:t>award and enterprise agreements</w:t>
            </w:r>
          </w:p>
          <w:p w:rsidR="00000000" w:rsidRPr="00C44A54" w:rsidP="00C44A54">
            <w:pPr>
              <w:pStyle w:val="ListBullet2"/>
            </w:pPr>
            <w:r w:rsidRPr="00C44A54">
              <w:t>industry advisory standards and codes, such as:</w:t>
            </w:r>
          </w:p>
          <w:p w:rsidR="00000000" w:rsidRPr="00C44A54" w:rsidP="00C44A54">
            <w:pPr>
              <w:pStyle w:val="ListBullet2"/>
            </w:pPr>
            <w:r w:rsidRPr="00C44A54">
              <w:t>building codes</w:t>
            </w:r>
          </w:p>
          <w:p w:rsidR="00000000" w:rsidRPr="00C44A54" w:rsidP="00C44A54">
            <w:pPr>
              <w:pStyle w:val="ListBullet"/>
            </w:pPr>
            <w:r w:rsidRPr="00C44A54">
              <w:t>dangerous goods codes</w:t>
            </w:r>
          </w:p>
          <w:p w:rsidR="00000000" w:rsidRPr="00C44A54" w:rsidP="00C44A54">
            <w:pPr>
              <w:pStyle w:val="ListBullet"/>
            </w:pPr>
            <w:r w:rsidRPr="00C44A54">
              <w:t>relevant commonwealth, state and territory legislation and local government regulations that affect company operation, such as:</w:t>
            </w:r>
          </w:p>
          <w:p w:rsidR="00000000" w:rsidRPr="00C44A54" w:rsidP="00C44A54">
            <w:pPr>
              <w:pStyle w:val="ListBullet2"/>
            </w:pPr>
            <w:r w:rsidRPr="00C44A54">
              <w:t>anti-discrimination and diversity</w:t>
            </w:r>
          </w:p>
          <w:p w:rsidR="00000000" w:rsidRPr="00C44A54" w:rsidP="00C44A54">
            <w:pPr>
              <w:pStyle w:val="ListBullet2"/>
            </w:pPr>
            <w:r w:rsidRPr="00C44A54">
              <w:t>chemical controls</w:t>
            </w:r>
          </w:p>
          <w:p w:rsidR="00000000" w:rsidRPr="00C44A54" w:rsidP="00C44A54">
            <w:pPr>
              <w:pStyle w:val="ListBullet2"/>
            </w:pPr>
            <w:r w:rsidRPr="00C44A54">
              <w:t>chemical registers and manifests</w:t>
            </w:r>
          </w:p>
          <w:p w:rsidR="00000000" w:rsidRPr="00C44A54" w:rsidP="00C44A54">
            <w:pPr>
              <w:pStyle w:val="ListBullet2"/>
            </w:pPr>
            <w:r w:rsidRPr="00C44A54">
              <w:t>consumer protection legislation</w:t>
            </w:r>
          </w:p>
          <w:p w:rsidR="00000000" w:rsidRPr="00C44A54" w:rsidP="00C44A54">
            <w:pPr>
              <w:pStyle w:val="ListBullet2"/>
            </w:pPr>
            <w:r w:rsidRPr="00C44A54">
              <w:t>dangerous goods Acts and regulations</w:t>
            </w:r>
          </w:p>
          <w:p w:rsidR="00000000" w:rsidRPr="00C44A54" w:rsidP="00C44A54">
            <w:pPr>
              <w:pStyle w:val="ListBullet2"/>
            </w:pPr>
            <w:r w:rsidRPr="00C44A54">
              <w:t>declared pest (plant and animal) reporting</w:t>
            </w:r>
          </w:p>
          <w:p w:rsidR="00000000" w:rsidRPr="00C44A54" w:rsidP="00C44A54">
            <w:pPr>
              <w:pStyle w:val="ListBullet2"/>
            </w:pPr>
            <w:r w:rsidRPr="00C44A54">
              <w:t>environmental protection issues</w:t>
            </w:r>
          </w:p>
          <w:p w:rsidR="00000000" w:rsidRPr="00C44A54" w:rsidP="00C44A54">
            <w:pPr>
              <w:pStyle w:val="ListBullet2"/>
            </w:pPr>
            <w:r w:rsidRPr="00C44A54">
              <w:t>equal employment opportunit</w:t>
            </w:r>
            <w:r w:rsidRPr="00C44A54">
              <w:t>y</w:t>
            </w:r>
          </w:p>
          <w:p w:rsidR="00000000" w:rsidRPr="00C44A54" w:rsidP="00C44A54">
            <w:pPr>
              <w:pStyle w:val="ListBullet2"/>
            </w:pPr>
            <w:r w:rsidRPr="00C44A54">
              <w:t>freedom of information</w:t>
            </w:r>
          </w:p>
          <w:p w:rsidR="00000000" w:rsidRPr="00C44A54" w:rsidP="00C44A54">
            <w:pPr>
              <w:pStyle w:val="ListBullet2"/>
            </w:pPr>
            <w:r w:rsidRPr="00C44A54">
              <w:t>industrial relations</w:t>
            </w:r>
          </w:p>
          <w:p w:rsidR="00000000" w:rsidRPr="00C44A54" w:rsidP="00C44A54">
            <w:pPr>
              <w:pStyle w:val="ListBullet2"/>
            </w:pPr>
            <w:r w:rsidRPr="00C44A54">
              <w:t>motor and commercial vehicle transportation</w:t>
            </w:r>
          </w:p>
          <w:p w:rsidR="00000000" w:rsidRPr="00C44A54" w:rsidP="00C44A54">
            <w:pPr>
              <w:pStyle w:val="ListBullet2"/>
            </w:pPr>
            <w:r w:rsidRPr="00C44A54">
              <w:t>motor licence and endorsement regulations</w:t>
            </w:r>
          </w:p>
          <w:p w:rsidR="00000000" w:rsidRPr="00C44A54" w:rsidP="00C44A54">
            <w:pPr>
              <w:pStyle w:val="ListBullet2"/>
            </w:pPr>
            <w:r w:rsidRPr="00C44A54">
              <w:t>OHS Acts and regulations</w:t>
            </w:r>
          </w:p>
          <w:p w:rsidR="00000000" w:rsidRPr="00C44A54" w:rsidP="00C44A54">
            <w:pPr>
              <w:pStyle w:val="ListBullet2"/>
            </w:pPr>
            <w:r w:rsidRPr="00C44A54">
              <w:t>privacy</w:t>
            </w:r>
          </w:p>
          <w:p w:rsidR="00000000" w:rsidRPr="00C44A54" w:rsidP="00C44A54">
            <w:pPr>
              <w:pStyle w:val="ListBullet2"/>
            </w:pPr>
            <w:r w:rsidRPr="00C44A54">
              <w:t>public health</w:t>
            </w:r>
          </w:p>
          <w:p w:rsidR="00000000" w:rsidRPr="00C44A54" w:rsidP="00C44A54">
            <w:pPr>
              <w:pStyle w:val="ListBullet2"/>
            </w:pPr>
            <w:r w:rsidRPr="00C44A54">
              <w:t>trade practices</w:t>
            </w:r>
          </w:p>
          <w:p w:rsidR="00000000" w:rsidP="00C44A54">
            <w:pPr>
              <w:pStyle w:val="ListBullet2"/>
              <w:rPr>
                <w:lang w:val="en-NZ"/>
              </w:rPr>
            </w:pPr>
            <w:r w:rsidRPr="00C44A54">
              <w:t>workplace consultative arrangements.</w:t>
            </w:r>
          </w:p>
        </w:tc>
      </w:tr>
      <w:tr w:rsidTr="00C44A54">
        <w:tblPrEx>
          <w:tblW w:w="9508" w:type="dxa"/>
          <w:tblLayout w:type="fixed"/>
          <w:tblCellMar>
            <w:left w:w="62" w:type="dxa"/>
            <w:right w:w="62" w:type="dxa"/>
          </w:tblCellMar>
          <w:tblLook w:val="0000"/>
        </w:tblPrEx>
        <w:tc>
          <w:tcPr>
            <w:tcW w:w="3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54">
            <w:pPr>
              <w:pStyle w:val="BodyText"/>
              <w:rPr>
                <w:lang w:val="en-NZ"/>
              </w:rPr>
            </w:pPr>
            <w:r w:rsidRPr="00C44A54">
              <w:rPr>
                <w:rStyle w:val="BoldandItalics"/>
              </w:rPr>
              <w:t xml:space="preserve">Occupational health and safety </w:t>
            </w:r>
            <w:r w:rsidRPr="00C44A54">
              <w:t>(also known as workplace health and safety)</w:t>
            </w:r>
            <w:r w:rsidRPr="00C44A54">
              <w:rPr>
                <w:rStyle w:val="BoldandItalics"/>
              </w:rPr>
              <w:t xml:space="preserve"> requirements </w:t>
            </w:r>
            <w:r w:rsidRPr="00C44A54">
              <w:t>may include:</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54" w:rsidP="00C44A54">
            <w:pPr>
              <w:pStyle w:val="ListBullet"/>
            </w:pPr>
            <w:r w:rsidRPr="00C44A54">
              <w:t>allergic reactions, such as contact dermatitis</w:t>
            </w:r>
          </w:p>
          <w:p w:rsidR="00000000" w:rsidRPr="00C44A54" w:rsidP="00C44A54">
            <w:pPr>
              <w:pStyle w:val="ListBullet"/>
            </w:pPr>
            <w:r w:rsidRPr="00C44A54">
              <w:t>animal management or control procedures</w:t>
            </w:r>
          </w:p>
          <w:p w:rsidR="00000000" w:rsidRPr="00C44A54" w:rsidP="00C44A54">
            <w:pPr>
              <w:pStyle w:val="ListBullet"/>
            </w:pPr>
            <w:r w:rsidRPr="00C44A54">
              <w:t>communication devices for isolated or remote locations, such as:</w:t>
            </w:r>
          </w:p>
          <w:p w:rsidR="00000000" w:rsidRPr="00C44A54" w:rsidP="00C44A54">
            <w:pPr>
              <w:pStyle w:val="ListBullet2"/>
            </w:pPr>
            <w:r w:rsidRPr="00C44A54">
              <w:t>mobile phone</w:t>
            </w:r>
          </w:p>
          <w:p w:rsidR="00000000" w:rsidRPr="00C44A54" w:rsidP="00C44A54">
            <w:pPr>
              <w:pStyle w:val="ListBullet2"/>
            </w:pPr>
            <w:r w:rsidRPr="00C44A54">
              <w:t xml:space="preserve">two-way radio </w:t>
            </w:r>
          </w:p>
          <w:p w:rsidR="00000000" w:rsidRPr="00C44A54" w:rsidP="00C44A54">
            <w:pPr>
              <w:pStyle w:val="ListBullet"/>
            </w:pPr>
            <w:r w:rsidRPr="00C44A54">
              <w:t>dermatoxicological control and prevention measures</w:t>
            </w:r>
          </w:p>
          <w:p w:rsidR="00000000" w:rsidRPr="00C44A54" w:rsidP="00C44A54">
            <w:pPr>
              <w:pStyle w:val="ListBullet"/>
            </w:pPr>
            <w:r w:rsidRPr="00C44A54">
              <w:t>emergency procedures for contact with toxic substances, such as:</w:t>
            </w:r>
          </w:p>
          <w:p w:rsidR="00000000" w:rsidRPr="00C44A54" w:rsidP="00C44A54">
            <w:pPr>
              <w:pStyle w:val="ListBullet2"/>
            </w:pPr>
            <w:r w:rsidRPr="00C44A54">
              <w:t>splashes in eye or on skin</w:t>
            </w:r>
          </w:p>
          <w:p w:rsidR="00000000" w:rsidRPr="00C44A54" w:rsidP="00C44A54">
            <w:pPr>
              <w:pStyle w:val="ListBullet2"/>
            </w:pPr>
            <w:r w:rsidRPr="00C44A54">
              <w:t>inhalation</w:t>
            </w:r>
          </w:p>
          <w:p w:rsidR="00000000" w:rsidRPr="00C44A54" w:rsidP="00C44A54">
            <w:pPr>
              <w:pStyle w:val="ListBullet2"/>
            </w:pPr>
            <w:r w:rsidRPr="00C44A54">
              <w:t>ingestion</w:t>
            </w:r>
          </w:p>
          <w:p w:rsidR="00000000" w:rsidRPr="00C44A54" w:rsidP="00C44A54">
            <w:pPr>
              <w:pStyle w:val="ListBullet"/>
            </w:pPr>
            <w:r w:rsidRPr="00C44A54">
              <w:t>hazard identification and risk assessment mechanisms</w:t>
            </w:r>
          </w:p>
          <w:p w:rsidR="00000000" w:rsidRPr="00C44A54" w:rsidP="00C44A54">
            <w:pPr>
              <w:pStyle w:val="ListBullet"/>
            </w:pPr>
            <w:r w:rsidRPr="00C44A54">
              <w:t>health s</w:t>
            </w:r>
            <w:r w:rsidRPr="00C44A54">
              <w:t>urveillance and monitoring, such as regular blood testing</w:t>
            </w:r>
          </w:p>
          <w:p w:rsidR="00000000" w:rsidRPr="00C44A54" w:rsidP="00C44A54">
            <w:pPr>
              <w:pStyle w:val="ListBullet"/>
            </w:pPr>
            <w:r w:rsidRPr="00C44A54">
              <w:t>hierarchy of hazard control procedures</w:t>
            </w:r>
          </w:p>
          <w:p w:rsidR="00000000" w:rsidRPr="00C44A54" w:rsidP="00C44A54">
            <w:pPr>
              <w:pStyle w:val="ListBullet"/>
            </w:pPr>
            <w:r w:rsidRPr="00C44A54">
              <w:t>industry advisory standards</w:t>
            </w:r>
          </w:p>
          <w:p w:rsidR="00000000" w:rsidRPr="00C44A54" w:rsidP="00C44A54">
            <w:pPr>
              <w:pStyle w:val="ListBullet"/>
            </w:pPr>
            <w:r w:rsidRPr="00C44A54">
              <w:t>information provided by national registration authority for chemical approval and state government authorities, such as:</w:t>
            </w:r>
          </w:p>
          <w:p w:rsidR="00000000" w:rsidRPr="00C44A54" w:rsidP="00C44A54">
            <w:pPr>
              <w:pStyle w:val="ListBullet2"/>
            </w:pPr>
            <w:r w:rsidRPr="00C44A54">
              <w:t>agriculture</w:t>
            </w:r>
          </w:p>
          <w:p w:rsidR="00000000" w:rsidRPr="00C44A54" w:rsidP="00C44A54">
            <w:pPr>
              <w:pStyle w:val="ListBullet2"/>
            </w:pPr>
            <w:r w:rsidRPr="00C44A54">
              <w:t>environmental protection</w:t>
            </w:r>
          </w:p>
          <w:p w:rsidR="00000000" w:rsidRPr="00C44A54" w:rsidP="00C44A54">
            <w:pPr>
              <w:pStyle w:val="ListBullet2"/>
            </w:pPr>
            <w:r w:rsidRPr="00C44A54">
              <w:t>health and primary industry</w:t>
            </w:r>
          </w:p>
          <w:p w:rsidR="00000000" w:rsidRPr="00C44A54" w:rsidP="00C44A54">
            <w:pPr>
              <w:pStyle w:val="ListBullet"/>
            </w:pPr>
            <w:r w:rsidRPr="00C44A54">
              <w:t>injury and dangerous occurrence reporting</w:t>
            </w:r>
          </w:p>
          <w:p w:rsidR="00000000" w:rsidRPr="00C44A54" w:rsidP="00C44A54">
            <w:pPr>
              <w:pStyle w:val="ListBullet"/>
            </w:pPr>
            <w:r w:rsidRPr="00C44A54">
              <w:t>national and industry codes of practice</w:t>
            </w:r>
          </w:p>
          <w:p w:rsidR="00000000" w:rsidRPr="00C44A54" w:rsidP="00C44A54">
            <w:pPr>
              <w:pStyle w:val="ListBullet"/>
            </w:pPr>
            <w:r w:rsidRPr="00C44A54">
              <w:t>OHS control procedures, such as:</w:t>
            </w:r>
          </w:p>
          <w:p w:rsidR="00000000" w:rsidRPr="00C44A54" w:rsidP="00C44A54">
            <w:pPr>
              <w:pStyle w:val="ListBullet2"/>
            </w:pPr>
            <w:r w:rsidRPr="00C44A54">
              <w:t>health and safety plans</w:t>
            </w:r>
          </w:p>
          <w:p w:rsidR="00000000" w:rsidRPr="00C44A54" w:rsidP="00C44A54">
            <w:pPr>
              <w:pStyle w:val="ListBullet2"/>
            </w:pPr>
            <w:r w:rsidRPr="00C44A54">
              <w:t>job plans</w:t>
            </w:r>
          </w:p>
          <w:p w:rsidR="00000000" w:rsidRPr="00C44A54" w:rsidP="00C44A54">
            <w:pPr>
              <w:pStyle w:val="ListBullet2"/>
            </w:pPr>
            <w:r w:rsidRPr="00C44A54">
              <w:t>job safety analyses</w:t>
            </w:r>
          </w:p>
          <w:p w:rsidR="00000000" w:rsidRPr="00C44A54" w:rsidP="00C44A54">
            <w:pPr>
              <w:pStyle w:val="ListBullet2"/>
            </w:pPr>
            <w:r w:rsidRPr="00C44A54">
              <w:t>risk assessments</w:t>
            </w:r>
          </w:p>
          <w:p w:rsidR="00000000" w:rsidRPr="00C44A54" w:rsidP="00C44A54">
            <w:pPr>
              <w:pStyle w:val="ListBullet2"/>
            </w:pPr>
            <w:r w:rsidRPr="00C44A54">
              <w:t>saf</w:t>
            </w:r>
            <w:r w:rsidRPr="00C44A54">
              <w:t>e operating practices or procedures</w:t>
            </w:r>
          </w:p>
          <w:p w:rsidR="00000000" w:rsidRPr="00C44A54" w:rsidP="00C44A54">
            <w:pPr>
              <w:pStyle w:val="ListBullet2"/>
            </w:pPr>
            <w:r w:rsidRPr="00C44A54">
              <w:t>safe work instructions</w:t>
            </w:r>
          </w:p>
          <w:p w:rsidR="00000000" w:rsidRPr="00C44A54" w:rsidP="00C44A54">
            <w:pPr>
              <w:pStyle w:val="ListBullet2"/>
            </w:pPr>
            <w:r w:rsidRPr="00C44A54">
              <w:t>safe work method statements</w:t>
            </w:r>
          </w:p>
          <w:p w:rsidR="00000000" w:rsidRPr="00C44A54" w:rsidP="00C44A54">
            <w:pPr>
              <w:pStyle w:val="ListBullet"/>
            </w:pPr>
            <w:r w:rsidRPr="00C44A54">
              <w:t>routes of entry and potential symptoms of exposure to chemicals</w:t>
            </w:r>
          </w:p>
          <w:p w:rsidR="00000000" w:rsidRPr="00C44A54" w:rsidP="00C44A54">
            <w:pPr>
              <w:pStyle w:val="ListBullet"/>
            </w:pPr>
            <w:r w:rsidRPr="00C44A54">
              <w:t>safe work practices for equipment, PPE and chemical storage, including interpretation of material safety data sheets (MSDS) and hazardous substance information, such as long latency periods</w:t>
            </w:r>
          </w:p>
          <w:p w:rsidR="00000000" w:rsidRPr="00C44A54" w:rsidP="00C44A54">
            <w:pPr>
              <w:pStyle w:val="ListBullet"/>
            </w:pPr>
            <w:r w:rsidRPr="00C44A54">
              <w:t>safety, induction and refresher training</w:t>
            </w:r>
          </w:p>
          <w:p w:rsidR="00000000" w:rsidRPr="00C44A54" w:rsidP="00C44A54">
            <w:pPr>
              <w:pStyle w:val="ListBullet"/>
            </w:pPr>
            <w:r w:rsidRPr="00C44A54">
              <w:t xml:space="preserve">selection and use of PPE </w:t>
            </w:r>
            <w:r w:rsidRPr="00C44A54">
              <w:t>and clothing appropriate to hazard</w:t>
            </w:r>
          </w:p>
          <w:p w:rsidR="00000000" w:rsidRPr="00C44A54" w:rsidP="00C44A54">
            <w:pPr>
              <w:pStyle w:val="ListBullet"/>
            </w:pPr>
            <w:r w:rsidRPr="00C44A54">
              <w:t>up-to-date electrical test and tag compliance</w:t>
            </w:r>
          </w:p>
          <w:p w:rsidR="00000000" w:rsidRPr="00C44A54" w:rsidP="00C44A54">
            <w:pPr>
              <w:pStyle w:val="ListBullet"/>
            </w:pPr>
            <w:r w:rsidRPr="00C44A54">
              <w:t>use of chemicals according to MSDS</w:t>
            </w:r>
          </w:p>
          <w:p w:rsidR="00000000" w:rsidRPr="00C44A54" w:rsidP="00C44A54">
            <w:pPr>
              <w:pStyle w:val="ListBullet"/>
            </w:pPr>
            <w:r w:rsidRPr="00C44A54">
              <w:t>use of residual current devices</w:t>
            </w:r>
          </w:p>
          <w:p w:rsidR="00000000" w:rsidRPr="00C44A54" w:rsidP="00C44A54">
            <w:pPr>
              <w:pStyle w:val="ListBullet"/>
            </w:pPr>
            <w:r w:rsidRPr="00C44A54">
              <w:t>use, storage and maintenance of equipment according to manufacturer specifications and equipment operating m</w:t>
            </w:r>
            <w:r w:rsidRPr="00C44A54">
              <w:t>anuals</w:t>
            </w:r>
          </w:p>
          <w:p w:rsidR="00000000" w:rsidP="00C44A54">
            <w:pPr>
              <w:pStyle w:val="ListBullet"/>
              <w:rPr>
                <w:lang w:val="en-NZ"/>
              </w:rPr>
            </w:pPr>
            <w:r w:rsidRPr="00C44A54">
              <w:t>withholding periods and spray drift.</w:t>
            </w:r>
          </w:p>
        </w:tc>
      </w:tr>
      <w:tr w:rsidTr="00C44A54">
        <w:tblPrEx>
          <w:tblW w:w="9508" w:type="dxa"/>
          <w:tblLayout w:type="fixed"/>
          <w:tblCellMar>
            <w:left w:w="62" w:type="dxa"/>
            <w:right w:w="62" w:type="dxa"/>
          </w:tblCellMar>
          <w:tblLook w:val="0000"/>
        </w:tblPrEx>
        <w:tc>
          <w:tcPr>
            <w:tcW w:w="3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54">
            <w:pPr>
              <w:pStyle w:val="BodyText"/>
              <w:rPr>
                <w:lang w:val="en-NZ"/>
              </w:rPr>
            </w:pPr>
            <w:r w:rsidRPr="00C44A54">
              <w:rPr>
                <w:rStyle w:val="BoldandItalics"/>
              </w:rPr>
              <w:t xml:space="preserve">Personnel </w:t>
            </w:r>
            <w:r w:rsidRPr="00C44A54">
              <w:t>may include:</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54" w:rsidP="00C44A54">
            <w:pPr>
              <w:pStyle w:val="ListBullet"/>
            </w:pPr>
            <w:r w:rsidRPr="00C44A54">
              <w:t>clients’ staff</w:t>
            </w:r>
          </w:p>
          <w:p w:rsidR="00000000" w:rsidRPr="00C44A54" w:rsidP="00C44A54">
            <w:pPr>
              <w:pStyle w:val="ListBullet"/>
            </w:pPr>
            <w:r w:rsidRPr="00C44A54">
              <w:t>colleagues</w:t>
            </w:r>
          </w:p>
          <w:p w:rsidR="00000000" w:rsidRPr="00C44A54" w:rsidP="00C44A54">
            <w:pPr>
              <w:pStyle w:val="ListBullet"/>
            </w:pPr>
            <w:r w:rsidRPr="00C44A54">
              <w:t>site visitors, including bystanders</w:t>
            </w:r>
          </w:p>
          <w:p w:rsidR="00000000" w:rsidP="00C44A54">
            <w:pPr>
              <w:pStyle w:val="ListBullet"/>
              <w:rPr>
                <w:lang w:val="en-NZ"/>
              </w:rPr>
            </w:pPr>
            <w:r w:rsidRPr="00C44A54">
              <w:t>venue, facility, building or shopping centre staff or management.</w:t>
            </w:r>
          </w:p>
        </w:tc>
      </w:tr>
      <w:tr w:rsidTr="00C44A54">
        <w:tblPrEx>
          <w:tblW w:w="9508" w:type="dxa"/>
          <w:tblLayout w:type="fixed"/>
          <w:tblCellMar>
            <w:left w:w="62" w:type="dxa"/>
            <w:right w:w="62" w:type="dxa"/>
          </w:tblCellMar>
          <w:tblLook w:val="0000"/>
        </w:tblPrEx>
        <w:tc>
          <w:tcPr>
            <w:tcW w:w="3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54">
            <w:pPr>
              <w:pStyle w:val="BodyText"/>
              <w:rPr>
                <w:lang w:val="en-NZ"/>
              </w:rPr>
            </w:pPr>
            <w:r w:rsidRPr="00C44A54">
              <w:rPr>
                <w:rStyle w:val="BoldandItalics"/>
              </w:rPr>
              <w:t xml:space="preserve">Work site </w:t>
            </w:r>
            <w:r w:rsidRPr="00C44A54">
              <w:t>may include:</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54" w:rsidP="00C44A54">
            <w:pPr>
              <w:pStyle w:val="ListBullet"/>
            </w:pPr>
            <w:r w:rsidRPr="00C44A54">
              <w:t>building surroundings</w:t>
            </w:r>
          </w:p>
          <w:p w:rsidR="00000000" w:rsidRPr="00C44A54" w:rsidP="00C44A54">
            <w:pPr>
              <w:pStyle w:val="ListBullet"/>
            </w:pPr>
            <w:r w:rsidRPr="00C44A54">
              <w:t>buildings</w:t>
            </w:r>
          </w:p>
          <w:p w:rsidR="00000000" w:rsidRPr="00C44A54" w:rsidP="00C44A54">
            <w:pPr>
              <w:pStyle w:val="ListBullet"/>
            </w:pPr>
            <w:r w:rsidRPr="00C44A54">
              <w:t>domestic, commercial or industrial premises.</w:t>
            </w:r>
          </w:p>
        </w:tc>
      </w:tr>
    </w:tbl>
    <w:p w:rsidR="00633629" w:rsidP="00C44A54">
      <w:pPr>
        <w:pStyle w:val="BodyText"/>
      </w:pPr>
    </w:p>
    <w:p w:rsidR="00633629" w:rsidP="00C44A54">
      <w:pPr>
        <w:pStyle w:val="BodyText"/>
      </w:pPr>
    </w:p>
    <w:p w:rsidR="00000000" w:rsidRPr="00C44A54" w:rsidP="00C44A54">
      <w:pPr>
        <w:pStyle w:val="Heading1"/>
      </w:pPr>
      <w:bookmarkStart w:id="12" w:name="O_374607"/>
      <w:bookmarkEnd w:id="12"/>
      <w:r w:rsidRPr="00C44A54">
        <w:t>Unit Sector(s)</w:t>
      </w:r>
    </w:p>
    <w:p w:rsidR="00000000" w:rsidRPr="00C44A54" w:rsidP="00C44A54">
      <w:pPr>
        <w:pStyle w:val="BodyText"/>
      </w:pPr>
      <w:r w:rsidRPr="00C44A54">
        <w:t>Pest management</w:t>
      </w:r>
    </w:p>
    <w:p w:rsidR="00000000" w:rsidRPr="00C44A54" w:rsidP="00C44A54">
      <w:pPr>
        <w:pStyle w:val="AllowPageBreak"/>
      </w:pPr>
    </w:p>
    <w:p w:rsidR="00000000" w:rsidRPr="00C44A54" w:rsidP="00C44A54">
      <w:pPr>
        <w:pStyle w:val="Heading1"/>
      </w:pPr>
      <w:bookmarkStart w:id="13" w:name="O_374608"/>
      <w:bookmarkEnd w:id="13"/>
      <w:r w:rsidRPr="00C44A54">
        <w:t>Custom Content Section</w:t>
      </w:r>
    </w:p>
    <w:p w:rsidR="00000000" w:rsidRPr="00C44A54" w:rsidP="00C44A54">
      <w:pPr>
        <w:pStyle w:val="BodyText"/>
      </w:pPr>
      <w:r w:rsidRPr="00C44A54">
        <w:t>Not applicable.</w:t>
      </w:r>
    </w:p>
    <w:p w:rsidR="00000000" w:rsidRPr="00C44A54" w:rsidP="00C44A54"/>
    <w:sectPr w:rsidSect="00C44A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A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629" w:rsidP="006336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A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629" w:rsidP="00C44A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33629" w:rsidP="00C44A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33629" w:rsidP="00C44A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A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629" w:rsidP="006336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A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629" w:rsidP="00C44A54">
    <w:pPr>
      <w:pStyle w:val="Header"/>
      <w:framePr w:wrap="around"/>
    </w:pPr>
    <w:r>
      <w:fldChar w:fldCharType="begin"/>
    </w:r>
    <w:r>
      <w:instrText xml:space="preserve"> TITLE   \* MERGEFORMAT </w:instrText>
    </w:r>
    <w:r>
      <w:fldChar w:fldCharType="separate"/>
    </w:r>
    <w:r>
      <w:t>CPPPMT3029A Plan and schedule pest management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3629" w:rsidP="00C44A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DCA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3AD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4E28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A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4A54"/>
    <w:pPr>
      <w:spacing w:before="360" w:after="60"/>
      <w:outlineLvl w:val="0"/>
    </w:pPr>
    <w:rPr>
      <w:sz w:val="32"/>
    </w:rPr>
  </w:style>
  <w:style w:type="paragraph" w:styleId="Heading2">
    <w:name w:val="heading 2"/>
    <w:basedOn w:val="HeadingBase"/>
    <w:next w:val="BodyText"/>
    <w:link w:val="Heading2Char"/>
    <w:qFormat/>
    <w:rsid w:val="00C44A54"/>
    <w:pPr>
      <w:keepLines/>
      <w:spacing w:before="240" w:after="120"/>
      <w:outlineLvl w:val="1"/>
    </w:pPr>
    <w:rPr>
      <w:sz w:val="28"/>
      <w:szCs w:val="40"/>
    </w:rPr>
  </w:style>
  <w:style w:type="paragraph" w:styleId="Heading3">
    <w:name w:val="heading 3"/>
    <w:basedOn w:val="HeadingBase"/>
    <w:next w:val="BodyText"/>
    <w:link w:val="Heading3Char"/>
    <w:qFormat/>
    <w:rsid w:val="00C44A54"/>
    <w:pPr>
      <w:spacing w:before="180" w:after="120"/>
      <w:outlineLvl w:val="2"/>
    </w:pPr>
    <w:rPr>
      <w:spacing w:val="-10"/>
      <w:kern w:val="32"/>
    </w:rPr>
  </w:style>
  <w:style w:type="paragraph" w:styleId="Heading4">
    <w:name w:val="heading 4"/>
    <w:basedOn w:val="HeadingBase"/>
    <w:next w:val="BodyText"/>
    <w:link w:val="Heading4Char"/>
    <w:qFormat/>
    <w:rsid w:val="00C44A54"/>
    <w:pPr>
      <w:spacing w:before="160" w:after="120"/>
      <w:outlineLvl w:val="3"/>
    </w:pPr>
    <w:rPr>
      <w:sz w:val="22"/>
    </w:rPr>
  </w:style>
  <w:style w:type="paragraph" w:styleId="Heading5">
    <w:name w:val="heading 5"/>
    <w:basedOn w:val="HeadingBase"/>
    <w:next w:val="Normal"/>
    <w:link w:val="Heading5Char"/>
    <w:qFormat/>
    <w:rsid w:val="00C44A54"/>
    <w:pPr>
      <w:spacing w:before="80"/>
      <w:outlineLvl w:val="4"/>
    </w:pPr>
    <w:rPr>
      <w:color w:val="918585"/>
      <w:sz w:val="20"/>
    </w:rPr>
  </w:style>
  <w:style w:type="paragraph" w:styleId="Heading6">
    <w:name w:val="heading 6"/>
    <w:basedOn w:val="HeadingBase"/>
    <w:next w:val="Normal"/>
    <w:link w:val="Heading6Char"/>
    <w:qFormat/>
    <w:rsid w:val="00C44A54"/>
    <w:pPr>
      <w:spacing w:before="60"/>
      <w:outlineLvl w:val="5"/>
    </w:pPr>
    <w:rPr>
      <w:color w:val="918585"/>
      <w:sz w:val="20"/>
    </w:rPr>
  </w:style>
  <w:style w:type="paragraph" w:styleId="Heading7">
    <w:name w:val="heading 7"/>
    <w:basedOn w:val="Normal"/>
    <w:next w:val="Normal"/>
    <w:link w:val="Heading7Char"/>
    <w:qFormat/>
    <w:rsid w:val="00C44A54"/>
    <w:pPr>
      <w:ind w:left="720"/>
      <w:outlineLvl w:val="6"/>
    </w:pPr>
    <w:rPr>
      <w:i/>
    </w:rPr>
  </w:style>
  <w:style w:type="paragraph" w:styleId="Heading8">
    <w:name w:val="heading 8"/>
    <w:basedOn w:val="Normal"/>
    <w:next w:val="Normal"/>
    <w:link w:val="Heading8Char"/>
    <w:qFormat/>
    <w:rsid w:val="00C44A54"/>
    <w:pPr>
      <w:ind w:left="720"/>
      <w:outlineLvl w:val="7"/>
    </w:pPr>
    <w:rPr>
      <w:i/>
    </w:rPr>
  </w:style>
  <w:style w:type="paragraph" w:styleId="Heading9">
    <w:name w:val="heading 9"/>
    <w:basedOn w:val="Normal"/>
    <w:next w:val="Normal"/>
    <w:link w:val="Heading9Char"/>
    <w:qFormat/>
    <w:rsid w:val="00C44A54"/>
    <w:pPr>
      <w:ind w:left="720"/>
      <w:outlineLvl w:val="8"/>
    </w:pPr>
    <w:rPr>
      <w:i/>
    </w:rPr>
  </w:style>
  <w:style w:type="character" w:default="1" w:styleId="DefaultParagraphFont">
    <w:name w:val="Default Paragraph Font"/>
    <w:uiPriority w:val="1"/>
    <w:unhideWhenUsed/>
    <w:rsid w:val="00C44A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A54"/>
  </w:style>
  <w:style w:type="character" w:customStyle="1" w:styleId="Heading1Char">
    <w:name w:val="Heading 1 Char"/>
    <w:basedOn w:val="DefaultParagraphFont"/>
    <w:link w:val="Heading1"/>
    <w:rsid w:val="00C44A54"/>
    <w:rPr>
      <w:rFonts w:ascii="Times New Roman" w:eastAsia="Times New Roman" w:hAnsi="Times New Roman" w:cs="Times New Roman"/>
      <w:b/>
      <w:sz w:val="32"/>
      <w:szCs w:val="20"/>
      <w:lang w:eastAsia="en-US"/>
    </w:rPr>
  </w:style>
  <w:style w:type="paragraph" w:styleId="BodyText">
    <w:name w:val="Body Text"/>
    <w:basedOn w:val="Normal"/>
    <w:link w:val="BodyTextChar"/>
    <w:rsid w:val="00C44A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4A54"/>
    <w:rPr>
      <w:rFonts w:ascii="Times New Roman" w:eastAsia="Times New Roman" w:hAnsi="Times New Roman" w:cs="Times New Roman"/>
      <w:sz w:val="24"/>
      <w:lang w:val="en-US" w:eastAsia="en-US"/>
    </w:rPr>
  </w:style>
  <w:style w:type="paragraph" w:styleId="Footer">
    <w:name w:val="footer"/>
    <w:basedOn w:val="Normal"/>
    <w:link w:val="FooterChar"/>
    <w:rsid w:val="00C44A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A54"/>
    <w:rPr>
      <w:rFonts w:ascii="Times New Roman" w:eastAsia="Times New Roman" w:hAnsi="Times New Roman" w:cs="Times New Roman"/>
      <w:sz w:val="16"/>
      <w:lang w:val="en-US" w:eastAsia="en-US"/>
    </w:rPr>
  </w:style>
  <w:style w:type="paragraph" w:styleId="ListBullet">
    <w:name w:val="List Bullet"/>
    <w:basedOn w:val="List"/>
    <w:rsid w:val="00C44A54"/>
    <w:pPr>
      <w:numPr>
        <w:numId w:val="13"/>
      </w:numPr>
      <w:tabs>
        <w:tab w:val="clear" w:pos="340"/>
      </w:tabs>
      <w:spacing w:before="40" w:after="40"/>
    </w:pPr>
  </w:style>
  <w:style w:type="character" w:customStyle="1" w:styleId="SpecialBold">
    <w:name w:val="Special Bold"/>
    <w:basedOn w:val="DefaultParagraphFont"/>
    <w:rsid w:val="00C44A54"/>
    <w:rPr>
      <w:b/>
      <w:spacing w:val="0"/>
    </w:rPr>
  </w:style>
  <w:style w:type="paragraph" w:styleId="ListBullet2">
    <w:name w:val="List Bullet 2"/>
    <w:basedOn w:val="List2"/>
    <w:rsid w:val="00C44A54"/>
    <w:pPr>
      <w:numPr>
        <w:numId w:val="14"/>
      </w:numPr>
      <w:tabs>
        <w:tab w:val="clear" w:pos="680"/>
      </w:tabs>
    </w:pPr>
  </w:style>
  <w:style w:type="paragraph" w:styleId="Header">
    <w:name w:val="header"/>
    <w:basedOn w:val="Normal"/>
    <w:link w:val="HeaderChar"/>
    <w:rsid w:val="00C44A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A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4A54"/>
    <w:pPr>
      <w:spacing w:before="240" w:after="120"/>
      <w:outlineLvl w:val="0"/>
    </w:pPr>
    <w:rPr>
      <w:rFonts w:ascii="Times New Roman" w:hAnsi="Times New Roman"/>
      <w:b/>
      <w:sz w:val="28"/>
    </w:rPr>
  </w:style>
  <w:style w:type="paragraph" w:customStyle="1" w:styleId="AllowPageBreak">
    <w:name w:val="AllowPageBreak"/>
    <w:rsid w:val="00C44A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4A54"/>
    <w:rPr>
      <w:b/>
      <w:i/>
      <w:u w:val="none"/>
    </w:rPr>
  </w:style>
  <w:style w:type="character" w:customStyle="1" w:styleId="Heading2Char">
    <w:name w:val="Heading 2 Char"/>
    <w:basedOn w:val="DefaultParagraphFont"/>
    <w:link w:val="Heading2"/>
    <w:rsid w:val="00C44A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A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A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A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A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A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4A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4A54"/>
    <w:rPr>
      <w:rFonts w:ascii="Courier New" w:eastAsia="Times New Roman" w:hAnsi="Courier New" w:cs="Times New Roman"/>
      <w:i/>
      <w:szCs w:val="20"/>
      <w:lang w:val="en-US" w:eastAsia="en-US"/>
    </w:rPr>
  </w:style>
  <w:style w:type="paragraph" w:customStyle="1" w:styleId="HeadingBase">
    <w:name w:val="Heading Base"/>
    <w:rsid w:val="00C44A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A54"/>
    <w:pPr>
      <w:tabs>
        <w:tab w:val="right" w:leader="dot" w:pos="9072"/>
      </w:tabs>
      <w:ind w:left="567"/>
    </w:pPr>
    <w:rPr>
      <w:szCs w:val="22"/>
    </w:rPr>
  </w:style>
  <w:style w:type="paragraph" w:customStyle="1" w:styleId="TOCBase">
    <w:name w:val="TOC Base"/>
    <w:rsid w:val="00C44A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A54"/>
    <w:pPr>
      <w:tabs>
        <w:tab w:val="right" w:leader="dot" w:pos="9072"/>
      </w:tabs>
      <w:spacing w:before="40" w:after="40"/>
      <w:ind w:left="284"/>
    </w:pPr>
    <w:rPr>
      <w:rFonts w:ascii="Times New Roman" w:hAnsi="Times New Roman"/>
    </w:rPr>
  </w:style>
  <w:style w:type="paragraph" w:styleId="TOC1">
    <w:name w:val="toc 1"/>
    <w:basedOn w:val="TOCBase"/>
    <w:next w:val="Normal"/>
    <w:rsid w:val="00C44A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4A54"/>
    <w:pPr>
      <w:spacing w:before="5040"/>
      <w:jc w:val="center"/>
    </w:pPr>
    <w:rPr>
      <w:sz w:val="48"/>
      <w:szCs w:val="72"/>
      <w:lang w:val="en-US"/>
    </w:rPr>
  </w:style>
  <w:style w:type="character" w:customStyle="1" w:styleId="TitleChar">
    <w:name w:val="Title Char"/>
    <w:basedOn w:val="DefaultParagraphFont"/>
    <w:link w:val="Title"/>
    <w:rsid w:val="00C44A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A54"/>
    <w:pPr>
      <w:tabs>
        <w:tab w:val="left" w:pos="3600"/>
        <w:tab w:val="left" w:pos="3958"/>
      </w:tabs>
    </w:pPr>
  </w:style>
  <w:style w:type="paragraph" w:styleId="List">
    <w:name w:val="List"/>
    <w:basedOn w:val="BodyText"/>
    <w:next w:val="BodyText"/>
    <w:rsid w:val="00C44A54"/>
    <w:pPr>
      <w:tabs>
        <w:tab w:val="left" w:pos="340"/>
      </w:tabs>
      <w:spacing w:before="60" w:after="60"/>
      <w:ind w:left="340" w:hanging="340"/>
    </w:pPr>
  </w:style>
  <w:style w:type="paragraph" w:customStyle="1" w:styleId="Note">
    <w:name w:val="Note"/>
    <w:basedOn w:val="BodyText"/>
    <w:rsid w:val="00C44A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A54"/>
    <w:pPr>
      <w:framePr w:wrap="auto" w:hAnchor="text" w:y="6049"/>
    </w:pPr>
    <w:rPr>
      <w:color w:val="000000"/>
      <w:sz w:val="40"/>
    </w:rPr>
  </w:style>
  <w:style w:type="paragraph" w:customStyle="1" w:styleId="TOCTitle">
    <w:name w:val="TOCTitle"/>
    <w:basedOn w:val="Heading1"/>
    <w:rsid w:val="00C44A54"/>
    <w:pPr>
      <w:spacing w:after="240"/>
      <w:jc w:val="center"/>
      <w:outlineLvl w:val="9"/>
    </w:pPr>
    <w:rPr>
      <w:caps/>
    </w:rPr>
  </w:style>
  <w:style w:type="paragraph" w:customStyle="1" w:styleId="Version">
    <w:name w:val="Version"/>
    <w:rsid w:val="00C44A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A54"/>
    <w:pPr>
      <w:keepNext w:val="0"/>
      <w:tabs>
        <w:tab w:val="right" w:pos="4176"/>
      </w:tabs>
      <w:ind w:left="198" w:hanging="198"/>
    </w:pPr>
    <w:rPr>
      <w:rFonts w:ascii="Garamond" w:hAnsi="Garamond"/>
    </w:rPr>
  </w:style>
  <w:style w:type="paragraph" w:styleId="IndexHeading">
    <w:name w:val="index heading"/>
    <w:basedOn w:val="Normal"/>
    <w:next w:val="Index1"/>
    <w:semiHidden/>
    <w:rsid w:val="00C44A54"/>
    <w:pPr>
      <w:spacing w:before="120" w:after="120"/>
    </w:pPr>
    <w:rPr>
      <w:rFonts w:ascii="Arial" w:hAnsi="Arial"/>
      <w:b/>
      <w:color w:val="918585"/>
      <w:sz w:val="24"/>
    </w:rPr>
  </w:style>
  <w:style w:type="paragraph" w:customStyle="1" w:styleId="Chapter">
    <w:name w:val="Chapter"/>
    <w:basedOn w:val="Normal"/>
    <w:rsid w:val="00C44A54"/>
    <w:pPr>
      <w:spacing w:before="240"/>
    </w:pPr>
    <w:rPr>
      <w:rFonts w:ascii="Times New Roman" w:hAnsi="Times New Roman"/>
      <w:smallCaps/>
      <w:spacing w:val="80"/>
      <w:sz w:val="28"/>
    </w:rPr>
  </w:style>
  <w:style w:type="paragraph" w:customStyle="1" w:styleId="InChapter">
    <w:name w:val="InChapter"/>
    <w:basedOn w:val="Heading3"/>
    <w:rsid w:val="00C44A54"/>
    <w:pPr>
      <w:spacing w:after="240"/>
      <w:outlineLvl w:val="9"/>
    </w:pPr>
    <w:rPr>
      <w:noProof/>
    </w:rPr>
  </w:style>
  <w:style w:type="paragraph" w:styleId="Index2">
    <w:name w:val="index 2"/>
    <w:basedOn w:val="Normal"/>
    <w:next w:val="Normal"/>
    <w:semiHidden/>
    <w:rsid w:val="00C44A54"/>
    <w:pPr>
      <w:tabs>
        <w:tab w:val="right" w:pos="4176"/>
      </w:tabs>
      <w:ind w:left="568" w:hanging="284"/>
    </w:pPr>
    <w:rPr>
      <w:rFonts w:ascii="Garamond" w:hAnsi="Garamond"/>
    </w:rPr>
  </w:style>
  <w:style w:type="paragraph" w:customStyle="1" w:styleId="Byline">
    <w:name w:val="Byline"/>
    <w:rsid w:val="00C44A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A54"/>
    <w:pPr>
      <w:tabs>
        <w:tab w:val="clear" w:pos="3600"/>
        <w:tab w:val="clear" w:pos="3958"/>
      </w:tabs>
      <w:jc w:val="right"/>
    </w:pPr>
  </w:style>
  <w:style w:type="character" w:styleId="Emphasis">
    <w:name w:val="Emphasis"/>
    <w:basedOn w:val="DefaultParagraphFont"/>
    <w:qFormat/>
    <w:rsid w:val="00C44A54"/>
    <w:rPr>
      <w:i/>
    </w:rPr>
  </w:style>
  <w:style w:type="paragraph" w:styleId="Caption">
    <w:name w:val="caption"/>
    <w:basedOn w:val="BodyText"/>
    <w:next w:val="Normal"/>
    <w:qFormat/>
    <w:rsid w:val="00C44A54"/>
    <w:pPr>
      <w:framePr w:w="2268" w:hSpace="181" w:vSpace="181" w:wrap="around" w:vAnchor="text" w:hAnchor="page" w:x="1135" w:y="285" w:anchorLock="1"/>
    </w:pPr>
    <w:rPr>
      <w:i/>
    </w:rPr>
  </w:style>
  <w:style w:type="paragraph" w:customStyle="1" w:styleId="MiniTOCTitle">
    <w:name w:val="MiniTOCTitle"/>
    <w:basedOn w:val="Heading4"/>
    <w:rsid w:val="00C44A54"/>
    <w:pPr>
      <w:spacing w:before="240"/>
      <w:outlineLvl w:val="9"/>
    </w:pPr>
    <w:rPr>
      <w:noProof/>
      <w:sz w:val="24"/>
    </w:rPr>
  </w:style>
  <w:style w:type="paragraph" w:customStyle="1" w:styleId="MiniTOCItem">
    <w:name w:val="MiniTOCItem"/>
    <w:basedOn w:val="ListBullet"/>
    <w:rsid w:val="00C44A54"/>
    <w:pPr>
      <w:numPr>
        <w:numId w:val="0"/>
      </w:numPr>
      <w:tabs>
        <w:tab w:val="right" w:leader="dot" w:pos="6521"/>
      </w:tabs>
      <w:spacing w:before="0" w:after="0"/>
    </w:pPr>
  </w:style>
  <w:style w:type="paragraph" w:customStyle="1" w:styleId="TOFTitle">
    <w:name w:val="TOFTitle"/>
    <w:basedOn w:val="TOCTitle"/>
    <w:rsid w:val="00C44A54"/>
  </w:style>
  <w:style w:type="paragraph" w:styleId="TableofFigures">
    <w:name w:val="table of figures"/>
    <w:basedOn w:val="Normal"/>
    <w:next w:val="Normal"/>
    <w:semiHidden/>
    <w:rsid w:val="00C44A54"/>
    <w:pPr>
      <w:tabs>
        <w:tab w:val="right" w:leader="dot" w:pos="9072"/>
      </w:tabs>
      <w:ind w:left="970" w:hanging="403"/>
    </w:pPr>
    <w:rPr>
      <w:rFonts w:ascii="Times New Roman" w:hAnsi="Times New Roman"/>
      <w:b/>
    </w:rPr>
  </w:style>
  <w:style w:type="paragraph" w:styleId="ListNumber">
    <w:name w:val="List Number"/>
    <w:basedOn w:val="List"/>
    <w:rsid w:val="00C44A54"/>
    <w:pPr>
      <w:numPr>
        <w:numId w:val="11"/>
      </w:numPr>
    </w:pPr>
  </w:style>
  <w:style w:type="character" w:customStyle="1" w:styleId="WingdingSymbols">
    <w:name w:val="Wingding Symbols"/>
    <w:rsid w:val="00C44A54"/>
    <w:rPr>
      <w:rFonts w:ascii="Wingdings" w:hAnsi="Wingdings"/>
    </w:rPr>
  </w:style>
  <w:style w:type="paragraph" w:customStyle="1" w:styleId="TableHeading">
    <w:name w:val="Table Heading"/>
    <w:basedOn w:val="HeadingBase"/>
    <w:rsid w:val="00C44A54"/>
    <w:pPr>
      <w:keepLines/>
      <w:pBdr>
        <w:bottom w:val="single" w:sz="6" w:space="1" w:color="918585"/>
      </w:pBdr>
      <w:spacing w:before="240"/>
    </w:pPr>
  </w:style>
  <w:style w:type="character" w:customStyle="1" w:styleId="HotSpot">
    <w:name w:val="HotSpot"/>
    <w:rsid w:val="00C44A54"/>
    <w:rPr>
      <w:color w:val="0033CC"/>
      <w:u w:val="none"/>
    </w:rPr>
  </w:style>
  <w:style w:type="paragraph" w:customStyle="1" w:styleId="BodyTextRight">
    <w:name w:val="Body Text Right"/>
    <w:basedOn w:val="BodyText"/>
    <w:rsid w:val="00C44A54"/>
    <w:pPr>
      <w:spacing w:before="0" w:after="0"/>
      <w:jc w:val="right"/>
    </w:pPr>
  </w:style>
  <w:style w:type="paragraph" w:styleId="Index3">
    <w:name w:val="index 3"/>
    <w:basedOn w:val="ListNumber2"/>
    <w:next w:val="Normal"/>
    <w:semiHidden/>
    <w:rsid w:val="00C44A54"/>
    <w:pPr>
      <w:numPr>
        <w:numId w:val="0"/>
      </w:numPr>
      <w:tabs>
        <w:tab w:val="right" w:leader="dot" w:pos="4176"/>
      </w:tabs>
    </w:pPr>
  </w:style>
  <w:style w:type="paragraph" w:styleId="ListNumber2">
    <w:name w:val="List Number 2"/>
    <w:basedOn w:val="List2"/>
    <w:rsid w:val="00C44A54"/>
    <w:pPr>
      <w:numPr>
        <w:numId w:val="10"/>
      </w:numPr>
      <w:tabs>
        <w:tab w:val="clear" w:pos="1060"/>
      </w:tabs>
    </w:pPr>
  </w:style>
  <w:style w:type="paragraph" w:customStyle="1" w:styleId="MarginNote">
    <w:name w:val="Margin Note"/>
    <w:basedOn w:val="BodyText"/>
    <w:rsid w:val="00C44A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A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A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4A54"/>
    <w:rPr>
      <w:sz w:val="32"/>
    </w:rPr>
  </w:style>
  <w:style w:type="paragraph" w:customStyle="1" w:styleId="HeadingProcedure">
    <w:name w:val="Heading Procedure"/>
    <w:basedOn w:val="HeadingBase"/>
    <w:next w:val="Normal"/>
    <w:rsid w:val="00C44A54"/>
    <w:pPr>
      <w:tabs>
        <w:tab w:val="left" w:pos="0"/>
      </w:tabs>
      <w:spacing w:before="120" w:after="60"/>
    </w:pPr>
    <w:rPr>
      <w:i/>
      <w:color w:val="918585"/>
      <w:sz w:val="22"/>
    </w:rPr>
  </w:style>
  <w:style w:type="paragraph" w:customStyle="1" w:styleId="TableBodyText">
    <w:name w:val="Table Body Text"/>
    <w:basedOn w:val="BodyText"/>
    <w:rsid w:val="00C44A54"/>
    <w:pPr>
      <w:spacing w:before="60" w:after="60"/>
    </w:pPr>
  </w:style>
  <w:style w:type="paragraph" w:styleId="ListContinue">
    <w:name w:val="List Continue"/>
    <w:basedOn w:val="List"/>
    <w:rsid w:val="00C44A54"/>
    <w:pPr>
      <w:ind w:firstLine="0"/>
    </w:pPr>
  </w:style>
  <w:style w:type="paragraph" w:customStyle="1" w:styleId="ListNote">
    <w:name w:val="List Note"/>
    <w:basedOn w:val="List"/>
    <w:rsid w:val="00C44A54"/>
    <w:pPr>
      <w:pBdr>
        <w:top w:val="single" w:sz="6" w:space="2" w:color="918585"/>
        <w:bottom w:val="single" w:sz="6" w:space="2" w:color="918585"/>
      </w:pBdr>
      <w:tabs>
        <w:tab w:val="left" w:pos="1021"/>
      </w:tabs>
      <w:ind w:firstLine="0"/>
    </w:pPr>
  </w:style>
  <w:style w:type="paragraph" w:customStyle="1" w:styleId="Warning">
    <w:name w:val="Warning"/>
    <w:basedOn w:val="BodyText"/>
    <w:rsid w:val="00C44A54"/>
    <w:pPr>
      <w:shd w:val="clear" w:color="auto" w:fill="D9D9D9"/>
      <w:tabs>
        <w:tab w:val="left" w:pos="992"/>
      </w:tabs>
      <w:ind w:left="119" w:right="119"/>
    </w:pPr>
    <w:rPr>
      <w:sz w:val="20"/>
    </w:rPr>
  </w:style>
  <w:style w:type="paragraph" w:customStyle="1" w:styleId="MarginIcons">
    <w:name w:val="Margin Icons"/>
    <w:basedOn w:val="BodyText"/>
    <w:rsid w:val="00C44A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A54"/>
    <w:rPr>
      <w:rFonts w:ascii="Courier New" w:hAnsi="Courier New"/>
    </w:rPr>
  </w:style>
  <w:style w:type="paragraph" w:customStyle="1" w:styleId="NoteBullet">
    <w:name w:val="Note Bullet"/>
    <w:basedOn w:val="Note"/>
    <w:rsid w:val="00C44A54"/>
    <w:pPr>
      <w:tabs>
        <w:tab w:val="clear" w:pos="680"/>
      </w:tabs>
      <w:spacing w:before="60" w:after="60"/>
    </w:pPr>
  </w:style>
  <w:style w:type="paragraph" w:customStyle="1" w:styleId="SubHeading2">
    <w:name w:val="SubHeading2"/>
    <w:basedOn w:val="HeadingBase"/>
    <w:rsid w:val="00C44A54"/>
    <w:pPr>
      <w:spacing w:before="240" w:after="60"/>
    </w:pPr>
    <w:rPr>
      <w:sz w:val="20"/>
    </w:rPr>
  </w:style>
  <w:style w:type="paragraph" w:customStyle="1" w:styleId="SubHeading1">
    <w:name w:val="SubHeading1"/>
    <w:basedOn w:val="HeadingBase"/>
    <w:rsid w:val="00C44A54"/>
    <w:pPr>
      <w:spacing w:before="240" w:after="60"/>
    </w:pPr>
    <w:rPr>
      <w:color w:val="918585"/>
      <w:sz w:val="22"/>
    </w:rPr>
  </w:style>
  <w:style w:type="paragraph" w:customStyle="1" w:styleId="SideHeading">
    <w:name w:val="Side Heading"/>
    <w:basedOn w:val="HeadingBase"/>
    <w:rsid w:val="00C44A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A54"/>
    <w:pPr>
      <w:numPr>
        <w:numId w:val="12"/>
      </w:numPr>
    </w:pPr>
  </w:style>
  <w:style w:type="paragraph" w:styleId="PlainText">
    <w:name w:val="Plain Text"/>
    <w:basedOn w:val="Normal"/>
    <w:link w:val="PlainTextChar"/>
    <w:rsid w:val="00C44A54"/>
    <w:rPr>
      <w:sz w:val="20"/>
    </w:rPr>
  </w:style>
  <w:style w:type="character" w:customStyle="1" w:styleId="PlainTextChar">
    <w:name w:val="Plain Text Char"/>
    <w:basedOn w:val="DefaultParagraphFont"/>
    <w:link w:val="PlainText"/>
    <w:rsid w:val="00C44A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4A54"/>
    <w:rPr>
      <w:b/>
      <w:smallCaps/>
    </w:rPr>
  </w:style>
  <w:style w:type="paragraph" w:customStyle="1" w:styleId="TableListNumber">
    <w:name w:val="Table List Number"/>
    <w:basedOn w:val="ListNumber"/>
    <w:rsid w:val="00C44A54"/>
    <w:pPr>
      <w:numPr>
        <w:numId w:val="0"/>
      </w:numPr>
    </w:pPr>
  </w:style>
  <w:style w:type="paragraph" w:styleId="TOC4">
    <w:name w:val="toc 4"/>
    <w:basedOn w:val="TOCBase"/>
    <w:next w:val="Normal"/>
    <w:semiHidden/>
    <w:rsid w:val="00C44A54"/>
    <w:pPr>
      <w:tabs>
        <w:tab w:val="right" w:leader="dot" w:pos="9071"/>
      </w:tabs>
      <w:ind w:left="1701"/>
    </w:pPr>
  </w:style>
  <w:style w:type="paragraph" w:customStyle="1" w:styleId="ListAlpha">
    <w:name w:val="List Alpha"/>
    <w:basedOn w:val="List"/>
    <w:rsid w:val="00C44A54"/>
    <w:pPr>
      <w:numPr>
        <w:numId w:val="9"/>
      </w:numPr>
    </w:pPr>
  </w:style>
  <w:style w:type="paragraph" w:customStyle="1" w:styleId="ListAlpha2">
    <w:name w:val="List Alpha 2"/>
    <w:basedOn w:val="List2"/>
    <w:rsid w:val="00C44A54"/>
    <w:pPr>
      <w:numPr>
        <w:numId w:val="8"/>
      </w:numPr>
    </w:pPr>
  </w:style>
  <w:style w:type="paragraph" w:styleId="List2">
    <w:name w:val="List 2"/>
    <w:basedOn w:val="BodyText"/>
    <w:rsid w:val="00C44A54"/>
    <w:pPr>
      <w:tabs>
        <w:tab w:val="left" w:pos="680"/>
      </w:tabs>
      <w:spacing w:before="60" w:after="60"/>
      <w:ind w:left="680" w:hanging="340"/>
    </w:pPr>
  </w:style>
  <w:style w:type="paragraph" w:styleId="List3">
    <w:name w:val="List 3"/>
    <w:basedOn w:val="BodyText"/>
    <w:rsid w:val="00C44A54"/>
    <w:pPr>
      <w:tabs>
        <w:tab w:val="left" w:pos="1021"/>
      </w:tabs>
      <w:spacing w:before="60" w:after="60"/>
      <w:ind w:left="1020" w:hanging="340"/>
    </w:pPr>
  </w:style>
  <w:style w:type="paragraph" w:styleId="List4">
    <w:name w:val="List 4"/>
    <w:basedOn w:val="BodyText"/>
    <w:rsid w:val="00C44A54"/>
    <w:pPr>
      <w:tabs>
        <w:tab w:val="left" w:pos="1361"/>
      </w:tabs>
      <w:spacing w:before="60" w:after="60"/>
      <w:ind w:left="1361" w:hanging="340"/>
    </w:pPr>
  </w:style>
  <w:style w:type="paragraph" w:styleId="List5">
    <w:name w:val="List 5"/>
    <w:basedOn w:val="BodyText"/>
    <w:rsid w:val="00C44A54"/>
    <w:pPr>
      <w:tabs>
        <w:tab w:val="left" w:pos="1701"/>
      </w:tabs>
      <w:spacing w:before="60" w:after="60"/>
      <w:ind w:left="1701" w:hanging="340"/>
    </w:pPr>
  </w:style>
  <w:style w:type="paragraph" w:styleId="ListBullet3">
    <w:name w:val="List Bullet 3"/>
    <w:basedOn w:val="List3"/>
    <w:rsid w:val="00C44A54"/>
    <w:pPr>
      <w:numPr>
        <w:numId w:val="15"/>
      </w:numPr>
      <w:tabs>
        <w:tab w:val="clear" w:pos="1021"/>
      </w:tabs>
      <w:ind w:left="1037" w:hanging="357"/>
    </w:pPr>
  </w:style>
  <w:style w:type="paragraph" w:styleId="ListBullet4">
    <w:name w:val="List Bullet 4"/>
    <w:basedOn w:val="List4"/>
    <w:rsid w:val="00C44A54"/>
    <w:pPr>
      <w:numPr>
        <w:numId w:val="3"/>
      </w:numPr>
    </w:pPr>
  </w:style>
  <w:style w:type="paragraph" w:styleId="ListBullet5">
    <w:name w:val="List Bullet 5"/>
    <w:basedOn w:val="List5"/>
    <w:rsid w:val="00C44A54"/>
    <w:pPr>
      <w:numPr>
        <w:numId w:val="4"/>
      </w:numPr>
    </w:pPr>
  </w:style>
  <w:style w:type="paragraph" w:styleId="ListContinue2">
    <w:name w:val="List Continue 2"/>
    <w:basedOn w:val="List2"/>
    <w:rsid w:val="00C44A54"/>
    <w:pPr>
      <w:ind w:firstLine="0"/>
    </w:pPr>
  </w:style>
  <w:style w:type="paragraph" w:styleId="ListContinue3">
    <w:name w:val="List Continue 3"/>
    <w:basedOn w:val="List3"/>
    <w:rsid w:val="00C44A54"/>
    <w:pPr>
      <w:ind w:left="1021" w:firstLine="0"/>
    </w:pPr>
  </w:style>
  <w:style w:type="paragraph" w:styleId="ListContinue4">
    <w:name w:val="List Continue 4"/>
    <w:basedOn w:val="List4"/>
    <w:rsid w:val="00C44A54"/>
    <w:pPr>
      <w:ind w:firstLine="0"/>
    </w:pPr>
  </w:style>
  <w:style w:type="paragraph" w:styleId="ListContinue5">
    <w:name w:val="List Continue 5"/>
    <w:basedOn w:val="List5"/>
    <w:rsid w:val="00C44A54"/>
    <w:pPr>
      <w:ind w:firstLine="0"/>
    </w:pPr>
  </w:style>
  <w:style w:type="paragraph" w:styleId="ListNumber3">
    <w:name w:val="List Number 3"/>
    <w:basedOn w:val="List3"/>
    <w:rsid w:val="00C44A54"/>
    <w:pPr>
      <w:numPr>
        <w:numId w:val="5"/>
      </w:numPr>
    </w:pPr>
  </w:style>
  <w:style w:type="paragraph" w:styleId="ListNumber4">
    <w:name w:val="List Number 4"/>
    <w:basedOn w:val="List4"/>
    <w:rsid w:val="00C44A54"/>
    <w:pPr>
      <w:numPr>
        <w:numId w:val="6"/>
      </w:numPr>
    </w:pPr>
  </w:style>
  <w:style w:type="paragraph" w:styleId="ListNumber5">
    <w:name w:val="List Number 5"/>
    <w:basedOn w:val="List5"/>
    <w:rsid w:val="00C44A54"/>
    <w:pPr>
      <w:numPr>
        <w:numId w:val="7"/>
      </w:numPr>
    </w:pPr>
  </w:style>
  <w:style w:type="paragraph" w:styleId="BlockText">
    <w:name w:val="Block Text"/>
    <w:basedOn w:val="Normal"/>
    <w:rsid w:val="00C44A54"/>
    <w:pPr>
      <w:spacing w:after="120"/>
      <w:ind w:left="1440" w:right="1440"/>
    </w:pPr>
  </w:style>
  <w:style w:type="character" w:customStyle="1" w:styleId="Subscript">
    <w:name w:val="Subscript"/>
    <w:basedOn w:val="DefaultParagraphFont"/>
    <w:rsid w:val="00C44A54"/>
    <w:rPr>
      <w:sz w:val="16"/>
      <w:vertAlign w:val="subscript"/>
    </w:rPr>
  </w:style>
  <w:style w:type="character" w:customStyle="1" w:styleId="Superscript">
    <w:name w:val="Superscript"/>
    <w:basedOn w:val="DefaultParagraphFont"/>
    <w:rsid w:val="00C44A54"/>
    <w:rPr>
      <w:sz w:val="16"/>
      <w:vertAlign w:val="superscript"/>
    </w:rPr>
  </w:style>
  <w:style w:type="character" w:customStyle="1" w:styleId="Symbols">
    <w:name w:val="Symbols"/>
    <w:basedOn w:val="DefaultParagraphFont"/>
    <w:rsid w:val="00C44A54"/>
    <w:rPr>
      <w:rFonts w:ascii="Symbol" w:hAnsi="Symbol"/>
    </w:rPr>
  </w:style>
  <w:style w:type="character" w:customStyle="1" w:styleId="MenuOptions">
    <w:name w:val="Menu Options"/>
    <w:basedOn w:val="DefaultParagraphFont"/>
    <w:rsid w:val="00C44A54"/>
    <w:rPr>
      <w:rFonts w:ascii="Arial Narrow" w:hAnsi="Arial Narrow"/>
      <w:smallCaps/>
    </w:rPr>
  </w:style>
  <w:style w:type="character" w:customStyle="1" w:styleId="Buttons">
    <w:name w:val="Buttons"/>
    <w:basedOn w:val="DefaultParagraphFont"/>
    <w:rsid w:val="00C44A54"/>
    <w:rPr>
      <w:b/>
    </w:rPr>
  </w:style>
  <w:style w:type="character" w:customStyle="1" w:styleId="Underlined">
    <w:name w:val="Underlined"/>
    <w:basedOn w:val="DefaultParagraphFont"/>
    <w:rsid w:val="00C44A54"/>
    <w:rPr>
      <w:u w:val="single"/>
    </w:rPr>
  </w:style>
  <w:style w:type="paragraph" w:customStyle="1" w:styleId="TableBodyTextRight">
    <w:name w:val="Table Body Text Right"/>
    <w:basedOn w:val="TableBodyText"/>
    <w:rsid w:val="00C44A54"/>
    <w:pPr>
      <w:widowControl w:val="0"/>
      <w:autoSpaceDE w:val="0"/>
      <w:autoSpaceDN w:val="0"/>
      <w:adjustRightInd w:val="0"/>
      <w:jc w:val="right"/>
    </w:pPr>
    <w:rPr>
      <w:rFonts w:cs="Arial"/>
      <w:szCs w:val="18"/>
    </w:rPr>
  </w:style>
  <w:style w:type="paragraph" w:customStyle="1" w:styleId="CopyrightText">
    <w:name w:val="Copyright Text"/>
    <w:basedOn w:val="BodyText"/>
    <w:rsid w:val="00C44A54"/>
    <w:rPr>
      <w:sz w:val="18"/>
    </w:rPr>
  </w:style>
  <w:style w:type="paragraph" w:customStyle="1" w:styleId="BodySmallRight">
    <w:name w:val="Body Small Right"/>
    <w:basedOn w:val="BodyTextRight"/>
    <w:rsid w:val="00C44A54"/>
    <w:rPr>
      <w:sz w:val="18"/>
      <w:szCs w:val="18"/>
    </w:rPr>
  </w:style>
  <w:style w:type="paragraph" w:customStyle="1" w:styleId="MarginEdition">
    <w:name w:val="Margin Edition"/>
    <w:basedOn w:val="MarginNote"/>
    <w:rsid w:val="00C44A54"/>
    <w:pPr>
      <w:spacing w:before="0" w:after="0"/>
    </w:pPr>
    <w:rPr>
      <w:rFonts w:ascii="Times New Roman" w:hAnsi="Times New Roman"/>
      <w:color w:val="999999"/>
    </w:rPr>
  </w:style>
  <w:style w:type="paragraph" w:customStyle="1" w:styleId="Spacer">
    <w:name w:val="Spacer"/>
    <w:basedOn w:val="Normal"/>
    <w:rsid w:val="00C44A54"/>
    <w:rPr>
      <w:sz w:val="2"/>
      <w:szCs w:val="2"/>
    </w:rPr>
  </w:style>
  <w:style w:type="character" w:customStyle="1" w:styleId="Small">
    <w:name w:val="Small"/>
    <w:basedOn w:val="DefaultParagraphFont"/>
    <w:rsid w:val="00C44A54"/>
    <w:rPr>
      <w:sz w:val="16"/>
    </w:rPr>
  </w:style>
  <w:style w:type="paragraph" w:customStyle="1" w:styleId="WideTable">
    <w:name w:val="Wide Table"/>
    <w:basedOn w:val="Normal"/>
    <w:rsid w:val="00C44A54"/>
    <w:pPr>
      <w:ind w:left="-1418"/>
    </w:pPr>
    <w:rPr>
      <w:sz w:val="2"/>
      <w:szCs w:val="2"/>
    </w:rPr>
  </w:style>
  <w:style w:type="character" w:styleId="PageNumber">
    <w:name w:val="page number"/>
    <w:basedOn w:val="DefaultParagraphFont"/>
    <w:rsid w:val="00C44A54"/>
  </w:style>
  <w:style w:type="paragraph" w:styleId="Quote">
    <w:name w:val="Quote"/>
    <w:basedOn w:val="Heading1"/>
    <w:link w:val="QuoteChar"/>
    <w:qFormat/>
    <w:rsid w:val="00C44A54"/>
    <w:rPr>
      <w:b w:val="0"/>
      <w:sz w:val="72"/>
      <w:szCs w:val="72"/>
      <w:lang w:val="en-NZ"/>
    </w:rPr>
  </w:style>
  <w:style w:type="character" w:customStyle="1" w:styleId="QuoteChar">
    <w:name w:val="Quote Char"/>
    <w:basedOn w:val="DefaultParagraphFont"/>
    <w:link w:val="Quote"/>
    <w:rsid w:val="00C44A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A54"/>
    <w:pPr>
      <w:pageBreakBefore/>
    </w:pPr>
  </w:style>
  <w:style w:type="paragraph" w:customStyle="1" w:styleId="Border">
    <w:name w:val="Border"/>
    <w:basedOn w:val="Normal"/>
    <w:qFormat/>
    <w:rsid w:val="00C44A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A54"/>
    <w:rPr>
      <w:b/>
      <w:bCs/>
      <w:i/>
      <w:iCs/>
      <w:color w:val="auto"/>
    </w:rPr>
  </w:style>
  <w:style w:type="paragraph" w:styleId="IntenseQuote">
    <w:name w:val="Intense Quote"/>
    <w:basedOn w:val="Normal"/>
    <w:next w:val="Normal"/>
    <w:link w:val="IntenseQuoteChar"/>
    <w:uiPriority w:val="30"/>
    <w:qFormat/>
    <w:rsid w:val="00C44A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A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4A54"/>
    <w:rPr>
      <w:smallCaps/>
      <w:color w:val="auto"/>
      <w:u w:val="single"/>
    </w:rPr>
  </w:style>
  <w:style w:type="character" w:styleId="IntenseReference">
    <w:name w:val="Intense Reference"/>
    <w:basedOn w:val="DefaultParagraphFont"/>
    <w:uiPriority w:val="32"/>
    <w:qFormat/>
    <w:rsid w:val="00C44A54"/>
    <w:rPr>
      <w:b/>
      <w:bCs/>
      <w:smallCaps/>
      <w:color w:val="auto"/>
      <w:spacing w:val="5"/>
      <w:u w:val="single"/>
    </w:rPr>
  </w:style>
  <w:style w:type="paragraph" w:customStyle="1" w:styleId="2ColumnHeading">
    <w:name w:val="2Column Heading"/>
    <w:basedOn w:val="BodyText"/>
    <w:qFormat/>
    <w:rsid w:val="00C44A54"/>
    <w:pPr>
      <w:spacing w:after="60"/>
      <w:ind w:left="-2268"/>
    </w:pPr>
    <w:rPr>
      <w:b/>
    </w:rPr>
  </w:style>
  <w:style w:type="paragraph" w:customStyle="1" w:styleId="Heading1TOC">
    <w:name w:val="Heading1 TOC"/>
    <w:basedOn w:val="Normal"/>
    <w:qFormat/>
    <w:rsid w:val="00C44A54"/>
    <w:pPr>
      <w:spacing w:before="240" w:after="120"/>
    </w:pPr>
    <w:rPr>
      <w:rFonts w:ascii="Times New Roman" w:hAnsi="Times New Roman"/>
      <w:b/>
      <w:sz w:val="32"/>
    </w:rPr>
  </w:style>
  <w:style w:type="paragraph" w:customStyle="1" w:styleId="Heading2TOC">
    <w:name w:val="Heading2 TOC"/>
    <w:basedOn w:val="Normal"/>
    <w:qFormat/>
    <w:rsid w:val="00C44A54"/>
    <w:pPr>
      <w:spacing w:before="240" w:after="60"/>
    </w:pPr>
    <w:rPr>
      <w:rFonts w:ascii="Times New Roman" w:hAnsi="Times New Roman"/>
      <w:b/>
      <w:sz w:val="28"/>
    </w:rPr>
  </w:style>
  <w:style w:type="character" w:customStyle="1" w:styleId="Underline">
    <w:name w:val="Underline"/>
    <w:basedOn w:val="DefaultParagraphFont"/>
    <w:qFormat/>
    <w:rsid w:val="00C44A54"/>
    <w:rPr>
      <w:u w:val="single"/>
    </w:rPr>
  </w:style>
  <w:style w:type="paragraph" w:styleId="BalloonText">
    <w:name w:val="Balloon Text"/>
    <w:basedOn w:val="Normal"/>
    <w:link w:val="BalloonTextChar"/>
    <w:rsid w:val="00C44A54"/>
    <w:rPr>
      <w:rFonts w:ascii="Tahoma" w:hAnsi="Tahoma" w:cs="Tahoma"/>
      <w:sz w:val="16"/>
      <w:szCs w:val="16"/>
    </w:rPr>
  </w:style>
  <w:style w:type="character" w:customStyle="1" w:styleId="BalloonTextChar">
    <w:name w:val="Balloon Text Char"/>
    <w:basedOn w:val="DefaultParagraphFont"/>
    <w:link w:val="BalloonText"/>
    <w:rsid w:val="00C44A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4A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4A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1757</Words>
  <Characters>11405</Characters>
  <Application>Microsoft Office Word</Application>
  <DocSecurity>0</DocSecurity>
  <Lines>390</Lines>
  <Paragraphs>251</Paragraphs>
  <ScaleCrop>false</ScaleCrop>
  <Company>Author-it Software Corporation Ltd.</Company>
  <LinksUpToDate>false</LinksUpToDate>
  <CharactersWithSpaces>13082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CPPPMT3029A Plan and schedule pest management operations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2012-05-26T06:18:00Z</dcterms:created>
  <dcterms:modified xsi:type="dcterms:W3CDTF">2012-05-26T06:18:00Z</dcterms:modified>
</cp:coreProperties>
</file>