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78C5" w:rsidP="006878C5">
      <w:pPr>
        <w:pStyle w:val="Title"/>
      </w:pPr>
      <w:bookmarkStart w:id="0" w:name="_GoBack"/>
      <w:bookmarkEnd w:id="0"/>
      <w:r>
        <w:fldChar w:fldCharType="begin"/>
      </w:r>
      <w:r>
        <w:instrText xml:space="preserve"> TITLE   \* MERGEFORMAT </w:instrText>
      </w:r>
      <w:r>
        <w:fldChar w:fldCharType="separate"/>
      </w:r>
      <w:r>
        <w:t>CPPHSA5005A Peer review NatHERS assessments</w:t>
      </w:r>
      <w:r>
        <w:fldChar w:fldCharType="end"/>
      </w:r>
    </w:p>
    <w:p w:rsidR="006878C5" w:rsidP="006878C5">
      <w:pPr>
        <w:pStyle w:val="Version"/>
        <w:sectPr w:rsidSect="00CD6C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6C22" w:rsidP="00CD6C22">
      <w:pPr>
        <w:pStyle w:val="SuperHeading"/>
      </w:pPr>
      <w:r w:rsidRPr="00CD6C22">
        <w:t>CPPHSA5005A Peer review NatHERS assessments</w:t>
      </w:r>
    </w:p>
    <w:p w:rsidR="00000000" w:rsidRPr="00CD6C22" w:rsidP="00CD6C22">
      <w:pPr>
        <w:pStyle w:val="Heading1"/>
      </w:pPr>
      <w:bookmarkStart w:id="1" w:name="O_489874"/>
      <w:bookmarkEnd w:id="1"/>
      <w:r w:rsidRPr="00CD6C22">
        <w:t>Modification History</w:t>
      </w:r>
    </w:p>
    <w:tbl>
      <w:tblPr>
        <w:tblW w:w="0" w:type="auto"/>
        <w:tblLayout w:type="fixed"/>
        <w:tblCellMar>
          <w:left w:w="62" w:type="dxa"/>
          <w:right w:w="62" w:type="dxa"/>
        </w:tblCellMar>
        <w:tblLook w:val="0000"/>
      </w:tblPr>
      <w:tblGrid>
        <w:gridCol w:w="2631"/>
        <w:gridCol w:w="6547"/>
      </w:tblGrid>
      <w:tr w:rsidTr="00CD6C22">
        <w:tblPrEx>
          <w:tblW w:w="0" w:type="auto"/>
          <w:tblLayout w:type="fixed"/>
          <w:tblCellMar>
            <w:left w:w="62" w:type="dxa"/>
            <w:right w:w="62" w:type="dxa"/>
          </w:tblCellMar>
          <w:tblLook w:val="0000"/>
        </w:tblPrEx>
        <w:trPr>
          <w:tblHeader/>
        </w:trPr>
        <w:tc>
          <w:tcPr>
            <w:tcW w:w="2631" w:type="dxa"/>
            <w:tcBorders>
              <w:top w:val="nil"/>
              <w:left w:val="nil"/>
              <w:bottom w:val="nil"/>
              <w:right w:val="nil"/>
            </w:tcBorders>
            <w:tcMar>
              <w:top w:w="0" w:type="dxa"/>
              <w:left w:w="62" w:type="dxa"/>
              <w:bottom w:w="0" w:type="dxa"/>
              <w:right w:w="62" w:type="dxa"/>
            </w:tcMar>
          </w:tcPr>
          <w:p w:rsidR="00000000" w:rsidRPr="00CD6C22" w:rsidP="00CD6C22">
            <w:pPr>
              <w:pStyle w:val="BodyText"/>
            </w:pPr>
            <w:r w:rsidRPr="00CD6C22">
              <w:rPr>
                <w:rStyle w:val="SpecialBold"/>
              </w:rPr>
              <w:t>Version</w:t>
            </w:r>
          </w:p>
        </w:tc>
        <w:tc>
          <w:tcPr>
            <w:tcW w:w="6547" w:type="dxa"/>
            <w:tcBorders>
              <w:top w:val="nil"/>
              <w:left w:val="nil"/>
              <w:bottom w:val="nil"/>
              <w:right w:val="nil"/>
            </w:tcBorders>
            <w:tcMar>
              <w:top w:w="0" w:type="dxa"/>
              <w:left w:w="62" w:type="dxa"/>
              <w:bottom w:w="0" w:type="dxa"/>
              <w:right w:w="62" w:type="dxa"/>
            </w:tcMar>
          </w:tcPr>
          <w:p w:rsidR="00000000" w:rsidP="00CD6C22">
            <w:pPr>
              <w:pStyle w:val="BodyText"/>
              <w:rPr>
                <w:lang w:val="en-NZ"/>
              </w:rPr>
            </w:pPr>
            <w:r w:rsidRPr="00CD6C22">
              <w:rPr>
                <w:rStyle w:val="SpecialBold"/>
              </w:rPr>
              <w:t>Comments</w:t>
            </w:r>
          </w:p>
        </w:tc>
      </w:tr>
      <w:tr w:rsidTr="00CD6C22">
        <w:tblPrEx>
          <w:tblW w:w="0" w:type="auto"/>
          <w:tblLayout w:type="fixed"/>
          <w:tblCellMar>
            <w:left w:w="62" w:type="dxa"/>
            <w:right w:w="62" w:type="dxa"/>
          </w:tblCellMar>
          <w:tblLook w:val="0000"/>
        </w:tblPrEx>
        <w:trPr>
          <w:tblHeader/>
        </w:trPr>
        <w:tc>
          <w:tcPr>
            <w:tcW w:w="2631" w:type="dxa"/>
            <w:tcBorders>
              <w:top w:val="nil"/>
              <w:left w:val="nil"/>
              <w:bottom w:val="nil"/>
              <w:right w:val="nil"/>
            </w:tcBorders>
            <w:tcMar>
              <w:top w:w="0" w:type="dxa"/>
              <w:left w:w="62" w:type="dxa"/>
              <w:bottom w:w="0" w:type="dxa"/>
              <w:right w:w="62" w:type="dxa"/>
            </w:tcMar>
          </w:tcPr>
          <w:p w:rsidR="00000000" w:rsidP="00CD6C22">
            <w:pPr>
              <w:pStyle w:val="BodyText"/>
              <w:rPr>
                <w:lang w:val="en-NZ"/>
              </w:rPr>
            </w:pPr>
            <w:r w:rsidRPr="00CD6C22">
              <w:t>1</w:t>
            </w:r>
          </w:p>
        </w:tc>
        <w:tc>
          <w:tcPr>
            <w:tcW w:w="6547" w:type="dxa"/>
            <w:tcBorders>
              <w:top w:val="nil"/>
              <w:left w:val="nil"/>
              <w:bottom w:val="nil"/>
              <w:right w:val="nil"/>
            </w:tcBorders>
            <w:tcMar>
              <w:top w:w="0" w:type="dxa"/>
              <w:left w:w="62" w:type="dxa"/>
              <w:bottom w:w="0" w:type="dxa"/>
              <w:right w:w="62" w:type="dxa"/>
            </w:tcMar>
          </w:tcPr>
          <w:p w:rsidR="00000000" w:rsidRPr="00CD6C22" w:rsidP="00CD6C22">
            <w:pPr>
              <w:pStyle w:val="BodyText"/>
            </w:pPr>
            <w:r w:rsidRPr="00CD6C22">
              <w:t>This version first released with CPP07 Property Services Training</w:t>
            </w:r>
            <w:r w:rsidRPr="00CD6C22">
              <w:t xml:space="preserve"> Package Version 11.</w:t>
            </w:r>
          </w:p>
        </w:tc>
      </w:tr>
    </w:tbl>
    <w:p w:rsidR="006878C5" w:rsidP="00CD6C22">
      <w:pPr>
        <w:pStyle w:val="BodyText"/>
      </w:pPr>
    </w:p>
    <w:p w:rsidR="006878C5" w:rsidP="00CD6C22">
      <w:pPr>
        <w:pStyle w:val="BodyText"/>
      </w:pPr>
    </w:p>
    <w:p w:rsidR="00000000" w:rsidRPr="00CD6C22" w:rsidP="00CD6C22">
      <w:pPr>
        <w:pStyle w:val="Heading1"/>
      </w:pPr>
      <w:bookmarkStart w:id="2" w:name="O_489875"/>
      <w:bookmarkEnd w:id="2"/>
      <w:r w:rsidRPr="00CD6C22">
        <w:t>Unit Descriptor</w:t>
      </w:r>
    </w:p>
    <w:p w:rsidR="00000000" w:rsidRPr="00CD6C22" w:rsidP="00CD6C22">
      <w:pPr>
        <w:pStyle w:val="BodyText"/>
      </w:pPr>
      <w:r w:rsidRPr="00CD6C22">
        <w:t xml:space="preserve">This unit of competency specifies the outcomes required to participate in individual or panel peer review processes that are designed to ensure </w:t>
      </w:r>
      <w:r w:rsidRPr="00CD6C22">
        <w:t>the quality and consistency of Nationwide House Energy Rating Scheme (NatHERS) assessments. It includes preparing for the peer review, conducting the peer review, recording and reporting the outcomes of the review, and evaluating the review process.</w:t>
      </w:r>
    </w:p>
    <w:p w:rsidR="00000000" w:rsidRPr="00CD6C22" w:rsidP="00CD6C22">
      <w:pPr>
        <w:pStyle w:val="AllowPageBreak"/>
      </w:pPr>
    </w:p>
    <w:p w:rsidR="00000000" w:rsidRPr="00CD6C22" w:rsidP="00CD6C22">
      <w:pPr>
        <w:pStyle w:val="Heading1"/>
      </w:pPr>
      <w:bookmarkStart w:id="3" w:name="O_489876"/>
      <w:bookmarkEnd w:id="3"/>
      <w:r w:rsidRPr="00CD6C22">
        <w:t>Application of the Unit</w:t>
      </w:r>
    </w:p>
    <w:p w:rsidR="00000000" w:rsidRPr="00CD6C22" w:rsidP="00CD6C22">
      <w:pPr>
        <w:pStyle w:val="BodyText"/>
      </w:pPr>
      <w:r w:rsidRPr="00CD6C22">
        <w:t>This unit of competency supports the work of NatHERS assessors engaged in assessing, and making recommendations for improving, the thermal performance of planned and existing residential buildings.</w:t>
      </w:r>
    </w:p>
    <w:p w:rsidR="00000000" w:rsidRPr="00CD6C22" w:rsidP="00CD6C22">
      <w:pPr>
        <w:pStyle w:val="AllowPageBreak"/>
      </w:pPr>
    </w:p>
    <w:p w:rsidR="00000000" w:rsidRPr="00CD6C22" w:rsidP="00CD6C22">
      <w:pPr>
        <w:pStyle w:val="Heading1"/>
      </w:pPr>
      <w:bookmarkStart w:id="4" w:name="O_489877"/>
      <w:bookmarkEnd w:id="4"/>
      <w:r w:rsidRPr="00CD6C22">
        <w:t>Licens</w:t>
      </w:r>
      <w:r w:rsidRPr="00CD6C22">
        <w:t>ing/Regulatory Information</w:t>
      </w:r>
    </w:p>
    <w:p w:rsidR="00000000" w:rsidRPr="00CD6C22" w:rsidP="00CD6C22">
      <w:pPr>
        <w:pStyle w:val="BodyText"/>
      </w:pPr>
      <w:r w:rsidRPr="00CD6C22">
        <w:t>In some jurisdictions, this unit of competency may form part of the accreditation, licensing, legislative, regulatory or certification requirements for NatHERS assessors.</w:t>
      </w:r>
    </w:p>
    <w:p w:rsidR="00000000" w:rsidRPr="00CD6C22" w:rsidP="00CD6C22">
      <w:pPr>
        <w:pStyle w:val="AllowPageBreak"/>
      </w:pPr>
    </w:p>
    <w:p w:rsidR="00000000" w:rsidRPr="00CD6C22" w:rsidP="00CD6C22">
      <w:pPr>
        <w:pStyle w:val="Heading1"/>
      </w:pPr>
      <w:bookmarkStart w:id="5" w:name="O_489878"/>
      <w:bookmarkEnd w:id="5"/>
      <w:r w:rsidRPr="00CD6C22">
        <w:t>Pre-Requisites</w:t>
      </w:r>
    </w:p>
    <w:p w:rsidR="00000000" w:rsidRPr="00CD6C22" w:rsidP="00CD6C22">
      <w:pPr>
        <w:pStyle w:val="BodyText"/>
      </w:pPr>
      <w:r w:rsidRPr="00CD6C22">
        <w:t>Not applicable.</w:t>
      </w:r>
    </w:p>
    <w:p w:rsidR="00000000" w:rsidRPr="00CD6C22" w:rsidP="00CD6C22">
      <w:pPr>
        <w:pStyle w:val="AllowPageBreak"/>
      </w:pPr>
    </w:p>
    <w:p w:rsidR="00000000" w:rsidRPr="00CD6C22" w:rsidP="00CD6C22">
      <w:pPr>
        <w:pStyle w:val="Heading1"/>
      </w:pPr>
      <w:bookmarkStart w:id="6" w:name="O_489879"/>
      <w:bookmarkEnd w:id="6"/>
      <w:r w:rsidRPr="00CD6C22">
        <w:t>Employability Skills Information</w:t>
      </w:r>
    </w:p>
    <w:p w:rsidR="00000000" w:rsidRPr="00CD6C22" w:rsidP="00CD6C22">
      <w:pPr>
        <w:pStyle w:val="BodyText"/>
      </w:pPr>
      <w:r w:rsidRPr="00CD6C22">
        <w:t>This unit contains employability skills.</w:t>
      </w:r>
    </w:p>
    <w:p w:rsidR="00000000" w:rsidRPr="00CD6C22" w:rsidP="00CD6C22">
      <w:pPr>
        <w:pStyle w:val="AllowPageBreak"/>
      </w:pPr>
    </w:p>
    <w:p w:rsidR="00000000" w:rsidRPr="00CD6C22" w:rsidP="00CD6C22">
      <w:pPr>
        <w:pStyle w:val="Heading1"/>
      </w:pPr>
      <w:bookmarkStart w:id="7" w:name="O_489880"/>
      <w:bookmarkEnd w:id="7"/>
      <w:r w:rsidRPr="00CD6C22">
        <w:t>Elements and Performance Criteria Pre-Content</w:t>
      </w:r>
    </w:p>
    <w:tbl>
      <w:tblPr>
        <w:tblW w:w="0" w:type="auto"/>
        <w:tblLayout w:type="fixed"/>
        <w:tblCellMar>
          <w:left w:w="62" w:type="dxa"/>
          <w:right w:w="62" w:type="dxa"/>
        </w:tblCellMar>
        <w:tblLook w:val="0000"/>
      </w:tblPr>
      <w:tblGrid>
        <w:gridCol w:w="2640"/>
        <w:gridCol w:w="6380"/>
      </w:tblGrid>
      <w:tr w:rsidTr="00CD6C22">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CD6C22">
            <w:pPr>
              <w:pStyle w:val="BodyText"/>
              <w:rPr>
                <w:lang w:val="en-NZ"/>
              </w:rPr>
            </w:pPr>
            <w:r w:rsidRPr="00CD6C22">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CD6C22" w:rsidP="00CD6C22">
            <w:pPr>
              <w:pStyle w:val="BodyText"/>
            </w:pPr>
            <w:r w:rsidRPr="00CD6C22">
              <w:t xml:space="preserve">Performance criteria describe the performance </w:t>
            </w:r>
            <w:r w:rsidRPr="00CD6C22">
              <w:t>needed to demonstrate achievement of the element. Where bold italicised text is used, further information is detailed in the required skills and knowledge section and the range statement. Assessment of performance is to be consistent with the evidence guid</w:t>
            </w:r>
            <w:r w:rsidRPr="00CD6C22">
              <w:t>e.</w:t>
            </w:r>
          </w:p>
        </w:tc>
      </w:tr>
    </w:tbl>
    <w:p w:rsidR="00000000" w:rsidRPr="00CD6C22" w:rsidP="00CD6C22">
      <w:pPr>
        <w:pStyle w:val="BodyText"/>
      </w:pPr>
    </w:p>
    <w:p w:rsidR="00000000" w:rsidRPr="00CD6C22" w:rsidP="00CD6C22">
      <w:pPr>
        <w:pStyle w:val="AllowPageBreak"/>
      </w:pPr>
    </w:p>
    <w:p w:rsidR="00000000" w:rsidRPr="00CD6C22" w:rsidP="00CD6C22">
      <w:pPr>
        <w:pStyle w:val="Heading1"/>
      </w:pPr>
      <w:bookmarkStart w:id="8" w:name="O_489881"/>
      <w:bookmarkEnd w:id="8"/>
      <w:r w:rsidRPr="00CD6C2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D6C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D6C22">
            <w:pPr>
              <w:pStyle w:val="BodyText"/>
              <w:rPr>
                <w:lang w:val="en-NZ"/>
              </w:rPr>
            </w:pPr>
            <w:r w:rsidRPr="00CD6C22">
              <w:t>1</w:t>
            </w:r>
          </w:p>
        </w:tc>
        <w:tc>
          <w:tcPr>
            <w:tcW w:w="1962" w:type="dxa"/>
            <w:vMerge w:val="restart"/>
            <w:tcBorders>
              <w:top w:val="nil"/>
              <w:left w:val="nil"/>
              <w:bottom w:val="nil"/>
              <w:right w:val="nil"/>
            </w:tcBorders>
            <w:tcMar>
              <w:top w:w="0" w:type="dxa"/>
              <w:left w:w="62" w:type="dxa"/>
              <w:bottom w:w="0" w:type="dxa"/>
              <w:right w:w="62" w:type="dxa"/>
            </w:tcMar>
          </w:tcPr>
          <w:p w:rsidR="00000000" w:rsidP="00CD6C22">
            <w:pPr>
              <w:pStyle w:val="BodyText"/>
              <w:rPr>
                <w:lang w:val="en-NZ"/>
              </w:rPr>
            </w:pPr>
            <w:r w:rsidRPr="00CD6C22">
              <w:t>Prepare for peer review.</w:t>
            </w:r>
          </w:p>
        </w:tc>
        <w:tc>
          <w:tcPr>
            <w:tcW w:w="770" w:type="dxa"/>
            <w:tcBorders>
              <w:top w:val="nil"/>
              <w:left w:val="nil"/>
              <w:bottom w:val="nil"/>
              <w:right w:val="nil"/>
            </w:tcBorders>
            <w:tcMar>
              <w:top w:w="0" w:type="dxa"/>
              <w:left w:w="62" w:type="dxa"/>
              <w:bottom w:w="0" w:type="dxa"/>
              <w:right w:w="62" w:type="dxa"/>
            </w:tcMar>
          </w:tcPr>
          <w:p w:rsidR="00000000" w:rsidP="00CD6C22">
            <w:pPr>
              <w:pStyle w:val="BodyText"/>
              <w:rPr>
                <w:lang w:val="en-NZ"/>
              </w:rPr>
            </w:pPr>
            <w:r w:rsidRPr="00CD6C22">
              <w:t>1.1</w:t>
            </w:r>
          </w:p>
        </w:tc>
        <w:tc>
          <w:tcPr>
            <w:tcW w:w="5610" w:type="dxa"/>
            <w:tcBorders>
              <w:top w:val="nil"/>
              <w:left w:val="nil"/>
              <w:bottom w:val="nil"/>
              <w:right w:val="nil"/>
            </w:tcBorders>
            <w:tcMar>
              <w:top w:w="0" w:type="dxa"/>
              <w:left w:w="62" w:type="dxa"/>
              <w:bottom w:w="0" w:type="dxa"/>
              <w:right w:w="62" w:type="dxa"/>
            </w:tcMar>
          </w:tcPr>
          <w:p w:rsidR="00000000" w:rsidP="00CD6C22">
            <w:pPr>
              <w:pStyle w:val="BodyText"/>
              <w:rPr>
                <w:lang w:val="en-NZ"/>
              </w:rPr>
            </w:pPr>
            <w:r w:rsidRPr="00CD6C22">
              <w:t xml:space="preserve">Plan for </w:t>
            </w:r>
            <w:r w:rsidRPr="00CD6C22">
              <w:rPr>
                <w:rStyle w:val="BoldandItalics"/>
              </w:rPr>
              <w:t>peer review</w:t>
            </w:r>
            <w:r w:rsidRPr="00CD6C22">
              <w:t xml:space="preserve"> of NatHERS assessment is established in line with organisational policy and procedures.</w:t>
            </w:r>
          </w:p>
        </w:tc>
      </w:tr>
      <w:tr w:rsidTr="00CD6C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6C22">
            <w:pPr>
              <w:pStyle w:val="BodyText"/>
              <w:rPr>
                <w:lang w:val="en-NZ"/>
              </w:rPr>
            </w:pPr>
            <w:r w:rsidRPr="00CD6C22">
              <w:t>1.2</w:t>
            </w:r>
          </w:p>
        </w:tc>
        <w:tc>
          <w:tcPr>
            <w:tcW w:w="5610" w:type="dxa"/>
            <w:tcBorders>
              <w:top w:val="nil"/>
              <w:left w:val="nil"/>
              <w:bottom w:val="nil"/>
              <w:right w:val="nil"/>
            </w:tcBorders>
            <w:tcMar>
              <w:top w:w="0" w:type="dxa"/>
              <w:left w:w="62" w:type="dxa"/>
              <w:bottom w:w="0" w:type="dxa"/>
              <w:right w:w="62" w:type="dxa"/>
            </w:tcMar>
          </w:tcPr>
          <w:p w:rsidR="00000000" w:rsidP="00CD6C22">
            <w:pPr>
              <w:pStyle w:val="BodyText"/>
              <w:rPr>
                <w:lang w:val="en-NZ"/>
              </w:rPr>
            </w:pPr>
            <w:r w:rsidRPr="00CD6C22">
              <w:t>Information to be provided by candidate is confirmed by reviewers in line with organisational policy and procedures.</w:t>
            </w:r>
          </w:p>
        </w:tc>
      </w:tr>
      <w:tr w:rsidTr="00CD6C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6C22">
            <w:pPr>
              <w:pStyle w:val="BodyText"/>
              <w:rPr>
                <w:lang w:val="en-NZ"/>
              </w:rPr>
            </w:pPr>
            <w:r w:rsidRPr="00CD6C22">
              <w:t>1.3</w:t>
            </w:r>
          </w:p>
        </w:tc>
        <w:tc>
          <w:tcPr>
            <w:tcW w:w="5610" w:type="dxa"/>
            <w:tcBorders>
              <w:top w:val="nil"/>
              <w:left w:val="nil"/>
              <w:bottom w:val="nil"/>
              <w:right w:val="nil"/>
            </w:tcBorders>
            <w:tcMar>
              <w:top w:w="0" w:type="dxa"/>
              <w:left w:w="62" w:type="dxa"/>
              <w:bottom w:w="0" w:type="dxa"/>
              <w:right w:w="62" w:type="dxa"/>
            </w:tcMar>
          </w:tcPr>
          <w:p w:rsidR="00000000" w:rsidP="00CD6C22">
            <w:pPr>
              <w:pStyle w:val="BodyText"/>
              <w:rPr>
                <w:lang w:val="en-NZ"/>
              </w:rPr>
            </w:pPr>
            <w:r w:rsidRPr="00CD6C22">
              <w:t>Risks associated with building design assessed by the candidate are determined to identify areas of data to be reviewed.</w:t>
            </w:r>
          </w:p>
        </w:tc>
      </w:tr>
      <w:tr w:rsidTr="00CD6C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D6C22" w:rsidP="00CD6C22">
            <w:pPr>
              <w:pStyle w:val="BodyText"/>
            </w:pPr>
            <w:r w:rsidRPr="00CD6C22">
              <w:t>1.4</w:t>
            </w:r>
          </w:p>
        </w:tc>
        <w:tc>
          <w:tcPr>
            <w:tcW w:w="5610" w:type="dxa"/>
            <w:tcBorders>
              <w:top w:val="nil"/>
              <w:left w:val="nil"/>
              <w:bottom w:val="nil"/>
              <w:right w:val="nil"/>
            </w:tcBorders>
            <w:tcMar>
              <w:top w:w="0" w:type="dxa"/>
              <w:left w:w="62" w:type="dxa"/>
              <w:bottom w:w="0" w:type="dxa"/>
              <w:right w:w="62" w:type="dxa"/>
            </w:tcMar>
          </w:tcPr>
          <w:p w:rsidR="00000000" w:rsidRPr="00CD6C22" w:rsidP="00CD6C22">
            <w:pPr>
              <w:pStyle w:val="BodyText"/>
            </w:pPr>
            <w:r w:rsidRPr="00CD6C22">
              <w:rPr>
                <w:rStyle w:val="BoldandItalics"/>
              </w:rPr>
              <w:t>Specialist support</w:t>
            </w:r>
            <w:r w:rsidRPr="00CD6C22">
              <w:t xml:space="preserve"> required for peer review is identified in line with organisational policy and procedures.</w:t>
            </w:r>
          </w:p>
        </w:tc>
      </w:tr>
    </w:tbl>
    <w:p w:rsidR="00000000" w:rsidRPr="00CD6C22" w:rsidP="00CD6C22">
      <w:pPr>
        <w:pStyle w:val="BodyText"/>
      </w:pPr>
    </w:p>
    <w:tbl>
      <w:tblPr>
        <w:tblW w:w="0" w:type="auto"/>
        <w:tblLayout w:type="fixed"/>
        <w:tblCellMar>
          <w:left w:w="62" w:type="dxa"/>
          <w:right w:w="62" w:type="dxa"/>
        </w:tblCellMar>
        <w:tblLook w:val="0000"/>
      </w:tblPr>
      <w:tblGrid>
        <w:gridCol w:w="678"/>
        <w:gridCol w:w="1962"/>
        <w:gridCol w:w="770"/>
        <w:gridCol w:w="5610"/>
      </w:tblGrid>
      <w:tr w:rsidTr="00CD6C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D6C22">
            <w:pPr>
              <w:pStyle w:val="BodyText"/>
              <w:rPr>
                <w:lang w:val="en-NZ"/>
              </w:rPr>
            </w:pPr>
            <w:r w:rsidRPr="00CD6C22">
              <w:t>2</w:t>
            </w:r>
          </w:p>
        </w:tc>
        <w:tc>
          <w:tcPr>
            <w:tcW w:w="1962" w:type="dxa"/>
            <w:vMerge w:val="restart"/>
            <w:tcBorders>
              <w:top w:val="nil"/>
              <w:left w:val="nil"/>
              <w:bottom w:val="nil"/>
              <w:right w:val="nil"/>
            </w:tcBorders>
            <w:tcMar>
              <w:top w:w="0" w:type="dxa"/>
              <w:left w:w="62" w:type="dxa"/>
              <w:bottom w:w="0" w:type="dxa"/>
              <w:right w:w="62" w:type="dxa"/>
            </w:tcMar>
          </w:tcPr>
          <w:p w:rsidR="00000000" w:rsidP="00CD6C22">
            <w:pPr>
              <w:pStyle w:val="BodyText"/>
              <w:rPr>
                <w:lang w:val="en-NZ"/>
              </w:rPr>
            </w:pPr>
            <w:r w:rsidRPr="00CD6C22">
              <w:t>Conduct peer review.</w:t>
            </w:r>
          </w:p>
        </w:tc>
        <w:tc>
          <w:tcPr>
            <w:tcW w:w="770" w:type="dxa"/>
            <w:tcBorders>
              <w:top w:val="nil"/>
              <w:left w:val="nil"/>
              <w:bottom w:val="nil"/>
              <w:right w:val="nil"/>
            </w:tcBorders>
            <w:tcMar>
              <w:top w:w="0" w:type="dxa"/>
              <w:left w:w="62" w:type="dxa"/>
              <w:bottom w:w="0" w:type="dxa"/>
              <w:right w:w="62" w:type="dxa"/>
            </w:tcMar>
          </w:tcPr>
          <w:p w:rsidR="00000000" w:rsidP="00CD6C22">
            <w:pPr>
              <w:pStyle w:val="BodyText"/>
              <w:rPr>
                <w:lang w:val="en-NZ"/>
              </w:rPr>
            </w:pPr>
            <w:r w:rsidRPr="00CD6C22">
              <w:t>2.1</w:t>
            </w:r>
          </w:p>
        </w:tc>
        <w:tc>
          <w:tcPr>
            <w:tcW w:w="5610" w:type="dxa"/>
            <w:tcBorders>
              <w:top w:val="nil"/>
              <w:left w:val="nil"/>
              <w:bottom w:val="nil"/>
              <w:right w:val="nil"/>
            </w:tcBorders>
            <w:tcMar>
              <w:top w:w="0" w:type="dxa"/>
              <w:left w:w="62" w:type="dxa"/>
              <w:bottom w:w="0" w:type="dxa"/>
              <w:right w:w="62" w:type="dxa"/>
            </w:tcMar>
          </w:tcPr>
          <w:p w:rsidR="00000000" w:rsidP="00CD6C22">
            <w:pPr>
              <w:pStyle w:val="BodyText"/>
              <w:rPr>
                <w:lang w:val="en-NZ"/>
              </w:rPr>
            </w:pPr>
            <w:r w:rsidRPr="00CD6C22">
              <w:t>NatHERS assessment</w:t>
            </w:r>
            <w:r w:rsidRPr="00CD6C22">
              <w:rPr>
                <w:rStyle w:val="BoldandItalics"/>
              </w:rPr>
              <w:t xml:space="preserve"> </w:t>
            </w:r>
            <w:r w:rsidRPr="00CD6C22">
              <w:t>supplied by candidate is evaluated in line with organisational policy and procedures.</w:t>
            </w:r>
          </w:p>
        </w:tc>
      </w:tr>
      <w:tr w:rsidTr="00CD6C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6C22">
            <w:pPr>
              <w:pStyle w:val="BodyText"/>
              <w:rPr>
                <w:lang w:val="en-NZ"/>
              </w:rPr>
            </w:pPr>
            <w:r w:rsidRPr="00CD6C22">
              <w:t>2.2</w:t>
            </w:r>
          </w:p>
        </w:tc>
        <w:tc>
          <w:tcPr>
            <w:tcW w:w="5610" w:type="dxa"/>
            <w:tcBorders>
              <w:top w:val="nil"/>
              <w:left w:val="nil"/>
              <w:bottom w:val="nil"/>
              <w:right w:val="nil"/>
            </w:tcBorders>
            <w:tcMar>
              <w:top w:w="0" w:type="dxa"/>
              <w:left w:w="62" w:type="dxa"/>
              <w:bottom w:w="0" w:type="dxa"/>
              <w:right w:w="62" w:type="dxa"/>
            </w:tcMar>
          </w:tcPr>
          <w:p w:rsidR="00000000" w:rsidP="00CD6C22">
            <w:pPr>
              <w:pStyle w:val="BodyText"/>
              <w:rPr>
                <w:lang w:val="en-NZ"/>
              </w:rPr>
            </w:pPr>
            <w:r w:rsidRPr="00CD6C22">
              <w:t>Supplementary information or clarification of NatHERS assessment submitted by candidate is sought, if required, in line with organisational policy and procedures.</w:t>
            </w:r>
          </w:p>
        </w:tc>
      </w:tr>
      <w:tr w:rsidTr="00CD6C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6C22">
            <w:pPr>
              <w:pStyle w:val="BodyText"/>
              <w:rPr>
                <w:lang w:val="en-NZ"/>
              </w:rPr>
            </w:pPr>
            <w:r w:rsidRPr="00CD6C22">
              <w:t>2.3</w:t>
            </w:r>
          </w:p>
        </w:tc>
        <w:tc>
          <w:tcPr>
            <w:tcW w:w="5610" w:type="dxa"/>
            <w:tcBorders>
              <w:top w:val="nil"/>
              <w:left w:val="nil"/>
              <w:bottom w:val="nil"/>
              <w:right w:val="nil"/>
            </w:tcBorders>
            <w:tcMar>
              <w:top w:w="0" w:type="dxa"/>
              <w:left w:w="62" w:type="dxa"/>
              <w:bottom w:w="0" w:type="dxa"/>
              <w:right w:w="62" w:type="dxa"/>
            </w:tcMar>
          </w:tcPr>
          <w:p w:rsidR="00000000" w:rsidP="00CD6C22">
            <w:pPr>
              <w:pStyle w:val="BodyText"/>
              <w:rPr>
                <w:lang w:val="en-NZ"/>
              </w:rPr>
            </w:pPr>
            <w:r w:rsidRPr="00CD6C22">
              <w:t>Specialist advice is sought, if required, in line with organisational policy and proce</w:t>
            </w:r>
            <w:r w:rsidRPr="00CD6C22">
              <w:t>dures.</w:t>
            </w:r>
          </w:p>
        </w:tc>
      </w:tr>
      <w:tr w:rsidTr="00CD6C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6C22">
            <w:pPr>
              <w:pStyle w:val="BodyText"/>
              <w:rPr>
                <w:lang w:val="en-NZ"/>
              </w:rPr>
            </w:pPr>
            <w:r w:rsidRPr="00CD6C22">
              <w:t>2.4</w:t>
            </w:r>
          </w:p>
        </w:tc>
        <w:tc>
          <w:tcPr>
            <w:tcW w:w="5610" w:type="dxa"/>
            <w:tcBorders>
              <w:top w:val="nil"/>
              <w:left w:val="nil"/>
              <w:bottom w:val="nil"/>
              <w:right w:val="nil"/>
            </w:tcBorders>
            <w:tcMar>
              <w:top w:w="0" w:type="dxa"/>
              <w:left w:w="62" w:type="dxa"/>
              <w:bottom w:w="0" w:type="dxa"/>
              <w:right w:w="62" w:type="dxa"/>
            </w:tcMar>
          </w:tcPr>
          <w:p w:rsidR="00000000" w:rsidP="00CD6C22">
            <w:pPr>
              <w:pStyle w:val="BodyText"/>
              <w:rPr>
                <w:lang w:val="en-NZ"/>
              </w:rPr>
            </w:pPr>
            <w:r w:rsidRPr="00CD6C22">
              <w:t>Professional judgement is applied to evaluate NatHERS assessment based on the available evidence.</w:t>
            </w:r>
          </w:p>
        </w:tc>
      </w:tr>
      <w:tr w:rsidTr="00CD6C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6C22">
            <w:pPr>
              <w:pStyle w:val="BodyText"/>
              <w:rPr>
                <w:lang w:val="en-NZ"/>
              </w:rPr>
            </w:pPr>
            <w:r w:rsidRPr="00CD6C22">
              <w:t>2.5</w:t>
            </w:r>
          </w:p>
        </w:tc>
        <w:tc>
          <w:tcPr>
            <w:tcW w:w="5610" w:type="dxa"/>
            <w:tcBorders>
              <w:top w:val="nil"/>
              <w:left w:val="nil"/>
              <w:bottom w:val="nil"/>
              <w:right w:val="nil"/>
            </w:tcBorders>
            <w:tcMar>
              <w:top w:w="0" w:type="dxa"/>
              <w:left w:w="62" w:type="dxa"/>
              <w:bottom w:w="0" w:type="dxa"/>
              <w:right w:w="62" w:type="dxa"/>
            </w:tcMar>
          </w:tcPr>
          <w:p w:rsidR="00000000" w:rsidP="00CD6C22">
            <w:pPr>
              <w:pStyle w:val="BodyText"/>
              <w:rPr>
                <w:lang w:val="en-NZ"/>
              </w:rPr>
            </w:pPr>
            <w:r w:rsidRPr="00CD6C22">
              <w:t>Peer review decision is made in line with organisational policy and procedures.</w:t>
            </w:r>
          </w:p>
        </w:tc>
      </w:tr>
      <w:tr w:rsidTr="00CD6C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6C22">
            <w:pPr>
              <w:pStyle w:val="BodyText"/>
              <w:rPr>
                <w:lang w:val="en-NZ"/>
              </w:rPr>
            </w:pPr>
            <w:r w:rsidRPr="00CD6C22">
              <w:t>2.6</w:t>
            </w:r>
          </w:p>
        </w:tc>
        <w:tc>
          <w:tcPr>
            <w:tcW w:w="5610" w:type="dxa"/>
            <w:tcBorders>
              <w:top w:val="nil"/>
              <w:left w:val="nil"/>
              <w:bottom w:val="nil"/>
              <w:right w:val="nil"/>
            </w:tcBorders>
            <w:tcMar>
              <w:top w:w="0" w:type="dxa"/>
              <w:left w:w="62" w:type="dxa"/>
              <w:bottom w:w="0" w:type="dxa"/>
              <w:right w:w="62" w:type="dxa"/>
            </w:tcMar>
          </w:tcPr>
          <w:p w:rsidR="00000000" w:rsidRPr="00CD6C22" w:rsidP="00CD6C22">
            <w:pPr>
              <w:pStyle w:val="BodyText"/>
            </w:pPr>
            <w:r w:rsidRPr="00CD6C22">
              <w:t xml:space="preserve">Outcome of peer review, including clear and constructive </w:t>
            </w:r>
            <w:r w:rsidRPr="00CD6C22">
              <w:rPr>
                <w:rStyle w:val="BoldandItalics"/>
              </w:rPr>
              <w:t>feedback</w:t>
            </w:r>
            <w:r w:rsidRPr="00CD6C22">
              <w:t>, is communicated to candidate in line with organisational policy and procedures.</w:t>
            </w:r>
          </w:p>
        </w:tc>
      </w:tr>
    </w:tbl>
    <w:p w:rsidR="00000000" w:rsidRPr="00CD6C22" w:rsidP="00CD6C22">
      <w:pPr>
        <w:pStyle w:val="BodyText"/>
      </w:pPr>
    </w:p>
    <w:tbl>
      <w:tblPr>
        <w:tblW w:w="0" w:type="auto"/>
        <w:tblLayout w:type="fixed"/>
        <w:tblCellMar>
          <w:left w:w="62" w:type="dxa"/>
          <w:right w:w="62" w:type="dxa"/>
        </w:tblCellMar>
        <w:tblLook w:val="0000"/>
      </w:tblPr>
      <w:tblGrid>
        <w:gridCol w:w="678"/>
        <w:gridCol w:w="1962"/>
        <w:gridCol w:w="770"/>
        <w:gridCol w:w="5610"/>
      </w:tblGrid>
      <w:tr w:rsidTr="00CD6C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D6C22">
            <w:pPr>
              <w:pStyle w:val="BodyText"/>
              <w:rPr>
                <w:lang w:val="en-NZ"/>
              </w:rPr>
            </w:pPr>
            <w:r w:rsidRPr="00CD6C22">
              <w:t>3</w:t>
            </w:r>
          </w:p>
        </w:tc>
        <w:tc>
          <w:tcPr>
            <w:tcW w:w="1962" w:type="dxa"/>
            <w:vMerge w:val="restart"/>
            <w:tcBorders>
              <w:top w:val="nil"/>
              <w:left w:val="nil"/>
              <w:bottom w:val="nil"/>
              <w:right w:val="nil"/>
            </w:tcBorders>
            <w:tcMar>
              <w:top w:w="0" w:type="dxa"/>
              <w:left w:w="62" w:type="dxa"/>
              <w:bottom w:w="0" w:type="dxa"/>
              <w:right w:w="62" w:type="dxa"/>
            </w:tcMar>
          </w:tcPr>
          <w:p w:rsidR="00000000" w:rsidP="00CD6C22">
            <w:pPr>
              <w:pStyle w:val="BodyText"/>
              <w:rPr>
                <w:lang w:val="en-NZ"/>
              </w:rPr>
            </w:pPr>
            <w:r w:rsidRPr="00CD6C22">
              <w:t>Record and report outcomes of peer review.</w:t>
            </w:r>
          </w:p>
        </w:tc>
        <w:tc>
          <w:tcPr>
            <w:tcW w:w="770" w:type="dxa"/>
            <w:tcBorders>
              <w:top w:val="nil"/>
              <w:left w:val="nil"/>
              <w:bottom w:val="nil"/>
              <w:right w:val="nil"/>
            </w:tcBorders>
            <w:tcMar>
              <w:top w:w="0" w:type="dxa"/>
              <w:left w:w="62" w:type="dxa"/>
              <w:bottom w:w="0" w:type="dxa"/>
              <w:right w:w="62" w:type="dxa"/>
            </w:tcMar>
          </w:tcPr>
          <w:p w:rsidR="00000000" w:rsidP="00CD6C22">
            <w:pPr>
              <w:pStyle w:val="BodyText"/>
              <w:rPr>
                <w:lang w:val="en-NZ"/>
              </w:rPr>
            </w:pPr>
            <w:r w:rsidRPr="00CD6C22">
              <w:t>3.1</w:t>
            </w:r>
          </w:p>
        </w:tc>
        <w:tc>
          <w:tcPr>
            <w:tcW w:w="5610" w:type="dxa"/>
            <w:tcBorders>
              <w:top w:val="nil"/>
              <w:left w:val="nil"/>
              <w:bottom w:val="nil"/>
              <w:right w:val="nil"/>
            </w:tcBorders>
            <w:tcMar>
              <w:top w:w="0" w:type="dxa"/>
              <w:left w:w="62" w:type="dxa"/>
              <w:bottom w:w="0" w:type="dxa"/>
              <w:right w:w="62" w:type="dxa"/>
            </w:tcMar>
          </w:tcPr>
          <w:p w:rsidR="00000000" w:rsidP="00CD6C22">
            <w:pPr>
              <w:pStyle w:val="BodyText"/>
              <w:rPr>
                <w:lang w:val="en-NZ"/>
              </w:rPr>
            </w:pPr>
            <w:r w:rsidRPr="00CD6C22">
              <w:t>Outcomes of peer review are recorded promptly and accurate</w:t>
            </w:r>
            <w:r w:rsidRPr="00CD6C22">
              <w:t>ly in line with organisational policy and procedures.</w:t>
            </w:r>
          </w:p>
        </w:tc>
      </w:tr>
      <w:tr w:rsidTr="00CD6C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6C22">
            <w:pPr>
              <w:pStyle w:val="BodyText"/>
              <w:rPr>
                <w:lang w:val="en-NZ"/>
              </w:rPr>
            </w:pPr>
            <w:r w:rsidRPr="00CD6C22">
              <w:t>3.2</w:t>
            </w:r>
          </w:p>
        </w:tc>
        <w:tc>
          <w:tcPr>
            <w:tcW w:w="5610" w:type="dxa"/>
            <w:tcBorders>
              <w:top w:val="nil"/>
              <w:left w:val="nil"/>
              <w:bottom w:val="nil"/>
              <w:right w:val="nil"/>
            </w:tcBorders>
            <w:tcMar>
              <w:top w:w="0" w:type="dxa"/>
              <w:left w:w="62" w:type="dxa"/>
              <w:bottom w:w="0" w:type="dxa"/>
              <w:right w:w="62" w:type="dxa"/>
            </w:tcMar>
          </w:tcPr>
          <w:p w:rsidR="00000000" w:rsidRPr="00CD6C22" w:rsidP="00CD6C22">
            <w:pPr>
              <w:pStyle w:val="BodyText"/>
            </w:pPr>
            <w:r w:rsidRPr="00CD6C22">
              <w:t xml:space="preserve">Report on peer review is completed and processed in line with organisational policy and procedures. </w:t>
            </w:r>
          </w:p>
        </w:tc>
      </w:tr>
    </w:tbl>
    <w:p w:rsidR="00000000" w:rsidRPr="00CD6C22" w:rsidP="00CD6C22">
      <w:pPr>
        <w:pStyle w:val="BodyText"/>
      </w:pPr>
    </w:p>
    <w:tbl>
      <w:tblPr>
        <w:tblW w:w="0" w:type="auto"/>
        <w:tblLayout w:type="fixed"/>
        <w:tblCellMar>
          <w:left w:w="62" w:type="dxa"/>
          <w:right w:w="62" w:type="dxa"/>
        </w:tblCellMar>
        <w:tblLook w:val="0000"/>
      </w:tblPr>
      <w:tblGrid>
        <w:gridCol w:w="678"/>
        <w:gridCol w:w="1962"/>
        <w:gridCol w:w="770"/>
        <w:gridCol w:w="5610"/>
      </w:tblGrid>
      <w:tr w:rsidTr="00CD6C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D6C22">
            <w:pPr>
              <w:pStyle w:val="BodyText"/>
              <w:rPr>
                <w:lang w:val="en-NZ"/>
              </w:rPr>
            </w:pPr>
            <w:r w:rsidRPr="00CD6C22">
              <w:t>4</w:t>
            </w:r>
          </w:p>
        </w:tc>
        <w:tc>
          <w:tcPr>
            <w:tcW w:w="1962" w:type="dxa"/>
            <w:vMerge w:val="restart"/>
            <w:tcBorders>
              <w:top w:val="nil"/>
              <w:left w:val="nil"/>
              <w:bottom w:val="nil"/>
              <w:right w:val="nil"/>
            </w:tcBorders>
            <w:tcMar>
              <w:top w:w="0" w:type="dxa"/>
              <w:left w:w="62" w:type="dxa"/>
              <w:bottom w:w="0" w:type="dxa"/>
              <w:right w:w="62" w:type="dxa"/>
            </w:tcMar>
          </w:tcPr>
          <w:p w:rsidR="00000000" w:rsidP="00CD6C22">
            <w:pPr>
              <w:pStyle w:val="BodyText"/>
              <w:rPr>
                <w:lang w:val="en-NZ"/>
              </w:rPr>
            </w:pPr>
            <w:r w:rsidRPr="00CD6C22">
              <w:t>Evaluate peer review process.</w:t>
            </w:r>
          </w:p>
        </w:tc>
        <w:tc>
          <w:tcPr>
            <w:tcW w:w="770" w:type="dxa"/>
            <w:tcBorders>
              <w:top w:val="nil"/>
              <w:left w:val="nil"/>
              <w:bottom w:val="nil"/>
              <w:right w:val="nil"/>
            </w:tcBorders>
            <w:tcMar>
              <w:top w:w="0" w:type="dxa"/>
              <w:left w:w="62" w:type="dxa"/>
              <w:bottom w:w="0" w:type="dxa"/>
              <w:right w:w="62" w:type="dxa"/>
            </w:tcMar>
          </w:tcPr>
          <w:p w:rsidR="00000000" w:rsidP="00CD6C22">
            <w:pPr>
              <w:pStyle w:val="BodyText"/>
              <w:rPr>
                <w:lang w:val="en-NZ"/>
              </w:rPr>
            </w:pPr>
            <w:r w:rsidRPr="00CD6C22">
              <w:t>4.1</w:t>
            </w:r>
          </w:p>
        </w:tc>
        <w:tc>
          <w:tcPr>
            <w:tcW w:w="5610" w:type="dxa"/>
            <w:tcBorders>
              <w:top w:val="nil"/>
              <w:left w:val="nil"/>
              <w:bottom w:val="nil"/>
              <w:right w:val="nil"/>
            </w:tcBorders>
            <w:tcMar>
              <w:top w:w="0" w:type="dxa"/>
              <w:left w:w="62" w:type="dxa"/>
              <w:bottom w:w="0" w:type="dxa"/>
              <w:right w:w="62" w:type="dxa"/>
            </w:tcMar>
          </w:tcPr>
          <w:p w:rsidR="00000000" w:rsidP="00CD6C22">
            <w:pPr>
              <w:pStyle w:val="BodyText"/>
              <w:rPr>
                <w:lang w:val="en-NZ"/>
              </w:rPr>
            </w:pPr>
            <w:r w:rsidRPr="00CD6C22">
              <w:t>Peer review process is evaluated in consultation</w:t>
            </w:r>
            <w:r w:rsidRPr="00CD6C22">
              <w:rPr>
                <w:rStyle w:val="BoldandItalics"/>
              </w:rPr>
              <w:t xml:space="preserve"> </w:t>
            </w:r>
            <w:r w:rsidRPr="00CD6C22">
              <w:t>with relevant people to improve own future practice.</w:t>
            </w:r>
          </w:p>
        </w:tc>
      </w:tr>
      <w:tr w:rsidTr="00CD6C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6C22">
            <w:pPr>
              <w:pStyle w:val="BodyText"/>
              <w:rPr>
                <w:lang w:val="en-NZ"/>
              </w:rPr>
            </w:pPr>
            <w:r w:rsidRPr="00CD6C22">
              <w:t>4.2</w:t>
            </w:r>
          </w:p>
        </w:tc>
        <w:tc>
          <w:tcPr>
            <w:tcW w:w="5610" w:type="dxa"/>
            <w:tcBorders>
              <w:top w:val="nil"/>
              <w:left w:val="nil"/>
              <w:bottom w:val="nil"/>
              <w:right w:val="nil"/>
            </w:tcBorders>
            <w:tcMar>
              <w:top w:w="0" w:type="dxa"/>
              <w:left w:w="62" w:type="dxa"/>
              <w:bottom w:w="0" w:type="dxa"/>
              <w:right w:w="62" w:type="dxa"/>
            </w:tcMar>
          </w:tcPr>
          <w:p w:rsidR="00000000" w:rsidRPr="00CD6C22" w:rsidP="00CD6C22">
            <w:pPr>
              <w:pStyle w:val="BodyText"/>
            </w:pPr>
            <w:r w:rsidRPr="00CD6C22">
              <w:t>Outcomes of evaluation of peer review process are documented in line with organisational policy and procedures.</w:t>
            </w:r>
          </w:p>
        </w:tc>
      </w:tr>
    </w:tbl>
    <w:p w:rsidR="006878C5" w:rsidP="00CD6C22">
      <w:pPr>
        <w:pStyle w:val="BodyText"/>
      </w:pPr>
    </w:p>
    <w:p w:rsidR="006878C5" w:rsidP="00CD6C22">
      <w:pPr>
        <w:pStyle w:val="BodyText"/>
      </w:pPr>
    </w:p>
    <w:p w:rsidR="00000000" w:rsidRPr="00CD6C22" w:rsidP="00CD6C22">
      <w:pPr>
        <w:pStyle w:val="Heading1"/>
      </w:pPr>
      <w:bookmarkStart w:id="9" w:name="O_489882"/>
      <w:bookmarkEnd w:id="9"/>
      <w:r w:rsidRPr="00CD6C22">
        <w:t>Required Skills and Knowledge</w:t>
      </w:r>
    </w:p>
    <w:tbl>
      <w:tblPr>
        <w:tblW w:w="0" w:type="auto"/>
        <w:tblLayout w:type="fixed"/>
        <w:tblCellMar>
          <w:left w:w="62" w:type="dxa"/>
          <w:right w:w="62" w:type="dxa"/>
        </w:tblCellMar>
        <w:tblLook w:val="0000"/>
      </w:tblPr>
      <w:tblGrid>
        <w:gridCol w:w="9178"/>
      </w:tblGrid>
      <w:tr w:rsidTr="00CD6C22">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CD6C22">
            <w:pPr>
              <w:pStyle w:val="BodyText"/>
              <w:rPr>
                <w:lang w:val="en-NZ"/>
              </w:rPr>
            </w:pPr>
            <w:r w:rsidRPr="00CD6C22">
              <w:t>This section describes the skills and knowledge required for this unit.</w:t>
            </w:r>
          </w:p>
        </w:tc>
      </w:tr>
      <w:tr w:rsidTr="00CD6C22">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CD6C22">
            <w:pPr>
              <w:pStyle w:val="BodyText"/>
              <w:rPr>
                <w:lang w:val="en-NZ"/>
              </w:rPr>
            </w:pPr>
            <w:r w:rsidRPr="00CD6C22">
              <w:rPr>
                <w:rStyle w:val="SpecialBold"/>
              </w:rPr>
              <w:t>Required skills</w:t>
            </w:r>
          </w:p>
        </w:tc>
      </w:tr>
      <w:tr w:rsidTr="00CD6C22">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CD6C22" w:rsidP="00CD6C22">
            <w:pPr>
              <w:pStyle w:val="ListBullet"/>
            </w:pPr>
            <w:r w:rsidRPr="00CD6C22">
              <w:t>communication skills to interact effectively and ethically with participants in peer review processes</w:t>
            </w:r>
          </w:p>
          <w:p w:rsidR="00000000" w:rsidRPr="00CD6C22" w:rsidP="00CD6C22">
            <w:pPr>
              <w:pStyle w:val="ListBullet"/>
            </w:pPr>
            <w:r w:rsidRPr="00CD6C22">
              <w:t>data analysis skills to interpret NatHERS assessment information</w:t>
            </w:r>
            <w:r w:rsidRPr="00CD6C22">
              <w:t xml:space="preserve"> supplied by peer review candidates</w:t>
            </w:r>
          </w:p>
          <w:p w:rsidR="00000000" w:rsidRPr="00CD6C22" w:rsidP="00CD6C22">
            <w:pPr>
              <w:pStyle w:val="ListBullet"/>
            </w:pPr>
            <w:r w:rsidRPr="00CD6C22">
              <w:t>decision-making and problem-solving skills to evaluate NatHERS assessments that are subject to peer review</w:t>
            </w:r>
          </w:p>
          <w:p w:rsidR="00000000" w:rsidRPr="00CD6C22" w:rsidP="00CD6C22">
            <w:pPr>
              <w:pStyle w:val="ListBullet"/>
            </w:pPr>
            <w:r w:rsidRPr="00CD6C22">
              <w:t>literacy skills to:</w:t>
            </w:r>
          </w:p>
          <w:p w:rsidR="00000000" w:rsidRPr="00CD6C22" w:rsidP="00CD6C22">
            <w:pPr>
              <w:pStyle w:val="ListBullet2"/>
            </w:pPr>
            <w:r w:rsidRPr="00CD6C22">
              <w:t>read and interpret information used in peer review processes</w:t>
            </w:r>
          </w:p>
          <w:p w:rsidR="00000000" w:rsidRPr="00CD6C22" w:rsidP="00CD6C22">
            <w:pPr>
              <w:pStyle w:val="ListBullet2"/>
            </w:pPr>
            <w:r w:rsidRPr="00CD6C22">
              <w:t>prepare reports of outcomes of peer reviews</w:t>
            </w:r>
          </w:p>
          <w:p w:rsidR="00000000" w:rsidRPr="00CD6C22" w:rsidP="00CD6C22">
            <w:pPr>
              <w:pStyle w:val="ListBullet"/>
            </w:pPr>
            <w:r w:rsidRPr="00CD6C22">
              <w:t>numeracy skills to accurately verify data in NatHERS assessments that are subject to peer review</w:t>
            </w:r>
          </w:p>
          <w:p w:rsidR="00000000" w:rsidRPr="00CD6C22" w:rsidP="00CD6C22">
            <w:pPr>
              <w:pStyle w:val="ListBullet"/>
            </w:pPr>
            <w:r w:rsidRPr="00CD6C22">
              <w:t>planning, organising and scheduling skills to arrange peer reviews of NatHERS assessments</w:t>
            </w:r>
          </w:p>
          <w:p w:rsidR="00000000" w:rsidRPr="00CD6C22" w:rsidP="00CD6C22">
            <w:pPr>
              <w:pStyle w:val="ListBullet"/>
            </w:pPr>
            <w:r w:rsidRPr="00CD6C22">
              <w:t>technology skills to:</w:t>
            </w:r>
          </w:p>
          <w:p w:rsidR="00000000" w:rsidRPr="00CD6C22" w:rsidP="00CD6C22">
            <w:pPr>
              <w:pStyle w:val="ListBullet2"/>
            </w:pPr>
            <w:r w:rsidRPr="00CD6C22">
              <w:t>us</w:t>
            </w:r>
            <w:r w:rsidRPr="00CD6C22">
              <w:t>e computer software and hardware to analyse NatHERS assessments</w:t>
            </w:r>
          </w:p>
          <w:p w:rsidR="00000000" w:rsidRPr="00CD6C22" w:rsidP="00CD6C22">
            <w:pPr>
              <w:pStyle w:val="ListBullet2"/>
            </w:pPr>
            <w:r w:rsidRPr="00CD6C22">
              <w:t>prepare reports on outcomes of peer review processes</w:t>
            </w:r>
          </w:p>
          <w:p w:rsidR="00000000" w:rsidP="00CD6C22">
            <w:pPr>
              <w:pStyle w:val="ListBullet"/>
              <w:rPr>
                <w:lang w:val="en-NZ"/>
              </w:rPr>
            </w:pPr>
            <w:r w:rsidRPr="00CD6C22">
              <w:t>time-management skills to efficiently and effectively plan, implement and manage peer review processes</w:t>
            </w:r>
          </w:p>
        </w:tc>
      </w:tr>
      <w:tr w:rsidTr="00CD6C22">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CD6C22">
            <w:pPr>
              <w:pStyle w:val="BodyText"/>
              <w:rPr>
                <w:lang w:val="en-NZ"/>
              </w:rPr>
            </w:pPr>
          </w:p>
        </w:tc>
      </w:tr>
      <w:tr w:rsidTr="00CD6C22">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CD6C22">
            <w:pPr>
              <w:pStyle w:val="BodyText"/>
              <w:rPr>
                <w:lang w:val="en-NZ"/>
              </w:rPr>
            </w:pPr>
            <w:r w:rsidRPr="00CD6C22">
              <w:rPr>
                <w:rStyle w:val="SpecialBold"/>
              </w:rPr>
              <w:t>Required knowledge</w:t>
            </w:r>
          </w:p>
        </w:tc>
      </w:tr>
      <w:tr w:rsidTr="00CD6C22">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CD6C22" w:rsidP="00CD6C22">
            <w:pPr>
              <w:pStyle w:val="ListBullet"/>
            </w:pPr>
            <w:r w:rsidRPr="00CD6C22">
              <w:t>commonwealth, state and territory, and local government legislation, regulations and codes of practice impacting on thermal performance assessment relating to:</w:t>
            </w:r>
          </w:p>
          <w:p w:rsidR="00000000" w:rsidRPr="00CD6C22" w:rsidP="00CD6C22">
            <w:pPr>
              <w:pStyle w:val="ListBullet2"/>
            </w:pPr>
            <w:r w:rsidRPr="00CD6C22">
              <w:t>anti-discrimination and equal opportunity</w:t>
            </w:r>
          </w:p>
          <w:p w:rsidR="00000000" w:rsidRPr="00CD6C22" w:rsidP="00CD6C22">
            <w:pPr>
              <w:pStyle w:val="ListBullet2"/>
            </w:pPr>
            <w:r w:rsidRPr="00CD6C22">
              <w:t>building and construction</w:t>
            </w:r>
          </w:p>
          <w:p w:rsidR="00000000" w:rsidRPr="00CD6C22" w:rsidP="00CD6C22">
            <w:pPr>
              <w:pStyle w:val="ListBullet2"/>
            </w:pPr>
            <w:r w:rsidRPr="00CD6C22">
              <w:t>building thermal performanc</w:t>
            </w:r>
            <w:r w:rsidRPr="00CD6C22">
              <w:t>e</w:t>
            </w:r>
          </w:p>
          <w:p w:rsidR="00000000" w:rsidRPr="00CD6C22" w:rsidP="00CD6C22">
            <w:pPr>
              <w:pStyle w:val="ListBullet2"/>
            </w:pPr>
            <w:r w:rsidRPr="00CD6C22">
              <w:t>environment protection</w:t>
            </w:r>
          </w:p>
          <w:p w:rsidR="00000000" w:rsidRPr="00CD6C22" w:rsidP="00CD6C22">
            <w:pPr>
              <w:pStyle w:val="ListBullet2"/>
            </w:pPr>
            <w:r w:rsidRPr="00CD6C22">
              <w:t>occupational licensing</w:t>
            </w:r>
          </w:p>
          <w:p w:rsidR="00000000" w:rsidRPr="00CD6C22" w:rsidP="00CD6C22">
            <w:pPr>
              <w:pStyle w:val="ListBullet2"/>
            </w:pPr>
            <w:r w:rsidRPr="00CD6C22">
              <w:t>privacy</w:t>
            </w:r>
          </w:p>
          <w:p w:rsidR="00000000" w:rsidRPr="00CD6C22" w:rsidP="00CD6C22">
            <w:pPr>
              <w:pStyle w:val="ListBullet2"/>
            </w:pPr>
            <w:r w:rsidRPr="00CD6C22">
              <w:t>sale and lease of property</w:t>
            </w:r>
          </w:p>
          <w:p w:rsidR="00000000" w:rsidRPr="00CD6C22" w:rsidP="00CD6C22">
            <w:pPr>
              <w:pStyle w:val="ListBullet2"/>
            </w:pPr>
            <w:r w:rsidRPr="00CD6C22">
              <w:t>work health and safety</w:t>
            </w:r>
          </w:p>
          <w:p w:rsidR="00000000" w:rsidRPr="00CD6C22" w:rsidP="00CD6C22">
            <w:pPr>
              <w:pStyle w:val="ListBullet"/>
            </w:pPr>
            <w:r w:rsidRPr="00CD6C22">
              <w:t>National Construction Code energy efficiency requirements</w:t>
            </w:r>
          </w:p>
          <w:p w:rsidR="00000000" w:rsidRPr="00CD6C22" w:rsidP="00CD6C22">
            <w:pPr>
              <w:pStyle w:val="ListBullet"/>
            </w:pPr>
            <w:r w:rsidRPr="00CD6C22">
              <w:t>NatHERS:</w:t>
            </w:r>
          </w:p>
          <w:p w:rsidR="00000000" w:rsidRPr="00CD6C22" w:rsidP="00CD6C22">
            <w:pPr>
              <w:pStyle w:val="ListBullet2"/>
            </w:pPr>
            <w:r w:rsidRPr="00CD6C22">
              <w:t>accredited software</w:t>
            </w:r>
          </w:p>
          <w:p w:rsidR="00000000" w:rsidRPr="00CD6C22" w:rsidP="00CD6C22">
            <w:pPr>
              <w:pStyle w:val="ListBullet2"/>
            </w:pPr>
            <w:r w:rsidRPr="00CD6C22">
              <w:t>administrative and governance arrangements</w:t>
            </w:r>
          </w:p>
          <w:p w:rsidR="00000000" w:rsidRPr="00CD6C22" w:rsidP="00CD6C22">
            <w:pPr>
              <w:pStyle w:val="ListBullet2"/>
            </w:pPr>
            <w:r w:rsidRPr="00CD6C22">
              <w:t>assessor accreditation</w:t>
            </w:r>
          </w:p>
          <w:p w:rsidR="00000000" w:rsidRPr="00CD6C22" w:rsidP="00CD6C22">
            <w:pPr>
              <w:pStyle w:val="ListBullet2"/>
            </w:pPr>
            <w:r w:rsidRPr="00CD6C22">
              <w:t>assessor accrediting organisations</w:t>
            </w:r>
          </w:p>
          <w:p w:rsidR="00000000" w:rsidRPr="00CD6C22" w:rsidP="00CD6C22">
            <w:pPr>
              <w:pStyle w:val="ListBullet2"/>
            </w:pPr>
            <w:r w:rsidRPr="00CD6C22">
              <w:t>regulatory framework</w:t>
            </w:r>
          </w:p>
          <w:p w:rsidR="00000000" w:rsidRPr="00CD6C22" w:rsidP="00CD6C22">
            <w:pPr>
              <w:pStyle w:val="ListBullet"/>
            </w:pPr>
            <w:r w:rsidRPr="00CD6C22">
              <w:t>organisation’s quality management system</w:t>
            </w:r>
          </w:p>
          <w:p w:rsidR="00000000" w:rsidRPr="00CD6C22" w:rsidP="00CD6C22">
            <w:pPr>
              <w:pStyle w:val="ListBullet"/>
            </w:pPr>
            <w:r w:rsidRPr="00CD6C22">
              <w:t>peer review:</w:t>
            </w:r>
          </w:p>
          <w:p w:rsidR="00000000" w:rsidRPr="00CD6C22" w:rsidP="00CD6C22">
            <w:pPr>
              <w:pStyle w:val="ListBullet2"/>
            </w:pPr>
            <w:r w:rsidRPr="00CD6C22">
              <w:t>individual and group peer review processes</w:t>
            </w:r>
          </w:p>
          <w:p w:rsidR="00000000" w:rsidRPr="00CD6C22" w:rsidP="00CD6C22">
            <w:pPr>
              <w:pStyle w:val="ListBullet2"/>
            </w:pPr>
            <w:r w:rsidRPr="00CD6C22">
              <w:t>organisational policy and procedures</w:t>
            </w:r>
          </w:p>
          <w:p w:rsidR="00000000" w:rsidRPr="00CD6C22" w:rsidP="00CD6C22">
            <w:pPr>
              <w:pStyle w:val="ListBullet2"/>
            </w:pPr>
            <w:r w:rsidRPr="00CD6C22">
              <w:t>principles of assessment</w:t>
            </w:r>
          </w:p>
          <w:p w:rsidR="00000000" w:rsidRPr="00CD6C22" w:rsidP="00CD6C22">
            <w:pPr>
              <w:pStyle w:val="ListBullet2"/>
            </w:pPr>
            <w:r w:rsidRPr="00CD6C22">
              <w:t>privacy and confi</w:t>
            </w:r>
            <w:r w:rsidRPr="00CD6C22">
              <w:t>dentiality</w:t>
            </w:r>
          </w:p>
          <w:p w:rsidR="00000000" w:rsidRPr="00CD6C22" w:rsidP="00CD6C22">
            <w:pPr>
              <w:pStyle w:val="ListBullet2"/>
            </w:pPr>
            <w:r w:rsidRPr="00CD6C22">
              <w:t>purpose of peer review</w:t>
            </w:r>
          </w:p>
          <w:p w:rsidR="00000000" w:rsidRPr="00CD6C22" w:rsidP="00CD6C22">
            <w:pPr>
              <w:pStyle w:val="ListBullet2"/>
            </w:pPr>
            <w:r w:rsidRPr="00CD6C22">
              <w:t>security of information</w:t>
            </w:r>
          </w:p>
        </w:tc>
      </w:tr>
    </w:tbl>
    <w:p w:rsidR="006878C5" w:rsidP="00CD6C22">
      <w:pPr>
        <w:pStyle w:val="BodyText"/>
      </w:pPr>
    </w:p>
    <w:p w:rsidR="006878C5" w:rsidP="00CD6C22">
      <w:pPr>
        <w:pStyle w:val="BodyText"/>
      </w:pPr>
    </w:p>
    <w:p w:rsidR="00000000" w:rsidRPr="00CD6C22" w:rsidP="00CD6C22">
      <w:pPr>
        <w:pStyle w:val="Heading1"/>
      </w:pPr>
      <w:bookmarkStart w:id="10" w:name="O_489883"/>
      <w:bookmarkEnd w:id="10"/>
      <w:r w:rsidRPr="00CD6C22">
        <w:t>Evidence Guide</w:t>
      </w:r>
    </w:p>
    <w:tbl>
      <w:tblPr>
        <w:tblW w:w="0" w:type="auto"/>
        <w:tblLayout w:type="fixed"/>
        <w:tblCellMar>
          <w:left w:w="62" w:type="dxa"/>
          <w:right w:w="62" w:type="dxa"/>
        </w:tblCellMar>
        <w:tblLook w:val="0000"/>
      </w:tblPr>
      <w:tblGrid>
        <w:gridCol w:w="2647"/>
        <w:gridCol w:w="6531"/>
      </w:tblGrid>
      <w:tr w:rsidTr="00CD6C22">
        <w:tblPrEx>
          <w:tblW w:w="0" w:type="auto"/>
          <w:tblLayout w:type="fixed"/>
          <w:tblCellMar>
            <w:left w:w="62" w:type="dxa"/>
            <w:right w:w="62" w:type="dxa"/>
          </w:tblCellMar>
          <w:tblLook w:val="0000"/>
        </w:tblPrEx>
        <w:tc>
          <w:tcPr>
            <w:tcW w:w="9178"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CD6C22">
            <w:pPr>
              <w:pStyle w:val="BodyText"/>
              <w:rPr>
                <w:lang w:val="en-NZ"/>
              </w:rPr>
            </w:pPr>
            <w:r w:rsidRPr="00CD6C22">
              <w:t xml:space="preserve">The evidence guide provides advice on assessment and must be read in conjunction with the performance criteria, required skills and knowledge, </w:t>
            </w:r>
            <w:r w:rsidRPr="00CD6C22">
              <w:t>range statement and the Assessment Guidelines for the Training Package.</w:t>
            </w:r>
          </w:p>
        </w:tc>
      </w:tr>
      <w:tr w:rsidTr="00CD6C22">
        <w:tblPrEx>
          <w:tblW w:w="0" w:type="auto"/>
          <w:tblLayout w:type="fixed"/>
          <w:tblCellMar>
            <w:left w:w="62" w:type="dxa"/>
            <w:right w:w="62" w:type="dxa"/>
          </w:tblCellMar>
          <w:tblLook w:val="0000"/>
        </w:tblPrEx>
        <w:tc>
          <w:tcPr>
            <w:tcW w:w="26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C22">
            <w:pPr>
              <w:pStyle w:val="BodyText"/>
              <w:rPr>
                <w:lang w:val="en-NZ"/>
              </w:rPr>
            </w:pPr>
            <w:r w:rsidRPr="00CD6C22">
              <w:rPr>
                <w:rStyle w:val="SpecialBold"/>
              </w:rPr>
              <w:t>Overview of assessment</w:t>
            </w:r>
          </w:p>
        </w:tc>
        <w:tc>
          <w:tcPr>
            <w:tcW w:w="6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C22">
            <w:pPr>
              <w:pStyle w:val="BodyText"/>
              <w:rPr>
                <w:lang w:val="en-NZ"/>
              </w:rPr>
            </w:pPr>
            <w:r w:rsidRPr="00CD6C22">
              <w:t>This unit of competency could be assessed by candidates conducting peer reviews of NatHERS assessments. This should include providing evidence of preparing for</w:t>
            </w:r>
            <w:r w:rsidRPr="00CD6C22">
              <w:t xml:space="preserve"> peer reviews, conducting peer reviews, and recording and reporting the outcomes of reviews.</w:t>
            </w:r>
          </w:p>
        </w:tc>
      </w:tr>
      <w:tr w:rsidTr="00CD6C22">
        <w:tblPrEx>
          <w:tblW w:w="0" w:type="auto"/>
          <w:tblLayout w:type="fixed"/>
          <w:tblCellMar>
            <w:left w:w="62" w:type="dxa"/>
            <w:right w:w="62" w:type="dxa"/>
          </w:tblCellMar>
          <w:tblLook w:val="0000"/>
        </w:tblPrEx>
        <w:tc>
          <w:tcPr>
            <w:tcW w:w="26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C22">
            <w:pPr>
              <w:pStyle w:val="BodyText"/>
              <w:rPr>
                <w:lang w:val="en-NZ"/>
              </w:rPr>
            </w:pPr>
            <w:r w:rsidRPr="00CD6C22">
              <w:rPr>
                <w:rStyle w:val="SpecialBold"/>
              </w:rPr>
              <w:t>Critical aspects for assessment and evidence required to demonstrate competency in this unit</w:t>
            </w:r>
          </w:p>
        </w:tc>
        <w:tc>
          <w:tcPr>
            <w:tcW w:w="6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C22" w:rsidP="00CD6C22">
            <w:pPr>
              <w:pStyle w:val="BodyText"/>
            </w:pPr>
            <w:r w:rsidRPr="00CD6C22">
              <w:t>A person should demonstrate the ability to:</w:t>
            </w:r>
          </w:p>
          <w:p w:rsidR="00000000" w:rsidRPr="00CD6C22" w:rsidP="00CD6C22">
            <w:pPr>
              <w:pStyle w:val="ListBullet"/>
            </w:pPr>
            <w:r w:rsidRPr="00CD6C22">
              <w:t>prepare for the peer review, including identifying the risks associated with the building design assessed by the candidate to determine areas of data to be reviewed</w:t>
            </w:r>
          </w:p>
          <w:p w:rsidR="00000000" w:rsidRPr="00CD6C22" w:rsidP="00CD6C22">
            <w:pPr>
              <w:pStyle w:val="ListBullet"/>
            </w:pPr>
            <w:r w:rsidRPr="00CD6C22">
              <w:t>conduct a peer review process, on an individual basis or in a panel situation, and make a p</w:t>
            </w:r>
            <w:r w:rsidRPr="00CD6C22">
              <w:t>rofessional judgement on a NatHERS assessment</w:t>
            </w:r>
          </w:p>
          <w:p w:rsidR="00000000" w:rsidRPr="00CD6C22" w:rsidP="00CD6C22">
            <w:pPr>
              <w:pStyle w:val="ListBullet"/>
            </w:pPr>
            <w:r w:rsidRPr="00CD6C22">
              <w:t>provide the outcomes of the peer review process and feedback for the candidate</w:t>
            </w:r>
          </w:p>
          <w:p w:rsidR="00000000" w:rsidRPr="00CD6C22" w:rsidP="00CD6C22">
            <w:pPr>
              <w:pStyle w:val="ListBullet"/>
            </w:pPr>
            <w:r w:rsidRPr="00CD6C22">
              <w:t>evaluate the peer review process with a view to indicating aspects for future improvement</w:t>
            </w:r>
          </w:p>
          <w:p w:rsidR="00000000" w:rsidP="00CD6C22">
            <w:pPr>
              <w:pStyle w:val="ListBullet"/>
              <w:rPr>
                <w:lang w:val="en-NZ"/>
              </w:rPr>
            </w:pPr>
            <w:r w:rsidRPr="00CD6C22">
              <w:t>demonstrate knowledge of organisation’s p</w:t>
            </w:r>
            <w:r w:rsidRPr="00CD6C22">
              <w:t>eer review policy and procedures.</w:t>
            </w:r>
          </w:p>
        </w:tc>
      </w:tr>
      <w:tr w:rsidTr="00CD6C22">
        <w:tblPrEx>
          <w:tblW w:w="0" w:type="auto"/>
          <w:tblLayout w:type="fixed"/>
          <w:tblCellMar>
            <w:left w:w="62" w:type="dxa"/>
            <w:right w:w="62" w:type="dxa"/>
          </w:tblCellMar>
          <w:tblLook w:val="0000"/>
        </w:tblPrEx>
        <w:tc>
          <w:tcPr>
            <w:tcW w:w="26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C22">
            <w:pPr>
              <w:pStyle w:val="BodyText"/>
              <w:rPr>
                <w:lang w:val="en-NZ"/>
              </w:rPr>
            </w:pPr>
            <w:r w:rsidRPr="00CD6C22">
              <w:rPr>
                <w:rStyle w:val="SpecialBold"/>
              </w:rPr>
              <w:t>Context of and specific resources for assessment</w:t>
            </w:r>
          </w:p>
        </w:tc>
        <w:tc>
          <w:tcPr>
            <w:tcW w:w="6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C22" w:rsidP="00CD6C22">
            <w:pPr>
              <w:pStyle w:val="BodyText"/>
            </w:pPr>
            <w:r w:rsidRPr="00CD6C22">
              <w:t>Assessment of this unit:</w:t>
            </w:r>
          </w:p>
          <w:p w:rsidR="00000000" w:rsidRPr="00CD6C22" w:rsidP="00CD6C22">
            <w:pPr>
              <w:pStyle w:val="ListBullet"/>
            </w:pPr>
            <w:r w:rsidRPr="00CD6C22">
              <w:t>must be in the context of the work environment</w:t>
            </w:r>
          </w:p>
          <w:p w:rsidR="00000000" w:rsidRPr="00CD6C22" w:rsidP="00CD6C22">
            <w:pPr>
              <w:pStyle w:val="ListBullet"/>
            </w:pPr>
            <w:r w:rsidRPr="00CD6C22">
              <w:t>may be conducted in an off-site context, provided it is realistic and sufficiently rigorous to cover</w:t>
            </w:r>
            <w:r w:rsidRPr="00CD6C22">
              <w:t xml:space="preserve"> all aspects of workplace performance, including task skills, task management skills, contingency management skills and job role environment skills</w:t>
            </w:r>
          </w:p>
          <w:p w:rsidR="00000000" w:rsidRPr="00CD6C22" w:rsidP="00CD6C22">
            <w:pPr>
              <w:pStyle w:val="ListBullet"/>
            </w:pPr>
            <w:r w:rsidRPr="00CD6C22">
              <w:t>must meet relevant compliance requirements.</w:t>
            </w:r>
          </w:p>
          <w:p w:rsidR="00000000" w:rsidRPr="00CD6C22" w:rsidP="00CD6C22">
            <w:pPr>
              <w:pStyle w:val="BodyText"/>
            </w:pPr>
            <w:r w:rsidRPr="00CD6C22">
              <w:t>Resource implications for assessment include:</w:t>
            </w:r>
          </w:p>
          <w:p w:rsidR="00000000" w:rsidRPr="00CD6C22" w:rsidP="00CD6C22">
            <w:pPr>
              <w:pStyle w:val="ListBullet"/>
            </w:pPr>
            <w:r w:rsidRPr="00CD6C22">
              <w:t>relevant codes, st</w:t>
            </w:r>
            <w:r w:rsidRPr="00CD6C22">
              <w:t>andards and government regulations</w:t>
            </w:r>
          </w:p>
          <w:p w:rsidR="00000000" w:rsidRPr="00CD6C22" w:rsidP="00CD6C22">
            <w:pPr>
              <w:pStyle w:val="ListBullet"/>
            </w:pPr>
            <w:r w:rsidRPr="00CD6C22">
              <w:t>computer equipment suitable for preparing reports and accessing information relevant to the peer assessment process</w:t>
            </w:r>
          </w:p>
          <w:p w:rsidR="00000000" w:rsidP="00CD6C22">
            <w:pPr>
              <w:pStyle w:val="ListBullet"/>
              <w:rPr>
                <w:lang w:val="en-NZ"/>
              </w:rPr>
            </w:pPr>
            <w:r w:rsidRPr="00CD6C22">
              <w:t>technical reference library with current publications on peer review and the administrative and governanc</w:t>
            </w:r>
            <w:r w:rsidRPr="00CD6C22">
              <w:t>e arrangements for NatHERS.</w:t>
            </w:r>
          </w:p>
        </w:tc>
      </w:tr>
      <w:tr w:rsidTr="00CD6C22">
        <w:tblPrEx>
          <w:tblW w:w="0" w:type="auto"/>
          <w:tblLayout w:type="fixed"/>
          <w:tblCellMar>
            <w:left w:w="62" w:type="dxa"/>
            <w:right w:w="62" w:type="dxa"/>
          </w:tblCellMar>
          <w:tblLook w:val="0000"/>
        </w:tblPrEx>
        <w:tc>
          <w:tcPr>
            <w:tcW w:w="26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C22">
            <w:pPr>
              <w:pStyle w:val="BodyText"/>
              <w:rPr>
                <w:lang w:val="en-NZ"/>
              </w:rPr>
            </w:pPr>
            <w:r w:rsidRPr="00CD6C22">
              <w:rPr>
                <w:rStyle w:val="SpecialBold"/>
              </w:rPr>
              <w:t>Method of assessment</w:t>
            </w:r>
          </w:p>
        </w:tc>
        <w:tc>
          <w:tcPr>
            <w:tcW w:w="6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C22" w:rsidP="00CD6C22">
            <w:pPr>
              <w:pStyle w:val="BodyText"/>
            </w:pPr>
            <w:r w:rsidRPr="00CD6C22">
              <w:t>Assessment for this unit must verify the practical application of the required skills and knowledge, using one or more of the following methods:</w:t>
            </w:r>
          </w:p>
          <w:p w:rsidR="00000000" w:rsidRPr="00CD6C22" w:rsidP="00CD6C22">
            <w:pPr>
              <w:pStyle w:val="ListBullet"/>
            </w:pPr>
            <w:r w:rsidRPr="00CD6C22">
              <w:t>written and/or oral assessment</w:t>
            </w:r>
          </w:p>
          <w:p w:rsidR="00000000" w:rsidP="00CD6C22">
            <w:pPr>
              <w:pStyle w:val="ListBullet"/>
              <w:rPr>
                <w:lang w:val="en-NZ"/>
              </w:rPr>
            </w:pPr>
            <w:r w:rsidRPr="00CD6C22">
              <w:t>obser</w:t>
            </w:r>
            <w:r w:rsidRPr="00CD6C22">
              <w:t>ved, documented and/or first-hand testimonial evidence of the candidate conducting peer reviews of NatHERS assessments.</w:t>
            </w:r>
          </w:p>
        </w:tc>
      </w:tr>
      <w:tr w:rsidTr="00CD6C22">
        <w:tblPrEx>
          <w:tblW w:w="0" w:type="auto"/>
          <w:tblLayout w:type="fixed"/>
          <w:tblCellMar>
            <w:left w:w="62" w:type="dxa"/>
            <w:right w:w="62" w:type="dxa"/>
          </w:tblCellMar>
          <w:tblLook w:val="0000"/>
        </w:tblPrEx>
        <w:tc>
          <w:tcPr>
            <w:tcW w:w="26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C22">
            <w:pPr>
              <w:pStyle w:val="BodyText"/>
              <w:rPr>
                <w:lang w:val="en-NZ"/>
              </w:rPr>
            </w:pPr>
            <w:r w:rsidRPr="00CD6C22">
              <w:rPr>
                <w:rStyle w:val="SpecialBold"/>
              </w:rPr>
              <w:t>Guidance information for assessment</w:t>
            </w:r>
          </w:p>
        </w:tc>
        <w:tc>
          <w:tcPr>
            <w:tcW w:w="6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C22" w:rsidP="00CD6C22">
            <w:pPr>
              <w:pStyle w:val="BodyText"/>
            </w:pPr>
            <w:r w:rsidRPr="00CD6C22">
              <w:t>This unit could be assessed on its own or in combination with other units relevant to the job funct</w:t>
            </w:r>
            <w:r w:rsidRPr="00CD6C22">
              <w:t>ion.</w:t>
            </w:r>
          </w:p>
          <w:p w:rsidR="00000000" w:rsidRPr="00CD6C22" w:rsidP="00CD6C22">
            <w:pPr>
              <w:pStyle w:val="BodyText"/>
            </w:pPr>
            <w:r w:rsidRPr="00CD6C22">
              <w:t>Reasonable adjustments for people with disabilities must be made to assessment processes where required. This could include access to modified equipment and other physical resources, and the provision of appropriate assessment support.</w:t>
            </w:r>
          </w:p>
          <w:p w:rsidR="00000000" w:rsidRPr="00CD6C22" w:rsidP="00CD6C22">
            <w:pPr>
              <w:pStyle w:val="BodyText"/>
            </w:pPr>
            <w:r w:rsidRPr="00CD6C22">
              <w:t>Assessment proc</w:t>
            </w:r>
            <w:r w:rsidRPr="00CD6C22">
              <w:t>esses and techniques should, as far as is practical, take into account the language, literacy and numeracy capacity of the candidate in relation to the competency being assessed.</w:t>
            </w:r>
          </w:p>
        </w:tc>
      </w:tr>
    </w:tbl>
    <w:p w:rsidR="006878C5" w:rsidP="00CD6C22">
      <w:pPr>
        <w:pStyle w:val="BodyText"/>
      </w:pPr>
    </w:p>
    <w:p w:rsidR="006878C5" w:rsidP="00CD6C22">
      <w:pPr>
        <w:pStyle w:val="BodyText"/>
      </w:pPr>
    </w:p>
    <w:p w:rsidR="00000000" w:rsidRPr="00CD6C22" w:rsidP="00CD6C22">
      <w:pPr>
        <w:pStyle w:val="Heading1"/>
      </w:pPr>
      <w:bookmarkStart w:id="11" w:name="O_489884"/>
      <w:bookmarkEnd w:id="11"/>
      <w:r w:rsidRPr="00CD6C22">
        <w:t>Range Statement</w:t>
      </w:r>
    </w:p>
    <w:tbl>
      <w:tblPr>
        <w:tblW w:w="0" w:type="auto"/>
        <w:tblLayout w:type="fixed"/>
        <w:tblCellMar>
          <w:left w:w="62" w:type="dxa"/>
          <w:right w:w="62" w:type="dxa"/>
        </w:tblCellMar>
        <w:tblLook w:val="0000"/>
      </w:tblPr>
      <w:tblGrid>
        <w:gridCol w:w="2633"/>
        <w:gridCol w:w="6545"/>
      </w:tblGrid>
      <w:tr w:rsidTr="00CD6C22">
        <w:tblPrEx>
          <w:tblW w:w="0" w:type="auto"/>
          <w:tblLayout w:type="fixed"/>
          <w:tblCellMar>
            <w:left w:w="62" w:type="dxa"/>
            <w:right w:w="62" w:type="dxa"/>
          </w:tblCellMar>
          <w:tblLook w:val="0000"/>
        </w:tblPrEx>
        <w:tc>
          <w:tcPr>
            <w:tcW w:w="9178"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CD6C22">
            <w:pPr>
              <w:pStyle w:val="BodyText"/>
              <w:rPr>
                <w:lang w:val="en-NZ"/>
              </w:rPr>
            </w:pPr>
            <w:r w:rsidRPr="00CD6C22">
              <w:t>The range statement relates to the unit o</w:t>
            </w:r>
            <w:r w:rsidRPr="00CD6C22">
              <w:t>f competency as a whole. It allows for different work environments and situations that may affect performance. Bold italicised wording, if used in the performance criteria, is detailed below. Essential operating conditions that may be present with training</w:t>
            </w:r>
            <w:r w:rsidRPr="00CD6C22">
              <w:t xml:space="preserve"> and assessment (depending on the work situation, needs of the candidate, accessibility of the item, and local industry and regional contexts) may also be included.</w:t>
            </w:r>
          </w:p>
        </w:tc>
      </w:tr>
      <w:tr w:rsidTr="00CD6C22">
        <w:tblPrEx>
          <w:tblW w:w="0" w:type="auto"/>
          <w:tblLayout w:type="fixed"/>
          <w:tblCellMar>
            <w:left w:w="62" w:type="dxa"/>
            <w:right w:w="62" w:type="dxa"/>
          </w:tblCellMar>
          <w:tblLook w:val="0000"/>
        </w:tblPrEx>
        <w:tc>
          <w:tcPr>
            <w:tcW w:w="26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C22">
            <w:pPr>
              <w:pStyle w:val="BodyText"/>
              <w:rPr>
                <w:lang w:val="en-NZ"/>
              </w:rPr>
            </w:pPr>
            <w:r w:rsidRPr="00CD6C22">
              <w:rPr>
                <w:rStyle w:val="BoldandItalics"/>
              </w:rPr>
              <w:t>Peer review</w:t>
            </w:r>
            <w:r w:rsidRPr="00CD6C22">
              <w:t xml:space="preserve"> may include:</w:t>
            </w:r>
          </w:p>
        </w:tc>
        <w:tc>
          <w:tcPr>
            <w:tcW w:w="6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C22" w:rsidP="00CD6C22">
            <w:pPr>
              <w:pStyle w:val="ListBullet"/>
            </w:pPr>
            <w:r w:rsidRPr="00CD6C22">
              <w:t>group process</w:t>
            </w:r>
          </w:p>
          <w:p w:rsidR="00000000" w:rsidP="00CD6C22">
            <w:pPr>
              <w:pStyle w:val="ListBullet"/>
              <w:rPr>
                <w:lang w:val="en-NZ"/>
              </w:rPr>
            </w:pPr>
            <w:r w:rsidRPr="00CD6C22">
              <w:t>individual process.</w:t>
            </w:r>
          </w:p>
        </w:tc>
      </w:tr>
      <w:tr w:rsidTr="00CD6C22">
        <w:tblPrEx>
          <w:tblW w:w="0" w:type="auto"/>
          <w:tblLayout w:type="fixed"/>
          <w:tblCellMar>
            <w:left w:w="62" w:type="dxa"/>
            <w:right w:w="62" w:type="dxa"/>
          </w:tblCellMar>
          <w:tblLook w:val="0000"/>
        </w:tblPrEx>
        <w:tc>
          <w:tcPr>
            <w:tcW w:w="26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C22">
            <w:pPr>
              <w:pStyle w:val="BodyText"/>
              <w:rPr>
                <w:lang w:val="en-NZ"/>
              </w:rPr>
            </w:pPr>
            <w:r w:rsidRPr="00CD6C22">
              <w:rPr>
                <w:rStyle w:val="BoldandItalics"/>
              </w:rPr>
              <w:t>Specialist support</w:t>
            </w:r>
            <w:r w:rsidRPr="00CD6C22">
              <w:t xml:space="preserve"> may include:</w:t>
            </w:r>
          </w:p>
        </w:tc>
        <w:tc>
          <w:tcPr>
            <w:tcW w:w="6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C22" w:rsidP="00CD6C22">
            <w:pPr>
              <w:pStyle w:val="ListBullet"/>
            </w:pPr>
            <w:r w:rsidRPr="00CD6C22">
              <w:t>NatHERS assessors</w:t>
            </w:r>
          </w:p>
          <w:p w:rsidR="00000000" w:rsidRPr="00CD6C22" w:rsidP="00CD6C22">
            <w:pPr>
              <w:pStyle w:val="ListBullet"/>
            </w:pPr>
            <w:r w:rsidRPr="00CD6C22">
              <w:t>policy development experts</w:t>
            </w:r>
          </w:p>
          <w:p w:rsidR="00000000" w:rsidRPr="00CD6C22" w:rsidP="00CD6C22">
            <w:pPr>
              <w:pStyle w:val="ListBullet"/>
            </w:pPr>
            <w:r w:rsidRPr="00CD6C22">
              <w:t>regulatory authorities</w:t>
            </w:r>
          </w:p>
          <w:p w:rsidR="00000000" w:rsidRPr="00CD6C22" w:rsidP="00CD6C22">
            <w:pPr>
              <w:pStyle w:val="ListBullet"/>
            </w:pPr>
            <w:r w:rsidRPr="00CD6C22">
              <w:t>subject matter experts on:</w:t>
            </w:r>
          </w:p>
          <w:p w:rsidR="00000000" w:rsidRPr="00CD6C22" w:rsidP="00CD6C22">
            <w:pPr>
              <w:pStyle w:val="ListBullet"/>
            </w:pPr>
            <w:r w:rsidRPr="00CD6C22">
              <w:t>energy efficiency</w:t>
            </w:r>
          </w:p>
          <w:p w:rsidR="00000000" w:rsidP="00CD6C22">
            <w:pPr>
              <w:pStyle w:val="ListBullet"/>
              <w:rPr>
                <w:lang w:val="en-NZ"/>
              </w:rPr>
            </w:pPr>
            <w:r w:rsidRPr="00CD6C22">
              <w:t>building and construction.</w:t>
            </w:r>
          </w:p>
        </w:tc>
      </w:tr>
      <w:tr w:rsidTr="00CD6C22">
        <w:tblPrEx>
          <w:tblW w:w="0" w:type="auto"/>
          <w:tblLayout w:type="fixed"/>
          <w:tblCellMar>
            <w:left w:w="62" w:type="dxa"/>
            <w:right w:w="62" w:type="dxa"/>
          </w:tblCellMar>
          <w:tblLook w:val="0000"/>
        </w:tblPrEx>
        <w:tc>
          <w:tcPr>
            <w:tcW w:w="26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C22">
            <w:pPr>
              <w:pStyle w:val="BodyText"/>
              <w:rPr>
                <w:lang w:val="en-NZ"/>
              </w:rPr>
            </w:pPr>
            <w:r w:rsidRPr="00CD6C22">
              <w:rPr>
                <w:rStyle w:val="BoldandItalics"/>
              </w:rPr>
              <w:t>Feedback</w:t>
            </w:r>
            <w:r w:rsidRPr="00CD6C22">
              <w:t xml:space="preserve"> may include:</w:t>
            </w:r>
          </w:p>
        </w:tc>
        <w:tc>
          <w:tcPr>
            <w:tcW w:w="6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C22" w:rsidP="00CD6C22">
            <w:pPr>
              <w:pStyle w:val="ListBullet"/>
            </w:pPr>
            <w:r w:rsidRPr="00CD6C22">
              <w:t>discussion of assessment approach</w:t>
            </w:r>
          </w:p>
          <w:p w:rsidR="00000000" w:rsidRPr="00CD6C22" w:rsidP="00CD6C22">
            <w:pPr>
              <w:pStyle w:val="ListBullet"/>
            </w:pPr>
            <w:r w:rsidRPr="00CD6C22">
              <w:t>negotiation of agreed assessment procedures for the assessment.</w:t>
            </w:r>
          </w:p>
        </w:tc>
      </w:tr>
    </w:tbl>
    <w:p w:rsidR="006878C5" w:rsidP="00CD6C22">
      <w:pPr>
        <w:pStyle w:val="BodyText"/>
      </w:pPr>
    </w:p>
    <w:p w:rsidR="006878C5" w:rsidP="00CD6C22">
      <w:pPr>
        <w:pStyle w:val="BodyText"/>
      </w:pPr>
    </w:p>
    <w:p w:rsidR="00000000" w:rsidRPr="00CD6C22" w:rsidP="00CD6C22">
      <w:pPr>
        <w:pStyle w:val="Heading1"/>
      </w:pPr>
      <w:bookmarkStart w:id="12" w:name="O_489885"/>
      <w:bookmarkEnd w:id="12"/>
      <w:r w:rsidRPr="00CD6C22">
        <w:t>Unit Sector(s)</w:t>
      </w:r>
    </w:p>
    <w:p w:rsidR="00000000" w:rsidRPr="00CD6C22" w:rsidP="00CD6C22">
      <w:pPr>
        <w:pStyle w:val="BodyText"/>
      </w:pPr>
      <w:r w:rsidRPr="00CD6C22">
        <w:t>Home sustainability assessment</w:t>
      </w:r>
    </w:p>
    <w:p w:rsidR="00000000" w:rsidRPr="00CD6C22" w:rsidP="00CD6C22">
      <w:pPr>
        <w:pStyle w:val="AllowPageBreak"/>
      </w:pPr>
    </w:p>
    <w:p w:rsidR="00000000" w:rsidRPr="00CD6C22" w:rsidP="00CD6C22">
      <w:pPr>
        <w:pStyle w:val="Heading1"/>
      </w:pPr>
      <w:bookmarkStart w:id="13" w:name="O_489886"/>
      <w:bookmarkEnd w:id="13"/>
      <w:r w:rsidRPr="00CD6C22">
        <w:t>Custom Content Section</w:t>
      </w:r>
    </w:p>
    <w:p w:rsidR="00000000" w:rsidRPr="00CD6C22" w:rsidP="00CD6C22">
      <w:pPr>
        <w:pStyle w:val="BodyText"/>
      </w:pPr>
      <w:r w:rsidRPr="00CD6C22">
        <w:t>Not applicable.</w:t>
      </w:r>
    </w:p>
    <w:p w:rsidR="00000000" w:rsidRPr="00CD6C22" w:rsidP="00CD6C22"/>
    <w:sectPr w:rsidSect="00CD6C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C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78C5" w:rsidP="006878C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C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8C5" w:rsidP="00CD6C2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878C5" w:rsidP="00CD6C2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878C5" w:rsidP="00CD6C2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C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C22" w:rsidRPr="006878C5" w:rsidP="006878C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C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8C5" w:rsidRPr="002D2AF8" w:rsidP="00CD6C22">
    <w:pPr>
      <w:pStyle w:val="Header"/>
      <w:framePr w:wrap="around"/>
    </w:pPr>
    <w:r>
      <w:fldChar w:fldCharType="begin"/>
    </w:r>
    <w:r>
      <w:instrText xml:space="preserve"> TITLE   \* MERGEFORMAT </w:instrText>
    </w:r>
    <w:r>
      <w:fldChar w:fldCharType="separate"/>
    </w:r>
    <w:r>
      <w:t>CPPHSA5005A Peer review NatHERS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October 2012</w:t>
    </w:r>
    <w:r>
      <w:fldChar w:fldCharType="end"/>
    </w:r>
  </w:p>
  <w:p w:rsidR="006878C5" w:rsidP="00CD6C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CC71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DE7F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9AF5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C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6C22"/>
    <w:pPr>
      <w:spacing w:before="360" w:after="60"/>
      <w:outlineLvl w:val="0"/>
    </w:pPr>
    <w:rPr>
      <w:sz w:val="32"/>
    </w:rPr>
  </w:style>
  <w:style w:type="paragraph" w:styleId="Heading2">
    <w:name w:val="heading 2"/>
    <w:basedOn w:val="HeadingBase"/>
    <w:next w:val="BodyText"/>
    <w:link w:val="Heading2Char"/>
    <w:qFormat/>
    <w:rsid w:val="00CD6C22"/>
    <w:pPr>
      <w:keepLines/>
      <w:spacing w:before="240" w:after="120"/>
      <w:outlineLvl w:val="1"/>
    </w:pPr>
    <w:rPr>
      <w:sz w:val="28"/>
      <w:szCs w:val="40"/>
    </w:rPr>
  </w:style>
  <w:style w:type="paragraph" w:styleId="Heading3">
    <w:name w:val="heading 3"/>
    <w:basedOn w:val="HeadingBase"/>
    <w:next w:val="BodyText"/>
    <w:link w:val="Heading3Char"/>
    <w:qFormat/>
    <w:rsid w:val="00CD6C22"/>
    <w:pPr>
      <w:spacing w:before="180" w:after="120"/>
      <w:outlineLvl w:val="2"/>
    </w:pPr>
    <w:rPr>
      <w:spacing w:val="-10"/>
      <w:kern w:val="32"/>
    </w:rPr>
  </w:style>
  <w:style w:type="paragraph" w:styleId="Heading4">
    <w:name w:val="heading 4"/>
    <w:basedOn w:val="HeadingBase"/>
    <w:next w:val="BodyText"/>
    <w:link w:val="Heading4Char"/>
    <w:qFormat/>
    <w:rsid w:val="00CD6C22"/>
    <w:pPr>
      <w:spacing w:before="160" w:after="120"/>
      <w:outlineLvl w:val="3"/>
    </w:pPr>
    <w:rPr>
      <w:sz w:val="22"/>
    </w:rPr>
  </w:style>
  <w:style w:type="paragraph" w:styleId="Heading5">
    <w:name w:val="heading 5"/>
    <w:basedOn w:val="HeadingBase"/>
    <w:next w:val="Normal"/>
    <w:link w:val="Heading5Char"/>
    <w:qFormat/>
    <w:rsid w:val="00CD6C22"/>
    <w:pPr>
      <w:spacing w:before="80"/>
      <w:outlineLvl w:val="4"/>
    </w:pPr>
    <w:rPr>
      <w:color w:val="918585"/>
      <w:sz w:val="20"/>
    </w:rPr>
  </w:style>
  <w:style w:type="paragraph" w:styleId="Heading6">
    <w:name w:val="heading 6"/>
    <w:basedOn w:val="HeadingBase"/>
    <w:next w:val="Normal"/>
    <w:link w:val="Heading6Char"/>
    <w:qFormat/>
    <w:rsid w:val="00CD6C22"/>
    <w:pPr>
      <w:spacing w:before="60"/>
      <w:outlineLvl w:val="5"/>
    </w:pPr>
    <w:rPr>
      <w:color w:val="918585"/>
      <w:sz w:val="20"/>
    </w:rPr>
  </w:style>
  <w:style w:type="paragraph" w:styleId="Heading7">
    <w:name w:val="heading 7"/>
    <w:basedOn w:val="Normal"/>
    <w:next w:val="Normal"/>
    <w:link w:val="Heading7Char"/>
    <w:qFormat/>
    <w:rsid w:val="00CD6C22"/>
    <w:pPr>
      <w:ind w:left="720"/>
      <w:outlineLvl w:val="6"/>
    </w:pPr>
    <w:rPr>
      <w:i/>
    </w:rPr>
  </w:style>
  <w:style w:type="paragraph" w:styleId="Heading8">
    <w:name w:val="heading 8"/>
    <w:basedOn w:val="Normal"/>
    <w:next w:val="Normal"/>
    <w:link w:val="Heading8Char"/>
    <w:qFormat/>
    <w:rsid w:val="00CD6C22"/>
    <w:pPr>
      <w:ind w:left="720"/>
      <w:outlineLvl w:val="7"/>
    </w:pPr>
    <w:rPr>
      <w:i/>
    </w:rPr>
  </w:style>
  <w:style w:type="paragraph" w:styleId="Heading9">
    <w:name w:val="heading 9"/>
    <w:basedOn w:val="Normal"/>
    <w:next w:val="Normal"/>
    <w:link w:val="Heading9Char"/>
    <w:qFormat/>
    <w:rsid w:val="00CD6C22"/>
    <w:pPr>
      <w:ind w:left="720"/>
      <w:outlineLvl w:val="8"/>
    </w:pPr>
    <w:rPr>
      <w:i/>
    </w:rPr>
  </w:style>
  <w:style w:type="character" w:default="1" w:styleId="DefaultParagraphFont">
    <w:name w:val="Default Paragraph Font"/>
    <w:uiPriority w:val="1"/>
    <w:unhideWhenUsed/>
    <w:rsid w:val="00CD6C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6C22"/>
  </w:style>
  <w:style w:type="character" w:customStyle="1" w:styleId="Heading1Char">
    <w:name w:val="Heading 1 Char"/>
    <w:basedOn w:val="DefaultParagraphFont"/>
    <w:link w:val="Heading1"/>
    <w:rsid w:val="00CD6C22"/>
    <w:rPr>
      <w:rFonts w:ascii="Times New Roman" w:eastAsia="Times New Roman" w:hAnsi="Times New Roman" w:cs="Times New Roman"/>
      <w:b/>
      <w:sz w:val="32"/>
      <w:szCs w:val="20"/>
      <w:lang w:eastAsia="en-US"/>
    </w:rPr>
  </w:style>
  <w:style w:type="paragraph" w:styleId="BodyText">
    <w:name w:val="Body Text"/>
    <w:basedOn w:val="Normal"/>
    <w:link w:val="BodyTextChar"/>
    <w:rsid w:val="00CD6C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6C22"/>
    <w:rPr>
      <w:rFonts w:ascii="Times New Roman" w:eastAsia="Times New Roman" w:hAnsi="Times New Roman" w:cs="Times New Roman"/>
      <w:sz w:val="24"/>
      <w:lang w:eastAsia="en-US"/>
    </w:rPr>
  </w:style>
  <w:style w:type="paragraph" w:styleId="Footer">
    <w:name w:val="footer"/>
    <w:basedOn w:val="Normal"/>
    <w:link w:val="FooterChar"/>
    <w:rsid w:val="00CD6C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6C22"/>
    <w:rPr>
      <w:rFonts w:ascii="Times New Roman" w:eastAsia="Times New Roman" w:hAnsi="Times New Roman" w:cs="Times New Roman"/>
      <w:sz w:val="16"/>
      <w:lang w:eastAsia="en-US"/>
    </w:rPr>
  </w:style>
  <w:style w:type="paragraph" w:styleId="ListBullet">
    <w:name w:val="List Bullet"/>
    <w:basedOn w:val="List"/>
    <w:rsid w:val="00CD6C22"/>
    <w:pPr>
      <w:numPr>
        <w:numId w:val="13"/>
      </w:numPr>
      <w:tabs>
        <w:tab w:val="clear" w:pos="340"/>
      </w:tabs>
      <w:spacing w:before="40" w:after="40"/>
    </w:pPr>
  </w:style>
  <w:style w:type="character" w:customStyle="1" w:styleId="SpecialBold">
    <w:name w:val="Special Bold"/>
    <w:basedOn w:val="DefaultParagraphFont"/>
    <w:rsid w:val="00CD6C22"/>
    <w:rPr>
      <w:b/>
      <w:spacing w:val="0"/>
    </w:rPr>
  </w:style>
  <w:style w:type="paragraph" w:styleId="ListBullet2">
    <w:name w:val="List Bullet 2"/>
    <w:basedOn w:val="List2"/>
    <w:rsid w:val="00CD6C22"/>
    <w:pPr>
      <w:numPr>
        <w:numId w:val="14"/>
      </w:numPr>
      <w:tabs>
        <w:tab w:val="clear" w:pos="680"/>
      </w:tabs>
    </w:pPr>
  </w:style>
  <w:style w:type="paragraph" w:customStyle="1" w:styleId="SuperHeading">
    <w:name w:val="SuperHeading"/>
    <w:basedOn w:val="Normal"/>
    <w:rsid w:val="00CD6C22"/>
    <w:pPr>
      <w:spacing w:before="240" w:after="120"/>
      <w:outlineLvl w:val="0"/>
    </w:pPr>
    <w:rPr>
      <w:rFonts w:ascii="Times New Roman" w:hAnsi="Times New Roman"/>
      <w:b/>
      <w:sz w:val="28"/>
    </w:rPr>
  </w:style>
  <w:style w:type="paragraph" w:customStyle="1" w:styleId="AllowPageBreak">
    <w:name w:val="AllowPageBreak"/>
    <w:rsid w:val="00CD6C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D6C22"/>
    <w:rPr>
      <w:b/>
      <w:i/>
      <w:u w:val="none"/>
    </w:rPr>
  </w:style>
  <w:style w:type="character" w:customStyle="1" w:styleId="Heading2Char">
    <w:name w:val="Heading 2 Char"/>
    <w:basedOn w:val="DefaultParagraphFont"/>
    <w:link w:val="Heading2"/>
    <w:rsid w:val="00CD6C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6C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6C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6C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6C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6C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6C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6C22"/>
    <w:rPr>
      <w:rFonts w:ascii="Courier New" w:eastAsia="Times New Roman" w:hAnsi="Courier New" w:cs="Times New Roman"/>
      <w:i/>
      <w:szCs w:val="20"/>
      <w:lang w:eastAsia="en-US"/>
    </w:rPr>
  </w:style>
  <w:style w:type="paragraph" w:customStyle="1" w:styleId="HeadingBase">
    <w:name w:val="Heading Base"/>
    <w:rsid w:val="00CD6C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6C22"/>
    <w:pPr>
      <w:tabs>
        <w:tab w:val="right" w:leader="dot" w:pos="9072"/>
      </w:tabs>
      <w:ind w:left="567"/>
    </w:pPr>
    <w:rPr>
      <w:szCs w:val="22"/>
    </w:rPr>
  </w:style>
  <w:style w:type="paragraph" w:customStyle="1" w:styleId="TOCBase">
    <w:name w:val="TOC Base"/>
    <w:rsid w:val="00CD6C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6C22"/>
    <w:pPr>
      <w:tabs>
        <w:tab w:val="right" w:leader="dot" w:pos="9072"/>
      </w:tabs>
      <w:spacing w:before="40" w:after="40"/>
      <w:ind w:left="284"/>
    </w:pPr>
    <w:rPr>
      <w:rFonts w:ascii="Times New Roman" w:hAnsi="Times New Roman"/>
    </w:rPr>
  </w:style>
  <w:style w:type="paragraph" w:styleId="TOC1">
    <w:name w:val="toc 1"/>
    <w:basedOn w:val="TOCBase"/>
    <w:next w:val="Normal"/>
    <w:rsid w:val="00CD6C2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D6C22"/>
    <w:pPr>
      <w:spacing w:before="5040"/>
      <w:jc w:val="center"/>
    </w:pPr>
    <w:rPr>
      <w:sz w:val="48"/>
      <w:szCs w:val="72"/>
      <w:lang w:val="en-US"/>
    </w:rPr>
  </w:style>
  <w:style w:type="character" w:customStyle="1" w:styleId="TitleChar">
    <w:name w:val="Title Char"/>
    <w:basedOn w:val="DefaultParagraphFont"/>
    <w:link w:val="Title"/>
    <w:rsid w:val="00CD6C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6C22"/>
    <w:pPr>
      <w:tabs>
        <w:tab w:val="left" w:pos="3600"/>
        <w:tab w:val="left" w:pos="3958"/>
      </w:tabs>
    </w:pPr>
  </w:style>
  <w:style w:type="paragraph" w:styleId="List">
    <w:name w:val="List"/>
    <w:basedOn w:val="BodyText"/>
    <w:next w:val="BodyText"/>
    <w:rsid w:val="00CD6C22"/>
    <w:pPr>
      <w:tabs>
        <w:tab w:val="left" w:pos="340"/>
      </w:tabs>
      <w:spacing w:before="60" w:after="60"/>
      <w:ind w:left="340" w:hanging="340"/>
    </w:pPr>
  </w:style>
  <w:style w:type="paragraph" w:customStyle="1" w:styleId="Note">
    <w:name w:val="Note"/>
    <w:basedOn w:val="BodyText"/>
    <w:rsid w:val="00CD6C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6C22"/>
    <w:pPr>
      <w:framePr w:wrap="auto" w:hAnchor="text" w:y="6049"/>
    </w:pPr>
    <w:rPr>
      <w:color w:val="000000"/>
      <w:sz w:val="40"/>
    </w:rPr>
  </w:style>
  <w:style w:type="paragraph" w:customStyle="1" w:styleId="TOCTitle">
    <w:name w:val="TOCTitle"/>
    <w:basedOn w:val="Heading1"/>
    <w:rsid w:val="00CD6C22"/>
    <w:pPr>
      <w:spacing w:after="240"/>
      <w:jc w:val="center"/>
      <w:outlineLvl w:val="9"/>
    </w:pPr>
    <w:rPr>
      <w:caps/>
    </w:rPr>
  </w:style>
  <w:style w:type="paragraph" w:customStyle="1" w:styleId="Version">
    <w:name w:val="Version"/>
    <w:rsid w:val="00CD6C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6C22"/>
    <w:pPr>
      <w:keepNext w:val="0"/>
      <w:tabs>
        <w:tab w:val="right" w:pos="4176"/>
      </w:tabs>
      <w:ind w:left="198" w:hanging="198"/>
    </w:pPr>
    <w:rPr>
      <w:rFonts w:ascii="Garamond" w:hAnsi="Garamond"/>
    </w:rPr>
  </w:style>
  <w:style w:type="paragraph" w:styleId="IndexHeading">
    <w:name w:val="index heading"/>
    <w:basedOn w:val="Normal"/>
    <w:next w:val="Index1"/>
    <w:semiHidden/>
    <w:rsid w:val="00CD6C22"/>
    <w:pPr>
      <w:spacing w:before="120" w:after="120"/>
    </w:pPr>
    <w:rPr>
      <w:rFonts w:ascii="Arial" w:hAnsi="Arial"/>
      <w:b/>
      <w:color w:val="918585"/>
      <w:sz w:val="24"/>
    </w:rPr>
  </w:style>
  <w:style w:type="paragraph" w:styleId="Header">
    <w:name w:val="header"/>
    <w:basedOn w:val="Normal"/>
    <w:link w:val="HeaderChar"/>
    <w:rsid w:val="00CD6C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6C22"/>
    <w:rPr>
      <w:rFonts w:ascii="Times New Roman" w:eastAsia="Times New Roman" w:hAnsi="Times New Roman" w:cs="Times New Roman"/>
      <w:sz w:val="16"/>
      <w:szCs w:val="20"/>
      <w:lang w:val="en-GB" w:eastAsia="en-US"/>
    </w:rPr>
  </w:style>
  <w:style w:type="paragraph" w:customStyle="1" w:styleId="Chapter">
    <w:name w:val="Chapter"/>
    <w:basedOn w:val="Normal"/>
    <w:rsid w:val="00CD6C22"/>
    <w:pPr>
      <w:spacing w:before="240"/>
    </w:pPr>
    <w:rPr>
      <w:rFonts w:ascii="Times New Roman" w:hAnsi="Times New Roman"/>
      <w:smallCaps/>
      <w:spacing w:val="80"/>
      <w:sz w:val="28"/>
    </w:rPr>
  </w:style>
  <w:style w:type="paragraph" w:customStyle="1" w:styleId="InChapter">
    <w:name w:val="InChapter"/>
    <w:basedOn w:val="Heading3"/>
    <w:rsid w:val="00CD6C22"/>
    <w:pPr>
      <w:spacing w:after="240"/>
      <w:outlineLvl w:val="9"/>
    </w:pPr>
    <w:rPr>
      <w:noProof/>
    </w:rPr>
  </w:style>
  <w:style w:type="paragraph" w:styleId="Index2">
    <w:name w:val="index 2"/>
    <w:basedOn w:val="Normal"/>
    <w:next w:val="Normal"/>
    <w:semiHidden/>
    <w:rsid w:val="00CD6C22"/>
    <w:pPr>
      <w:tabs>
        <w:tab w:val="right" w:pos="4176"/>
      </w:tabs>
      <w:ind w:left="568" w:hanging="284"/>
    </w:pPr>
    <w:rPr>
      <w:rFonts w:ascii="Garamond" w:hAnsi="Garamond"/>
    </w:rPr>
  </w:style>
  <w:style w:type="paragraph" w:customStyle="1" w:styleId="Byline">
    <w:name w:val="Byline"/>
    <w:rsid w:val="00CD6C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6C22"/>
    <w:pPr>
      <w:tabs>
        <w:tab w:val="clear" w:pos="3600"/>
        <w:tab w:val="clear" w:pos="3958"/>
      </w:tabs>
      <w:jc w:val="right"/>
    </w:pPr>
  </w:style>
  <w:style w:type="character" w:styleId="Emphasis">
    <w:name w:val="Emphasis"/>
    <w:basedOn w:val="DefaultParagraphFont"/>
    <w:qFormat/>
    <w:rsid w:val="00CD6C22"/>
    <w:rPr>
      <w:i/>
    </w:rPr>
  </w:style>
  <w:style w:type="paragraph" w:styleId="Caption">
    <w:name w:val="caption"/>
    <w:basedOn w:val="BodyText"/>
    <w:next w:val="Normal"/>
    <w:qFormat/>
    <w:rsid w:val="00CD6C22"/>
    <w:pPr>
      <w:framePr w:w="2268" w:hSpace="181" w:vSpace="181" w:wrap="around" w:vAnchor="text" w:hAnchor="page" w:x="1135" w:y="285" w:anchorLock="1"/>
    </w:pPr>
    <w:rPr>
      <w:i/>
    </w:rPr>
  </w:style>
  <w:style w:type="paragraph" w:customStyle="1" w:styleId="MiniTOCTitle">
    <w:name w:val="MiniTOCTitle"/>
    <w:basedOn w:val="Heading4"/>
    <w:rsid w:val="00CD6C22"/>
    <w:pPr>
      <w:spacing w:before="240"/>
      <w:outlineLvl w:val="9"/>
    </w:pPr>
    <w:rPr>
      <w:noProof/>
      <w:sz w:val="24"/>
    </w:rPr>
  </w:style>
  <w:style w:type="paragraph" w:customStyle="1" w:styleId="MiniTOCItem">
    <w:name w:val="MiniTOCItem"/>
    <w:basedOn w:val="ListBullet"/>
    <w:rsid w:val="00CD6C22"/>
    <w:pPr>
      <w:numPr>
        <w:numId w:val="0"/>
      </w:numPr>
      <w:tabs>
        <w:tab w:val="right" w:leader="dot" w:pos="6521"/>
      </w:tabs>
      <w:spacing w:before="0" w:after="0"/>
    </w:pPr>
  </w:style>
  <w:style w:type="paragraph" w:customStyle="1" w:styleId="TOFTitle">
    <w:name w:val="TOFTitle"/>
    <w:basedOn w:val="TOCTitle"/>
    <w:rsid w:val="00CD6C22"/>
  </w:style>
  <w:style w:type="paragraph" w:styleId="TableofFigures">
    <w:name w:val="table of figures"/>
    <w:basedOn w:val="Normal"/>
    <w:next w:val="Normal"/>
    <w:semiHidden/>
    <w:rsid w:val="00CD6C22"/>
    <w:pPr>
      <w:tabs>
        <w:tab w:val="right" w:leader="dot" w:pos="9072"/>
      </w:tabs>
      <w:ind w:left="970" w:hanging="403"/>
    </w:pPr>
    <w:rPr>
      <w:rFonts w:ascii="Times New Roman" w:hAnsi="Times New Roman"/>
      <w:b/>
    </w:rPr>
  </w:style>
  <w:style w:type="paragraph" w:styleId="ListNumber">
    <w:name w:val="List Number"/>
    <w:basedOn w:val="List"/>
    <w:rsid w:val="00CD6C22"/>
    <w:pPr>
      <w:numPr>
        <w:numId w:val="11"/>
      </w:numPr>
    </w:pPr>
  </w:style>
  <w:style w:type="character" w:customStyle="1" w:styleId="WingdingSymbols">
    <w:name w:val="Wingding Symbols"/>
    <w:rsid w:val="00CD6C22"/>
    <w:rPr>
      <w:rFonts w:ascii="Wingdings" w:hAnsi="Wingdings"/>
    </w:rPr>
  </w:style>
  <w:style w:type="paragraph" w:customStyle="1" w:styleId="TableHeading">
    <w:name w:val="Table Heading"/>
    <w:basedOn w:val="HeadingBase"/>
    <w:rsid w:val="00CD6C22"/>
    <w:pPr>
      <w:keepLines/>
      <w:pBdr>
        <w:bottom w:val="single" w:sz="6" w:space="1" w:color="918585"/>
      </w:pBdr>
      <w:spacing w:before="240"/>
    </w:pPr>
  </w:style>
  <w:style w:type="character" w:customStyle="1" w:styleId="HotSpot">
    <w:name w:val="HotSpot"/>
    <w:rsid w:val="00CD6C22"/>
    <w:rPr>
      <w:color w:val="0033CC"/>
      <w:u w:val="none"/>
    </w:rPr>
  </w:style>
  <w:style w:type="paragraph" w:customStyle="1" w:styleId="BodyTextRight">
    <w:name w:val="Body Text Right"/>
    <w:basedOn w:val="BodyText"/>
    <w:rsid w:val="00CD6C22"/>
    <w:pPr>
      <w:spacing w:before="0" w:after="0"/>
      <w:jc w:val="right"/>
    </w:pPr>
  </w:style>
  <w:style w:type="paragraph" w:styleId="Index3">
    <w:name w:val="index 3"/>
    <w:basedOn w:val="ListNumber2"/>
    <w:next w:val="Normal"/>
    <w:semiHidden/>
    <w:rsid w:val="00CD6C22"/>
    <w:pPr>
      <w:numPr>
        <w:numId w:val="0"/>
      </w:numPr>
      <w:tabs>
        <w:tab w:val="right" w:leader="dot" w:pos="4176"/>
      </w:tabs>
    </w:pPr>
  </w:style>
  <w:style w:type="paragraph" w:styleId="ListNumber2">
    <w:name w:val="List Number 2"/>
    <w:basedOn w:val="List2"/>
    <w:rsid w:val="00CD6C22"/>
    <w:pPr>
      <w:numPr>
        <w:numId w:val="10"/>
      </w:numPr>
      <w:tabs>
        <w:tab w:val="clear" w:pos="1060"/>
      </w:tabs>
    </w:pPr>
  </w:style>
  <w:style w:type="paragraph" w:customStyle="1" w:styleId="MarginNote">
    <w:name w:val="Margin Note"/>
    <w:basedOn w:val="BodyText"/>
    <w:rsid w:val="00CD6C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6C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6C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6C22"/>
    <w:rPr>
      <w:sz w:val="32"/>
    </w:rPr>
  </w:style>
  <w:style w:type="paragraph" w:customStyle="1" w:styleId="HeadingProcedure">
    <w:name w:val="Heading Procedure"/>
    <w:basedOn w:val="HeadingBase"/>
    <w:next w:val="Normal"/>
    <w:rsid w:val="00CD6C22"/>
    <w:pPr>
      <w:tabs>
        <w:tab w:val="left" w:pos="0"/>
      </w:tabs>
      <w:spacing w:before="120" w:after="60"/>
    </w:pPr>
    <w:rPr>
      <w:i/>
      <w:color w:val="918585"/>
      <w:sz w:val="22"/>
    </w:rPr>
  </w:style>
  <w:style w:type="paragraph" w:customStyle="1" w:styleId="TableBodyText">
    <w:name w:val="Table Body Text"/>
    <w:basedOn w:val="BodyText"/>
    <w:rsid w:val="00CD6C22"/>
    <w:pPr>
      <w:spacing w:before="60" w:after="60"/>
    </w:pPr>
  </w:style>
  <w:style w:type="paragraph" w:styleId="ListContinue">
    <w:name w:val="List Continue"/>
    <w:basedOn w:val="List"/>
    <w:rsid w:val="00CD6C22"/>
    <w:pPr>
      <w:ind w:firstLine="0"/>
    </w:pPr>
  </w:style>
  <w:style w:type="paragraph" w:customStyle="1" w:styleId="ListNote">
    <w:name w:val="List Note"/>
    <w:basedOn w:val="List"/>
    <w:rsid w:val="00CD6C22"/>
    <w:pPr>
      <w:pBdr>
        <w:top w:val="single" w:sz="6" w:space="2" w:color="918585"/>
        <w:bottom w:val="single" w:sz="6" w:space="2" w:color="918585"/>
      </w:pBdr>
      <w:tabs>
        <w:tab w:val="left" w:pos="1021"/>
      </w:tabs>
      <w:ind w:firstLine="0"/>
    </w:pPr>
  </w:style>
  <w:style w:type="paragraph" w:customStyle="1" w:styleId="Warning">
    <w:name w:val="Warning"/>
    <w:basedOn w:val="BodyText"/>
    <w:rsid w:val="00CD6C22"/>
    <w:pPr>
      <w:shd w:val="clear" w:color="auto" w:fill="D9D9D9"/>
      <w:tabs>
        <w:tab w:val="left" w:pos="992"/>
      </w:tabs>
      <w:ind w:left="119" w:right="119"/>
    </w:pPr>
    <w:rPr>
      <w:sz w:val="20"/>
    </w:rPr>
  </w:style>
  <w:style w:type="paragraph" w:customStyle="1" w:styleId="MarginIcons">
    <w:name w:val="Margin Icons"/>
    <w:basedOn w:val="BodyText"/>
    <w:rsid w:val="00CD6C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6C22"/>
    <w:rPr>
      <w:rFonts w:ascii="Courier New" w:hAnsi="Courier New"/>
    </w:rPr>
  </w:style>
  <w:style w:type="paragraph" w:customStyle="1" w:styleId="NoteBullet">
    <w:name w:val="Note Bullet"/>
    <w:basedOn w:val="Note"/>
    <w:rsid w:val="00CD6C22"/>
    <w:pPr>
      <w:tabs>
        <w:tab w:val="clear" w:pos="680"/>
      </w:tabs>
      <w:spacing w:before="60" w:after="60"/>
    </w:pPr>
  </w:style>
  <w:style w:type="paragraph" w:customStyle="1" w:styleId="SubHeading2">
    <w:name w:val="SubHeading2"/>
    <w:basedOn w:val="HeadingBase"/>
    <w:rsid w:val="00CD6C22"/>
    <w:pPr>
      <w:spacing w:before="240" w:after="60"/>
    </w:pPr>
    <w:rPr>
      <w:sz w:val="20"/>
    </w:rPr>
  </w:style>
  <w:style w:type="paragraph" w:customStyle="1" w:styleId="SubHeading1">
    <w:name w:val="SubHeading1"/>
    <w:basedOn w:val="HeadingBase"/>
    <w:rsid w:val="00CD6C22"/>
    <w:pPr>
      <w:spacing w:before="240" w:after="60"/>
    </w:pPr>
    <w:rPr>
      <w:color w:val="918585"/>
      <w:sz w:val="22"/>
    </w:rPr>
  </w:style>
  <w:style w:type="paragraph" w:customStyle="1" w:styleId="SideHeading">
    <w:name w:val="Side Heading"/>
    <w:basedOn w:val="HeadingBase"/>
    <w:rsid w:val="00CD6C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6C22"/>
    <w:pPr>
      <w:numPr>
        <w:numId w:val="12"/>
      </w:numPr>
    </w:pPr>
  </w:style>
  <w:style w:type="paragraph" w:styleId="PlainText">
    <w:name w:val="Plain Text"/>
    <w:basedOn w:val="Normal"/>
    <w:link w:val="PlainTextChar"/>
    <w:rsid w:val="00CD6C22"/>
    <w:rPr>
      <w:sz w:val="20"/>
    </w:rPr>
  </w:style>
  <w:style w:type="character" w:customStyle="1" w:styleId="PlainTextChar">
    <w:name w:val="Plain Text Char"/>
    <w:basedOn w:val="DefaultParagraphFont"/>
    <w:link w:val="PlainText"/>
    <w:rsid w:val="00CD6C22"/>
    <w:rPr>
      <w:rFonts w:ascii="Courier New" w:eastAsia="Times New Roman" w:hAnsi="Courier New" w:cs="Times New Roman"/>
      <w:sz w:val="20"/>
      <w:szCs w:val="20"/>
      <w:lang w:eastAsia="en-US"/>
    </w:rPr>
  </w:style>
  <w:style w:type="character" w:customStyle="1" w:styleId="MenuOption">
    <w:name w:val="Menu Option"/>
    <w:basedOn w:val="DefaultParagraphFont"/>
    <w:rsid w:val="00CD6C22"/>
    <w:rPr>
      <w:b/>
      <w:smallCaps/>
    </w:rPr>
  </w:style>
  <w:style w:type="paragraph" w:customStyle="1" w:styleId="TableListNumber">
    <w:name w:val="Table List Number"/>
    <w:basedOn w:val="ListNumber"/>
    <w:rsid w:val="00CD6C22"/>
    <w:pPr>
      <w:numPr>
        <w:numId w:val="0"/>
      </w:numPr>
    </w:pPr>
  </w:style>
  <w:style w:type="paragraph" w:styleId="TOC4">
    <w:name w:val="toc 4"/>
    <w:basedOn w:val="TOCBase"/>
    <w:next w:val="Normal"/>
    <w:semiHidden/>
    <w:rsid w:val="00CD6C22"/>
    <w:pPr>
      <w:tabs>
        <w:tab w:val="right" w:leader="dot" w:pos="9071"/>
      </w:tabs>
      <w:ind w:left="1701"/>
    </w:pPr>
  </w:style>
  <w:style w:type="paragraph" w:customStyle="1" w:styleId="ListAlpha">
    <w:name w:val="List Alpha"/>
    <w:basedOn w:val="List"/>
    <w:rsid w:val="00CD6C22"/>
    <w:pPr>
      <w:numPr>
        <w:numId w:val="9"/>
      </w:numPr>
    </w:pPr>
  </w:style>
  <w:style w:type="paragraph" w:customStyle="1" w:styleId="ListAlpha2">
    <w:name w:val="List Alpha 2"/>
    <w:basedOn w:val="List2"/>
    <w:rsid w:val="00CD6C22"/>
    <w:pPr>
      <w:numPr>
        <w:numId w:val="8"/>
      </w:numPr>
    </w:pPr>
  </w:style>
  <w:style w:type="paragraph" w:styleId="List2">
    <w:name w:val="List 2"/>
    <w:basedOn w:val="BodyText"/>
    <w:rsid w:val="00CD6C22"/>
    <w:pPr>
      <w:tabs>
        <w:tab w:val="left" w:pos="680"/>
      </w:tabs>
      <w:spacing w:before="60" w:after="60"/>
      <w:ind w:left="680" w:hanging="340"/>
    </w:pPr>
  </w:style>
  <w:style w:type="paragraph" w:styleId="List3">
    <w:name w:val="List 3"/>
    <w:basedOn w:val="BodyText"/>
    <w:rsid w:val="00CD6C22"/>
    <w:pPr>
      <w:tabs>
        <w:tab w:val="left" w:pos="1021"/>
      </w:tabs>
      <w:spacing w:before="60" w:after="60"/>
      <w:ind w:left="1020" w:hanging="340"/>
    </w:pPr>
  </w:style>
  <w:style w:type="paragraph" w:styleId="List4">
    <w:name w:val="List 4"/>
    <w:basedOn w:val="BodyText"/>
    <w:rsid w:val="00CD6C22"/>
    <w:pPr>
      <w:tabs>
        <w:tab w:val="left" w:pos="1361"/>
      </w:tabs>
      <w:spacing w:before="60" w:after="60"/>
      <w:ind w:left="1361" w:hanging="340"/>
    </w:pPr>
  </w:style>
  <w:style w:type="paragraph" w:styleId="List5">
    <w:name w:val="List 5"/>
    <w:basedOn w:val="BodyText"/>
    <w:rsid w:val="00CD6C22"/>
    <w:pPr>
      <w:tabs>
        <w:tab w:val="left" w:pos="1701"/>
      </w:tabs>
      <w:spacing w:before="60" w:after="60"/>
      <w:ind w:left="1701" w:hanging="340"/>
    </w:pPr>
  </w:style>
  <w:style w:type="paragraph" w:styleId="ListBullet3">
    <w:name w:val="List Bullet 3"/>
    <w:basedOn w:val="List3"/>
    <w:rsid w:val="00CD6C22"/>
    <w:pPr>
      <w:numPr>
        <w:numId w:val="15"/>
      </w:numPr>
      <w:tabs>
        <w:tab w:val="clear" w:pos="1021"/>
      </w:tabs>
      <w:ind w:left="1037" w:hanging="357"/>
    </w:pPr>
  </w:style>
  <w:style w:type="paragraph" w:styleId="ListBullet4">
    <w:name w:val="List Bullet 4"/>
    <w:basedOn w:val="List4"/>
    <w:rsid w:val="00CD6C22"/>
    <w:pPr>
      <w:numPr>
        <w:numId w:val="3"/>
      </w:numPr>
    </w:pPr>
  </w:style>
  <w:style w:type="paragraph" w:styleId="ListBullet5">
    <w:name w:val="List Bullet 5"/>
    <w:basedOn w:val="List5"/>
    <w:rsid w:val="00CD6C22"/>
    <w:pPr>
      <w:numPr>
        <w:numId w:val="4"/>
      </w:numPr>
    </w:pPr>
  </w:style>
  <w:style w:type="paragraph" w:styleId="ListContinue2">
    <w:name w:val="List Continue 2"/>
    <w:basedOn w:val="List2"/>
    <w:rsid w:val="00CD6C22"/>
    <w:pPr>
      <w:ind w:firstLine="0"/>
    </w:pPr>
  </w:style>
  <w:style w:type="paragraph" w:styleId="ListContinue3">
    <w:name w:val="List Continue 3"/>
    <w:basedOn w:val="List3"/>
    <w:rsid w:val="00CD6C22"/>
    <w:pPr>
      <w:ind w:left="1021" w:firstLine="0"/>
    </w:pPr>
  </w:style>
  <w:style w:type="paragraph" w:styleId="ListContinue4">
    <w:name w:val="List Continue 4"/>
    <w:basedOn w:val="List4"/>
    <w:rsid w:val="00CD6C22"/>
    <w:pPr>
      <w:ind w:firstLine="0"/>
    </w:pPr>
  </w:style>
  <w:style w:type="paragraph" w:styleId="ListContinue5">
    <w:name w:val="List Continue 5"/>
    <w:basedOn w:val="List5"/>
    <w:rsid w:val="00CD6C22"/>
    <w:pPr>
      <w:ind w:firstLine="0"/>
    </w:pPr>
  </w:style>
  <w:style w:type="paragraph" w:styleId="ListNumber3">
    <w:name w:val="List Number 3"/>
    <w:basedOn w:val="List3"/>
    <w:rsid w:val="00CD6C22"/>
    <w:pPr>
      <w:numPr>
        <w:numId w:val="5"/>
      </w:numPr>
    </w:pPr>
  </w:style>
  <w:style w:type="paragraph" w:styleId="ListNumber4">
    <w:name w:val="List Number 4"/>
    <w:basedOn w:val="List4"/>
    <w:rsid w:val="00CD6C22"/>
    <w:pPr>
      <w:numPr>
        <w:numId w:val="6"/>
      </w:numPr>
    </w:pPr>
  </w:style>
  <w:style w:type="paragraph" w:styleId="ListNumber5">
    <w:name w:val="List Number 5"/>
    <w:basedOn w:val="List5"/>
    <w:rsid w:val="00CD6C22"/>
    <w:pPr>
      <w:numPr>
        <w:numId w:val="7"/>
      </w:numPr>
    </w:pPr>
  </w:style>
  <w:style w:type="paragraph" w:styleId="BlockText">
    <w:name w:val="Block Text"/>
    <w:basedOn w:val="Normal"/>
    <w:rsid w:val="00CD6C22"/>
    <w:pPr>
      <w:spacing w:after="120"/>
      <w:ind w:left="1440" w:right="1440"/>
    </w:pPr>
  </w:style>
  <w:style w:type="character" w:customStyle="1" w:styleId="Subscript">
    <w:name w:val="Subscript"/>
    <w:basedOn w:val="DefaultParagraphFont"/>
    <w:rsid w:val="00CD6C22"/>
    <w:rPr>
      <w:sz w:val="16"/>
      <w:vertAlign w:val="subscript"/>
    </w:rPr>
  </w:style>
  <w:style w:type="character" w:customStyle="1" w:styleId="Superscript">
    <w:name w:val="Superscript"/>
    <w:basedOn w:val="DefaultParagraphFont"/>
    <w:rsid w:val="00CD6C22"/>
    <w:rPr>
      <w:sz w:val="16"/>
      <w:vertAlign w:val="superscript"/>
    </w:rPr>
  </w:style>
  <w:style w:type="character" w:customStyle="1" w:styleId="Symbols">
    <w:name w:val="Symbols"/>
    <w:basedOn w:val="DefaultParagraphFont"/>
    <w:rsid w:val="00CD6C22"/>
    <w:rPr>
      <w:rFonts w:ascii="Symbol" w:hAnsi="Symbol"/>
    </w:rPr>
  </w:style>
  <w:style w:type="character" w:customStyle="1" w:styleId="MenuOptions">
    <w:name w:val="Menu Options"/>
    <w:basedOn w:val="DefaultParagraphFont"/>
    <w:rsid w:val="00CD6C22"/>
    <w:rPr>
      <w:rFonts w:ascii="Arial Narrow" w:hAnsi="Arial Narrow"/>
      <w:smallCaps/>
    </w:rPr>
  </w:style>
  <w:style w:type="character" w:customStyle="1" w:styleId="Buttons">
    <w:name w:val="Buttons"/>
    <w:basedOn w:val="DefaultParagraphFont"/>
    <w:rsid w:val="00CD6C22"/>
    <w:rPr>
      <w:b/>
    </w:rPr>
  </w:style>
  <w:style w:type="character" w:customStyle="1" w:styleId="Underlined">
    <w:name w:val="Underlined"/>
    <w:basedOn w:val="DefaultParagraphFont"/>
    <w:rsid w:val="00CD6C22"/>
    <w:rPr>
      <w:u w:val="single"/>
    </w:rPr>
  </w:style>
  <w:style w:type="paragraph" w:customStyle="1" w:styleId="TableBodyTextRight">
    <w:name w:val="Table Body Text Right"/>
    <w:basedOn w:val="TableBodyText"/>
    <w:rsid w:val="00CD6C22"/>
    <w:pPr>
      <w:widowControl w:val="0"/>
      <w:autoSpaceDE w:val="0"/>
      <w:autoSpaceDN w:val="0"/>
      <w:adjustRightInd w:val="0"/>
      <w:jc w:val="right"/>
    </w:pPr>
    <w:rPr>
      <w:rFonts w:cs="Arial"/>
      <w:szCs w:val="18"/>
    </w:rPr>
  </w:style>
  <w:style w:type="paragraph" w:customStyle="1" w:styleId="CopyrightText">
    <w:name w:val="Copyright Text"/>
    <w:basedOn w:val="BodyText"/>
    <w:rsid w:val="00CD6C22"/>
    <w:rPr>
      <w:sz w:val="18"/>
    </w:rPr>
  </w:style>
  <w:style w:type="paragraph" w:customStyle="1" w:styleId="BodySmallRight">
    <w:name w:val="Body Small Right"/>
    <w:basedOn w:val="BodyTextRight"/>
    <w:rsid w:val="00CD6C22"/>
    <w:rPr>
      <w:sz w:val="18"/>
      <w:szCs w:val="18"/>
    </w:rPr>
  </w:style>
  <w:style w:type="paragraph" w:customStyle="1" w:styleId="MarginEdition">
    <w:name w:val="Margin Edition"/>
    <w:basedOn w:val="MarginNote"/>
    <w:rsid w:val="00CD6C22"/>
    <w:pPr>
      <w:spacing w:before="0" w:after="0"/>
    </w:pPr>
    <w:rPr>
      <w:rFonts w:ascii="Times New Roman" w:hAnsi="Times New Roman"/>
      <w:color w:val="999999"/>
    </w:rPr>
  </w:style>
  <w:style w:type="paragraph" w:customStyle="1" w:styleId="Spacer">
    <w:name w:val="Spacer"/>
    <w:basedOn w:val="Normal"/>
    <w:rsid w:val="00CD6C22"/>
    <w:rPr>
      <w:sz w:val="2"/>
      <w:szCs w:val="2"/>
    </w:rPr>
  </w:style>
  <w:style w:type="character" w:customStyle="1" w:styleId="Small">
    <w:name w:val="Small"/>
    <w:basedOn w:val="DefaultParagraphFont"/>
    <w:rsid w:val="00CD6C22"/>
    <w:rPr>
      <w:sz w:val="16"/>
    </w:rPr>
  </w:style>
  <w:style w:type="paragraph" w:customStyle="1" w:styleId="WideTable">
    <w:name w:val="Wide Table"/>
    <w:basedOn w:val="Normal"/>
    <w:rsid w:val="00CD6C22"/>
    <w:pPr>
      <w:ind w:left="-1418"/>
    </w:pPr>
    <w:rPr>
      <w:sz w:val="2"/>
      <w:szCs w:val="2"/>
    </w:rPr>
  </w:style>
  <w:style w:type="character" w:styleId="PageNumber">
    <w:name w:val="page number"/>
    <w:basedOn w:val="DefaultParagraphFont"/>
    <w:rsid w:val="00CD6C22"/>
  </w:style>
  <w:style w:type="paragraph" w:styleId="Quote">
    <w:name w:val="Quote"/>
    <w:basedOn w:val="Heading1"/>
    <w:link w:val="QuoteChar"/>
    <w:qFormat/>
    <w:rsid w:val="00CD6C22"/>
    <w:rPr>
      <w:b w:val="0"/>
      <w:sz w:val="72"/>
      <w:szCs w:val="72"/>
      <w:lang w:val="en-NZ"/>
    </w:rPr>
  </w:style>
  <w:style w:type="character" w:customStyle="1" w:styleId="QuoteChar">
    <w:name w:val="Quote Char"/>
    <w:basedOn w:val="DefaultParagraphFont"/>
    <w:link w:val="Quote"/>
    <w:rsid w:val="00CD6C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6C22"/>
    <w:pPr>
      <w:pageBreakBefore/>
    </w:pPr>
  </w:style>
  <w:style w:type="paragraph" w:customStyle="1" w:styleId="Border">
    <w:name w:val="Border"/>
    <w:basedOn w:val="Normal"/>
    <w:qFormat/>
    <w:rsid w:val="00CD6C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6C22"/>
    <w:rPr>
      <w:b/>
      <w:bCs/>
      <w:i/>
      <w:iCs/>
      <w:color w:val="auto"/>
    </w:rPr>
  </w:style>
  <w:style w:type="paragraph" w:styleId="IntenseQuote">
    <w:name w:val="Intense Quote"/>
    <w:basedOn w:val="Normal"/>
    <w:next w:val="Normal"/>
    <w:link w:val="IntenseQuoteChar"/>
    <w:uiPriority w:val="30"/>
    <w:qFormat/>
    <w:rsid w:val="00CD6C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6C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6C22"/>
    <w:rPr>
      <w:smallCaps/>
      <w:color w:val="auto"/>
      <w:u w:val="single"/>
    </w:rPr>
  </w:style>
  <w:style w:type="character" w:styleId="IntenseReference">
    <w:name w:val="Intense Reference"/>
    <w:basedOn w:val="DefaultParagraphFont"/>
    <w:uiPriority w:val="32"/>
    <w:qFormat/>
    <w:rsid w:val="00CD6C22"/>
    <w:rPr>
      <w:b/>
      <w:bCs/>
      <w:smallCaps/>
      <w:color w:val="auto"/>
      <w:spacing w:val="5"/>
      <w:u w:val="single"/>
    </w:rPr>
  </w:style>
  <w:style w:type="paragraph" w:customStyle="1" w:styleId="2ColumnHeading">
    <w:name w:val="2Column Heading"/>
    <w:basedOn w:val="BodyText"/>
    <w:qFormat/>
    <w:rsid w:val="00CD6C22"/>
    <w:pPr>
      <w:spacing w:after="60"/>
      <w:ind w:left="-2268"/>
    </w:pPr>
    <w:rPr>
      <w:b/>
    </w:rPr>
  </w:style>
  <w:style w:type="paragraph" w:customStyle="1" w:styleId="Heading1TOC">
    <w:name w:val="Heading1 TOC"/>
    <w:basedOn w:val="Normal"/>
    <w:qFormat/>
    <w:rsid w:val="00CD6C22"/>
    <w:pPr>
      <w:spacing w:before="240" w:after="120"/>
    </w:pPr>
    <w:rPr>
      <w:rFonts w:ascii="Times New Roman" w:hAnsi="Times New Roman"/>
      <w:b/>
      <w:sz w:val="32"/>
    </w:rPr>
  </w:style>
  <w:style w:type="paragraph" w:customStyle="1" w:styleId="Heading2TOC">
    <w:name w:val="Heading2 TOC"/>
    <w:basedOn w:val="Normal"/>
    <w:qFormat/>
    <w:rsid w:val="00CD6C22"/>
    <w:pPr>
      <w:spacing w:before="240" w:after="60"/>
    </w:pPr>
    <w:rPr>
      <w:rFonts w:ascii="Times New Roman" w:hAnsi="Times New Roman"/>
      <w:b/>
      <w:sz w:val="28"/>
    </w:rPr>
  </w:style>
  <w:style w:type="character" w:customStyle="1" w:styleId="Underline">
    <w:name w:val="Underline"/>
    <w:basedOn w:val="DefaultParagraphFont"/>
    <w:qFormat/>
    <w:rsid w:val="00CD6C22"/>
    <w:rPr>
      <w:u w:val="single"/>
    </w:rPr>
  </w:style>
  <w:style w:type="paragraph" w:styleId="BalloonText">
    <w:name w:val="Balloon Text"/>
    <w:basedOn w:val="Normal"/>
    <w:link w:val="BalloonTextChar"/>
    <w:rsid w:val="00CD6C22"/>
    <w:rPr>
      <w:rFonts w:ascii="Tahoma" w:hAnsi="Tahoma" w:cs="Tahoma"/>
      <w:sz w:val="16"/>
      <w:szCs w:val="16"/>
    </w:rPr>
  </w:style>
  <w:style w:type="character" w:customStyle="1" w:styleId="BalloonTextChar">
    <w:name w:val="Balloon Text Char"/>
    <w:basedOn w:val="DefaultParagraphFont"/>
    <w:link w:val="BalloonText"/>
    <w:rsid w:val="00CD6C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6C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6C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6C22"/>
    <w:rPr>
      <w:b/>
      <w:color w:val="660033"/>
      <w:spacing w:val="0"/>
    </w:rPr>
  </w:style>
  <w:style w:type="paragraph" w:customStyle="1" w:styleId="Nameditemlist">
    <w:name w:val="Named item list"/>
    <w:basedOn w:val="BodyText"/>
    <w:qFormat/>
    <w:rsid w:val="00CD6C2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1241</Words>
  <Characters>7747</Characters>
  <Application>Microsoft Office Word</Application>
  <DocSecurity>0</DocSecurity>
  <Lines>277</Lines>
  <Paragraphs>145</Paragraphs>
  <ScaleCrop>false</ScaleCrop>
  <Company>Author-it Software Corporation Ltd.</Company>
  <LinksUpToDate>false</LinksUpToDate>
  <CharactersWithSpaces>8902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CPPHSA5005A Peer review NatHERS assessments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2012-09-30T16:43:00Z</dcterms:created>
  <dcterms:modified xsi:type="dcterms:W3CDTF">2012-09-30T16:43:00Z</dcterms:modified>
</cp:coreProperties>
</file>