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A4F" w:rsidP="009C6A4F">
      <w:pPr>
        <w:pStyle w:val="Title"/>
      </w:pPr>
      <w:bookmarkStart w:id="0" w:name="_GoBack"/>
      <w:bookmarkEnd w:id="0"/>
      <w:r>
        <w:fldChar w:fldCharType="begin"/>
      </w:r>
      <w:r>
        <w:instrText xml:space="preserve"> TITLE   \* MERGEFORMAT </w:instrText>
      </w:r>
      <w:r>
        <w:fldChar w:fldCharType="separate"/>
      </w:r>
      <w:r>
        <w:t>CPPHSA4015A Assess impact of building elements on thermal performance of residential buildings</w:t>
      </w:r>
      <w:r>
        <w:fldChar w:fldCharType="end"/>
      </w:r>
    </w:p>
    <w:p w:rsidR="009C6A4F" w:rsidP="009C6A4F">
      <w:pPr>
        <w:pStyle w:val="Version"/>
        <w:sectPr w:rsidSect="00C21C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1C41" w:rsidP="00C21C41">
      <w:pPr>
        <w:pStyle w:val="SuperHeading"/>
      </w:pPr>
      <w:r w:rsidRPr="00C21C41">
        <w:t>CPPHSA4015A Assess impact of building elements on thermal performance of residential buildings</w:t>
      </w:r>
    </w:p>
    <w:p w:rsidR="00000000" w:rsidRPr="00C21C41" w:rsidP="00C21C41">
      <w:pPr>
        <w:pStyle w:val="Heading1"/>
      </w:pPr>
      <w:bookmarkStart w:id="1" w:name="O_489531"/>
      <w:bookmarkEnd w:id="1"/>
      <w:r w:rsidRPr="00C21C41">
        <w:t>Modification History</w:t>
      </w:r>
    </w:p>
    <w:tbl>
      <w:tblPr>
        <w:tblW w:w="0" w:type="auto"/>
        <w:tblLayout w:type="fixed"/>
        <w:tblCellMar>
          <w:left w:w="62" w:type="dxa"/>
          <w:right w:w="62" w:type="dxa"/>
        </w:tblCellMar>
        <w:tblLook w:val="0000"/>
      </w:tblPr>
      <w:tblGrid>
        <w:gridCol w:w="2631"/>
        <w:gridCol w:w="6547"/>
      </w:tblGrid>
      <w:tr w:rsidTr="00C21C41">
        <w:tblPrEx>
          <w:tblW w:w="0" w:type="auto"/>
          <w:tblLayout w:type="fixed"/>
          <w:tblCellMar>
            <w:left w:w="62" w:type="dxa"/>
            <w:right w:w="62" w:type="dxa"/>
          </w:tblCellMar>
          <w:tblLook w:val="0000"/>
        </w:tblPrEx>
        <w:trPr>
          <w:tblHeader/>
        </w:trPr>
        <w:tc>
          <w:tcPr>
            <w:tcW w:w="2631" w:type="dxa"/>
            <w:tcBorders>
              <w:top w:val="nil"/>
              <w:left w:val="nil"/>
              <w:bottom w:val="nil"/>
              <w:right w:val="nil"/>
            </w:tcBorders>
            <w:tcMar>
              <w:top w:w="0" w:type="dxa"/>
              <w:left w:w="62" w:type="dxa"/>
              <w:bottom w:w="0" w:type="dxa"/>
              <w:right w:w="62" w:type="dxa"/>
            </w:tcMar>
          </w:tcPr>
          <w:p w:rsidR="00000000" w:rsidRPr="00C21C41" w:rsidP="00C21C41">
            <w:pPr>
              <w:pStyle w:val="BodyText"/>
            </w:pPr>
            <w:r w:rsidRPr="00C21C41">
              <w:rPr>
                <w:rStyle w:val="SpecialBold"/>
              </w:rPr>
              <w:t>Version</w:t>
            </w:r>
          </w:p>
        </w:tc>
        <w:tc>
          <w:tcPr>
            <w:tcW w:w="6547"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rPr>
                <w:rStyle w:val="SpecialBold"/>
              </w:rPr>
              <w:t>Comments</w:t>
            </w:r>
          </w:p>
        </w:tc>
      </w:tr>
      <w:tr w:rsidTr="00C21C41">
        <w:tblPrEx>
          <w:tblW w:w="0" w:type="auto"/>
          <w:tblLayout w:type="fixed"/>
          <w:tblCellMar>
            <w:left w:w="62" w:type="dxa"/>
            <w:right w:w="62" w:type="dxa"/>
          </w:tblCellMar>
          <w:tblLook w:val="0000"/>
        </w:tblPrEx>
        <w:trPr>
          <w:tblHeader/>
        </w:trPr>
        <w:tc>
          <w:tcPr>
            <w:tcW w:w="2631"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1</w:t>
            </w:r>
          </w:p>
        </w:tc>
        <w:tc>
          <w:tcPr>
            <w:tcW w:w="6547" w:type="dxa"/>
            <w:tcBorders>
              <w:top w:val="nil"/>
              <w:left w:val="nil"/>
              <w:bottom w:val="nil"/>
              <w:right w:val="nil"/>
            </w:tcBorders>
            <w:tcMar>
              <w:top w:w="0" w:type="dxa"/>
              <w:left w:w="62" w:type="dxa"/>
              <w:bottom w:w="0" w:type="dxa"/>
              <w:right w:w="62" w:type="dxa"/>
            </w:tcMar>
          </w:tcPr>
          <w:p w:rsidR="00000000" w:rsidRPr="00C21C41" w:rsidP="00C21C41">
            <w:pPr>
              <w:pStyle w:val="BodyText"/>
            </w:pPr>
            <w:r w:rsidRPr="00C21C41">
              <w:t>This version f</w:t>
            </w:r>
            <w:r w:rsidRPr="00C21C41">
              <w:t>irst released with CPP07 Property Services Training Package Version 11.</w:t>
            </w:r>
          </w:p>
        </w:tc>
      </w:tr>
    </w:tbl>
    <w:p w:rsidR="009C6A4F" w:rsidP="00C21C41">
      <w:pPr>
        <w:pStyle w:val="BodyText"/>
      </w:pPr>
    </w:p>
    <w:p w:rsidR="009C6A4F" w:rsidP="00C21C41">
      <w:pPr>
        <w:pStyle w:val="BodyText"/>
      </w:pPr>
    </w:p>
    <w:p w:rsidR="00000000" w:rsidRPr="00C21C41" w:rsidP="00C21C41">
      <w:pPr>
        <w:pStyle w:val="Heading1"/>
      </w:pPr>
      <w:bookmarkStart w:id="2" w:name="O_489532"/>
      <w:bookmarkEnd w:id="2"/>
      <w:r w:rsidRPr="00C21C41">
        <w:t>Unit Descriptor</w:t>
      </w:r>
    </w:p>
    <w:p w:rsidR="00000000" w:rsidRPr="00C21C41" w:rsidP="00C21C41">
      <w:pPr>
        <w:pStyle w:val="BodyText"/>
      </w:pPr>
      <w:r w:rsidRPr="00C21C41">
        <w:t xml:space="preserve">This unit of competency specifies the outcomes required to assess the impact of construction materials, design elements and building condition </w:t>
      </w:r>
      <w:r w:rsidRPr="00C21C41">
        <w:t>on thermal performance of residential buildings. It includes selecting appropriate building materials for improving thermal performance, identifying the impact of the construction of key elements of the building envelope on thermal performance, and identif</w:t>
      </w:r>
      <w:r w:rsidRPr="00C21C41">
        <w:t>ying the correct use and installation of building materials to improve thermal performance.</w:t>
      </w:r>
    </w:p>
    <w:p w:rsidR="00000000" w:rsidRPr="00C21C41" w:rsidP="00C21C41">
      <w:pPr>
        <w:pStyle w:val="AllowPageBreak"/>
      </w:pPr>
    </w:p>
    <w:p w:rsidR="00000000" w:rsidRPr="00C21C41" w:rsidP="00C21C41">
      <w:pPr>
        <w:pStyle w:val="Heading1"/>
      </w:pPr>
      <w:bookmarkStart w:id="3" w:name="O_489533"/>
      <w:bookmarkEnd w:id="3"/>
      <w:r w:rsidRPr="00C21C41">
        <w:t>Application of the Unit</w:t>
      </w:r>
    </w:p>
    <w:p w:rsidR="00000000" w:rsidRPr="00C21C41" w:rsidP="00C21C41">
      <w:pPr>
        <w:pStyle w:val="BodyText"/>
      </w:pPr>
      <w:r w:rsidRPr="00C21C41">
        <w:t>This unit of competency supports the work of Nationwide House Energy Rating Scheme (NatHERS) assessors engaged in assessing</w:t>
      </w:r>
      <w:r w:rsidRPr="00C21C41">
        <w:t>, and making recommendations for improving, the thermal performance of planned and existing residential buildings.</w:t>
      </w:r>
    </w:p>
    <w:p w:rsidR="00000000" w:rsidRPr="00C21C41" w:rsidP="00C21C41">
      <w:pPr>
        <w:pStyle w:val="AllowPageBreak"/>
      </w:pPr>
    </w:p>
    <w:p w:rsidR="00000000" w:rsidRPr="00C21C41" w:rsidP="00C21C41">
      <w:pPr>
        <w:pStyle w:val="Heading1"/>
      </w:pPr>
      <w:bookmarkStart w:id="4" w:name="O_489534"/>
      <w:bookmarkEnd w:id="4"/>
      <w:r w:rsidRPr="00C21C41">
        <w:t>Licensing/Regulatory Information</w:t>
      </w:r>
    </w:p>
    <w:p w:rsidR="00000000" w:rsidRPr="00C21C41" w:rsidP="00C21C41">
      <w:pPr>
        <w:pStyle w:val="BodyText"/>
      </w:pPr>
      <w:r w:rsidRPr="00C21C41">
        <w:t>In some jurisdictions, this unit of competency may form part of the accreditation, licensin</w:t>
      </w:r>
      <w:r w:rsidRPr="00C21C41">
        <w:t>g, legislative, regulatory or certification requirements for NatHERS assessors.</w:t>
      </w:r>
    </w:p>
    <w:p w:rsidR="00000000" w:rsidRPr="00C21C41" w:rsidP="00C21C41">
      <w:pPr>
        <w:pStyle w:val="AllowPageBreak"/>
      </w:pPr>
    </w:p>
    <w:p w:rsidR="00000000" w:rsidRPr="00C21C41" w:rsidP="00C21C41">
      <w:pPr>
        <w:pStyle w:val="Heading1"/>
      </w:pPr>
      <w:bookmarkStart w:id="5" w:name="O_489535"/>
      <w:bookmarkEnd w:id="5"/>
      <w:r w:rsidRPr="00C21C41">
        <w:t>Pre-Requisites</w:t>
      </w:r>
    </w:p>
    <w:p w:rsidR="00000000" w:rsidRPr="00C21C41" w:rsidP="00C21C41">
      <w:pPr>
        <w:pStyle w:val="BodyText"/>
      </w:pPr>
      <w:r w:rsidRPr="00C21C41">
        <w:t>Not applicable.</w:t>
      </w:r>
    </w:p>
    <w:p w:rsidR="00000000" w:rsidRPr="00C21C41" w:rsidP="00C21C41">
      <w:pPr>
        <w:pStyle w:val="AllowPageBreak"/>
      </w:pPr>
    </w:p>
    <w:p w:rsidR="00000000" w:rsidRPr="00C21C41" w:rsidP="00C21C41">
      <w:pPr>
        <w:pStyle w:val="Heading1"/>
      </w:pPr>
      <w:bookmarkStart w:id="6" w:name="O_489536"/>
      <w:bookmarkEnd w:id="6"/>
      <w:r w:rsidRPr="00C21C41">
        <w:t>Employability Skills Information</w:t>
      </w:r>
    </w:p>
    <w:p w:rsidR="00000000" w:rsidRPr="00C21C41" w:rsidP="00C21C41">
      <w:pPr>
        <w:pStyle w:val="BodyText"/>
      </w:pPr>
      <w:r w:rsidRPr="00C21C41">
        <w:t>This unit contains employability skills.</w:t>
      </w:r>
    </w:p>
    <w:p w:rsidR="00000000" w:rsidRPr="00C21C41" w:rsidP="00C21C41">
      <w:pPr>
        <w:pStyle w:val="AllowPageBreak"/>
      </w:pPr>
    </w:p>
    <w:p w:rsidR="00000000" w:rsidRPr="00C21C41" w:rsidP="00C21C41">
      <w:pPr>
        <w:pStyle w:val="Heading1"/>
      </w:pPr>
      <w:bookmarkStart w:id="7" w:name="O_489537"/>
      <w:bookmarkEnd w:id="7"/>
      <w:r w:rsidRPr="00C21C41">
        <w:t>Elements and Perform</w:t>
      </w:r>
      <w:r w:rsidRPr="00C21C41">
        <w:t>ance Criteria Pre-Content</w:t>
      </w:r>
    </w:p>
    <w:tbl>
      <w:tblPr>
        <w:tblW w:w="0" w:type="auto"/>
        <w:tblLayout w:type="fixed"/>
        <w:tblCellMar>
          <w:left w:w="62" w:type="dxa"/>
          <w:right w:w="62" w:type="dxa"/>
        </w:tblCellMar>
        <w:tblLook w:val="0000"/>
      </w:tblPr>
      <w:tblGrid>
        <w:gridCol w:w="2640"/>
        <w:gridCol w:w="6380"/>
      </w:tblGrid>
      <w:tr w:rsidTr="00C21C4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21C41" w:rsidP="00C21C41">
            <w:pPr>
              <w:pStyle w:val="BodyText"/>
            </w:pPr>
            <w:r w:rsidRPr="00C21C41">
              <w:t xml:space="preserve">Performance criteria describe the performance needed to demonstrate achievement of the element. Where bold italicised text is used, further information is detailed </w:t>
            </w:r>
            <w:r w:rsidRPr="00C21C41">
              <w:t>in the required skills and knowledge section and the range statement. Assessment of performance is to be consistent with the evidence guide.</w:t>
            </w:r>
          </w:p>
        </w:tc>
      </w:tr>
    </w:tbl>
    <w:p w:rsidR="009C6A4F" w:rsidP="00C21C41">
      <w:pPr>
        <w:pStyle w:val="BodyText"/>
      </w:pPr>
    </w:p>
    <w:p w:rsidR="009C6A4F" w:rsidP="00C21C41">
      <w:pPr>
        <w:pStyle w:val="BodyText"/>
      </w:pPr>
    </w:p>
    <w:p w:rsidR="00000000" w:rsidRPr="00C21C41" w:rsidP="00C21C41">
      <w:pPr>
        <w:pStyle w:val="Heading1"/>
      </w:pPr>
      <w:bookmarkStart w:id="8" w:name="O_489538"/>
      <w:bookmarkEnd w:id="8"/>
      <w:r w:rsidRPr="00C21C4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21C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1</w:t>
            </w:r>
          </w:p>
        </w:tc>
        <w:tc>
          <w:tcPr>
            <w:tcW w:w="1962" w:type="dxa"/>
            <w:vMerge w:val="restart"/>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Assess influence of common construction materials on thermal performance of residential buildings.</w:t>
            </w:r>
          </w:p>
        </w:tc>
        <w:tc>
          <w:tcPr>
            <w:tcW w:w="770" w:type="dxa"/>
            <w:tcBorders>
              <w:top w:val="nil"/>
              <w:left w:val="nil"/>
              <w:bottom w:val="nil"/>
              <w:right w:val="nil"/>
            </w:tcBorders>
            <w:tcMar>
              <w:top w:w="0" w:type="dxa"/>
              <w:left w:w="62" w:type="dxa"/>
              <w:bottom w:w="0" w:type="dxa"/>
              <w:right w:w="62" w:type="dxa"/>
            </w:tcMar>
          </w:tcPr>
          <w:p w:rsidR="00000000" w:rsidRPr="00C21C41" w:rsidP="00C21C41">
            <w:pPr>
              <w:pStyle w:val="BodyText"/>
            </w:pPr>
            <w:r w:rsidRPr="00C21C41">
              <w:t>1.1</w:t>
            </w:r>
          </w:p>
        </w:tc>
        <w:tc>
          <w:tcPr>
            <w:tcW w:w="561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rPr>
                <w:rStyle w:val="BoldandItalics"/>
              </w:rPr>
              <w:t xml:space="preserve">Properties of construction materials </w:t>
            </w:r>
            <w:r w:rsidRPr="00C21C41">
              <w:t>that may influence thermal performance of buildings are identified.</w:t>
            </w:r>
          </w:p>
        </w:tc>
      </w:tr>
      <w:tr w:rsidTr="00C21C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21C41" w:rsidP="00C21C41">
            <w:pPr>
              <w:pStyle w:val="BodyText"/>
            </w:pPr>
            <w:r w:rsidRPr="00C21C41">
              <w:t>1.2</w:t>
            </w:r>
          </w:p>
        </w:tc>
        <w:tc>
          <w:tcPr>
            <w:tcW w:w="561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rPr>
                <w:rStyle w:val="BoldandItalics"/>
              </w:rPr>
              <w:t xml:space="preserve">Properties of glazing units </w:t>
            </w:r>
            <w:r w:rsidRPr="00C21C41">
              <w:t>that may infl</w:t>
            </w:r>
            <w:r w:rsidRPr="00C21C41">
              <w:t>uence the thermal performance of buildings are identified.</w:t>
            </w:r>
          </w:p>
        </w:tc>
      </w:tr>
      <w:tr w:rsidTr="00C21C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21C41" w:rsidP="00C21C41">
            <w:pPr>
              <w:pStyle w:val="BodyText"/>
            </w:pPr>
            <w:r w:rsidRPr="00C21C41">
              <w:t>1.3</w:t>
            </w:r>
          </w:p>
        </w:tc>
        <w:tc>
          <w:tcPr>
            <w:tcW w:w="561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rPr>
                <w:rStyle w:val="BoldandItalics"/>
              </w:rPr>
              <w:t>Ways in which the use of building materials may influence the thermal performance of buildings</w:t>
            </w:r>
            <w:r w:rsidRPr="00C21C41">
              <w:t xml:space="preserve"> are identified.</w:t>
            </w:r>
          </w:p>
        </w:tc>
      </w:tr>
      <w:tr w:rsidTr="00C21C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1.4</w:t>
            </w:r>
          </w:p>
        </w:tc>
        <w:tc>
          <w:tcPr>
            <w:tcW w:w="561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Impact of climate on the choice of construction materials that improve the thermal performance of buildings is identified.</w:t>
            </w:r>
          </w:p>
        </w:tc>
      </w:tr>
      <w:tr w:rsidTr="00C21C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1.5</w:t>
            </w:r>
          </w:p>
        </w:tc>
        <w:tc>
          <w:tcPr>
            <w:tcW w:w="561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 xml:space="preserve">Ways in which </w:t>
            </w:r>
            <w:r w:rsidRPr="00C21C41">
              <w:rPr>
                <w:rStyle w:val="BoldandItalics"/>
              </w:rPr>
              <w:t>physical constraints</w:t>
            </w:r>
            <w:r w:rsidRPr="00C21C41">
              <w:t xml:space="preserve"> may influence the choice of building materials when improving the thermal performance of bu</w:t>
            </w:r>
            <w:r w:rsidRPr="00C21C41">
              <w:t>ildings are identified.</w:t>
            </w:r>
          </w:p>
        </w:tc>
      </w:tr>
      <w:tr w:rsidTr="00C21C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1.6</w:t>
            </w:r>
          </w:p>
        </w:tc>
        <w:tc>
          <w:tcPr>
            <w:tcW w:w="561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Construction materials are identified that meet requirements for improving the thermal performance of residential buildings.</w:t>
            </w:r>
          </w:p>
        </w:tc>
      </w:tr>
      <w:tr w:rsidTr="00C21C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21C41" w:rsidP="00C21C41">
            <w:pPr>
              <w:pStyle w:val="BodyText"/>
            </w:pPr>
            <w:r w:rsidRPr="00C21C41">
              <w:t>1.7</w:t>
            </w:r>
          </w:p>
        </w:tc>
        <w:tc>
          <w:tcPr>
            <w:tcW w:w="561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rPr>
                <w:rStyle w:val="BoldandItalics"/>
              </w:rPr>
              <w:t>Correct use and installation of materials</w:t>
            </w:r>
            <w:r w:rsidRPr="00C21C41">
              <w:t xml:space="preserve"> to improve thermal performance are identified.</w:t>
            </w:r>
          </w:p>
        </w:tc>
      </w:tr>
      <w:tr w:rsidTr="00C21C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1.8</w:t>
            </w:r>
          </w:p>
        </w:tc>
        <w:tc>
          <w:tcPr>
            <w:tcW w:w="5610" w:type="dxa"/>
            <w:tcBorders>
              <w:top w:val="nil"/>
              <w:left w:val="nil"/>
              <w:bottom w:val="nil"/>
              <w:right w:val="nil"/>
            </w:tcBorders>
            <w:tcMar>
              <w:top w:w="0" w:type="dxa"/>
              <w:left w:w="62" w:type="dxa"/>
              <w:bottom w:w="0" w:type="dxa"/>
              <w:right w:w="62" w:type="dxa"/>
            </w:tcMar>
          </w:tcPr>
          <w:p w:rsidR="00000000" w:rsidRPr="00C21C41" w:rsidP="00C21C41">
            <w:pPr>
              <w:pStyle w:val="BodyText"/>
            </w:pPr>
            <w:r w:rsidRPr="00C21C41">
              <w:t>Condition of materials and the effect of condition on degrading thermal performance are identified.</w:t>
            </w:r>
          </w:p>
        </w:tc>
      </w:tr>
    </w:tbl>
    <w:p w:rsidR="00000000" w:rsidRPr="00C21C41" w:rsidP="00C21C41">
      <w:pPr>
        <w:pStyle w:val="BodyText"/>
      </w:pPr>
    </w:p>
    <w:tbl>
      <w:tblPr>
        <w:tblW w:w="0" w:type="auto"/>
        <w:tblLayout w:type="fixed"/>
        <w:tblCellMar>
          <w:left w:w="62" w:type="dxa"/>
          <w:right w:w="62" w:type="dxa"/>
        </w:tblCellMar>
        <w:tblLook w:val="0000"/>
      </w:tblPr>
      <w:tblGrid>
        <w:gridCol w:w="678"/>
        <w:gridCol w:w="1962"/>
        <w:gridCol w:w="770"/>
        <w:gridCol w:w="5610"/>
      </w:tblGrid>
      <w:tr w:rsidTr="00C21C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2</w:t>
            </w:r>
          </w:p>
        </w:tc>
        <w:tc>
          <w:tcPr>
            <w:tcW w:w="1962" w:type="dxa"/>
            <w:vMerge w:val="restart"/>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 xml:space="preserve">Assess impact of building design features on thermal performance of residential </w:t>
            </w:r>
            <w:r w:rsidRPr="00C21C41">
              <w:t>buildings.</w:t>
            </w:r>
          </w:p>
        </w:tc>
        <w:tc>
          <w:tcPr>
            <w:tcW w:w="770" w:type="dxa"/>
            <w:tcBorders>
              <w:top w:val="nil"/>
              <w:left w:val="nil"/>
              <w:bottom w:val="nil"/>
              <w:right w:val="nil"/>
            </w:tcBorders>
            <w:tcMar>
              <w:top w:w="0" w:type="dxa"/>
              <w:left w:w="62" w:type="dxa"/>
              <w:bottom w:w="0" w:type="dxa"/>
              <w:right w:w="62" w:type="dxa"/>
            </w:tcMar>
          </w:tcPr>
          <w:p w:rsidR="00000000" w:rsidRPr="00C21C41" w:rsidP="00C21C41">
            <w:pPr>
              <w:pStyle w:val="BodyText"/>
            </w:pPr>
            <w:r w:rsidRPr="00C21C41">
              <w:t>2.1</w:t>
            </w:r>
          </w:p>
        </w:tc>
        <w:tc>
          <w:tcPr>
            <w:tcW w:w="561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rPr>
                <w:rStyle w:val="BoldandItalics"/>
              </w:rPr>
              <w:t>Building design features</w:t>
            </w:r>
            <w:r w:rsidRPr="00C21C41">
              <w:t xml:space="preserve"> that influence the thermal p</w:t>
            </w:r>
            <w:r w:rsidRPr="00C21C41">
              <w:t>erformance of residential buildings are identified using correct industry and regulatory terminology.</w:t>
            </w:r>
          </w:p>
        </w:tc>
      </w:tr>
      <w:tr w:rsidTr="00C21C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2.2</w:t>
            </w:r>
          </w:p>
        </w:tc>
        <w:tc>
          <w:tcPr>
            <w:tcW w:w="561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Potential impact of building design features on thermal performance is identified.</w:t>
            </w:r>
          </w:p>
        </w:tc>
      </w:tr>
      <w:tr w:rsidTr="00C21C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2.3</w:t>
            </w:r>
          </w:p>
        </w:tc>
        <w:tc>
          <w:tcPr>
            <w:tcW w:w="5610" w:type="dxa"/>
            <w:tcBorders>
              <w:top w:val="nil"/>
              <w:left w:val="nil"/>
              <w:bottom w:val="nil"/>
              <w:right w:val="nil"/>
            </w:tcBorders>
            <w:tcMar>
              <w:top w:w="0" w:type="dxa"/>
              <w:left w:w="62" w:type="dxa"/>
              <w:bottom w:w="0" w:type="dxa"/>
              <w:right w:w="62" w:type="dxa"/>
            </w:tcMar>
          </w:tcPr>
          <w:p w:rsidR="00000000" w:rsidRPr="00C21C41" w:rsidP="00C21C41">
            <w:pPr>
              <w:pStyle w:val="BodyText"/>
            </w:pPr>
            <w:r w:rsidRPr="00C21C41">
              <w:t>Ways in which building design features may be altered to improve thermal performance of residential buildings are identified.</w:t>
            </w:r>
          </w:p>
        </w:tc>
      </w:tr>
    </w:tbl>
    <w:p w:rsidR="00000000" w:rsidRPr="00C21C41" w:rsidP="00C21C41">
      <w:pPr>
        <w:pStyle w:val="BodyText"/>
      </w:pPr>
    </w:p>
    <w:tbl>
      <w:tblPr>
        <w:tblW w:w="0" w:type="auto"/>
        <w:tblLayout w:type="fixed"/>
        <w:tblCellMar>
          <w:left w:w="62" w:type="dxa"/>
          <w:right w:w="62" w:type="dxa"/>
        </w:tblCellMar>
        <w:tblLook w:val="0000"/>
      </w:tblPr>
      <w:tblGrid>
        <w:gridCol w:w="678"/>
        <w:gridCol w:w="1962"/>
        <w:gridCol w:w="770"/>
        <w:gridCol w:w="5610"/>
      </w:tblGrid>
      <w:tr w:rsidTr="00C21C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3</w:t>
            </w:r>
          </w:p>
        </w:tc>
        <w:tc>
          <w:tcPr>
            <w:tcW w:w="1962" w:type="dxa"/>
            <w:vMerge w:val="restart"/>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Assess impact of residential construction methods on thermal performance.</w:t>
            </w:r>
          </w:p>
        </w:tc>
        <w:tc>
          <w:tcPr>
            <w:tcW w:w="770" w:type="dxa"/>
            <w:tcBorders>
              <w:top w:val="nil"/>
              <w:left w:val="nil"/>
              <w:bottom w:val="nil"/>
              <w:right w:val="nil"/>
            </w:tcBorders>
            <w:tcMar>
              <w:top w:w="0" w:type="dxa"/>
              <w:left w:w="62" w:type="dxa"/>
              <w:bottom w:w="0" w:type="dxa"/>
              <w:right w:w="62" w:type="dxa"/>
            </w:tcMar>
          </w:tcPr>
          <w:p w:rsidR="00000000" w:rsidRPr="00C21C41" w:rsidP="00C21C41">
            <w:pPr>
              <w:pStyle w:val="BodyText"/>
            </w:pPr>
            <w:r w:rsidRPr="00C21C41">
              <w:t>3.1</w:t>
            </w:r>
          </w:p>
        </w:tc>
        <w:tc>
          <w:tcPr>
            <w:tcW w:w="561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rPr>
                <w:rStyle w:val="BoldandItalics"/>
              </w:rPr>
              <w:t>Residential construction methods</w:t>
            </w:r>
            <w:r w:rsidRPr="00C21C41">
              <w:t xml:space="preserve"> are identified </w:t>
            </w:r>
            <w:r w:rsidRPr="00C21C41">
              <w:t>using correct industry terminology.</w:t>
            </w:r>
          </w:p>
        </w:tc>
      </w:tr>
      <w:tr w:rsidTr="00C21C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3.2</w:t>
            </w:r>
          </w:p>
        </w:tc>
        <w:tc>
          <w:tcPr>
            <w:tcW w:w="561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Potential impact of construction methods on thermal performance of buildings is identified.</w:t>
            </w:r>
          </w:p>
        </w:tc>
      </w:tr>
      <w:tr w:rsidTr="00C21C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21C41" w:rsidP="00C21C41">
            <w:pPr>
              <w:pStyle w:val="BodyText"/>
            </w:pPr>
            <w:r w:rsidRPr="00C21C41">
              <w:t>3.3</w:t>
            </w:r>
          </w:p>
        </w:tc>
        <w:tc>
          <w:tcPr>
            <w:tcW w:w="561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rPr>
                <w:rStyle w:val="BoldandItalics"/>
              </w:rPr>
              <w:t>Key components of the building envelope</w:t>
            </w:r>
            <w:r w:rsidRPr="00C21C41">
              <w:t xml:space="preserve"> are identified using correct industry terminology.</w:t>
            </w:r>
          </w:p>
        </w:tc>
      </w:tr>
      <w:tr w:rsidTr="00C21C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3.4</w:t>
            </w:r>
          </w:p>
        </w:tc>
        <w:tc>
          <w:tcPr>
            <w:tcW w:w="5610" w:type="dxa"/>
            <w:tcBorders>
              <w:top w:val="nil"/>
              <w:left w:val="nil"/>
              <w:bottom w:val="nil"/>
              <w:right w:val="nil"/>
            </w:tcBorders>
            <w:tcMar>
              <w:top w:w="0" w:type="dxa"/>
              <w:left w:w="62" w:type="dxa"/>
              <w:bottom w:w="0" w:type="dxa"/>
              <w:right w:w="62" w:type="dxa"/>
            </w:tcMar>
          </w:tcPr>
          <w:p w:rsidR="00000000" w:rsidRPr="00C21C41" w:rsidP="00C21C41">
            <w:pPr>
              <w:pStyle w:val="BodyText"/>
            </w:pPr>
            <w:r w:rsidRPr="00C21C41">
              <w:t xml:space="preserve">Impact of the construction of the key features of the building envelope on thermal performance is identified. </w:t>
            </w:r>
          </w:p>
        </w:tc>
      </w:tr>
    </w:tbl>
    <w:p w:rsidR="00000000" w:rsidRPr="00C21C41" w:rsidP="00C21C41">
      <w:pPr>
        <w:pStyle w:val="BodyText"/>
      </w:pPr>
    </w:p>
    <w:tbl>
      <w:tblPr>
        <w:tblW w:w="0" w:type="auto"/>
        <w:tblLayout w:type="fixed"/>
        <w:tblCellMar>
          <w:left w:w="62" w:type="dxa"/>
          <w:right w:w="62" w:type="dxa"/>
        </w:tblCellMar>
        <w:tblLook w:val="0000"/>
      </w:tblPr>
      <w:tblGrid>
        <w:gridCol w:w="678"/>
        <w:gridCol w:w="1962"/>
        <w:gridCol w:w="770"/>
        <w:gridCol w:w="5610"/>
      </w:tblGrid>
      <w:tr w:rsidTr="00C21C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4</w:t>
            </w:r>
          </w:p>
        </w:tc>
        <w:tc>
          <w:tcPr>
            <w:tcW w:w="1962" w:type="dxa"/>
            <w:vMerge w:val="restart"/>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Assess impact of common building defects on thermal performance.</w:t>
            </w:r>
          </w:p>
        </w:tc>
        <w:tc>
          <w:tcPr>
            <w:tcW w:w="770" w:type="dxa"/>
            <w:tcBorders>
              <w:top w:val="nil"/>
              <w:left w:val="nil"/>
              <w:bottom w:val="nil"/>
              <w:right w:val="nil"/>
            </w:tcBorders>
            <w:tcMar>
              <w:top w:w="0" w:type="dxa"/>
              <w:left w:w="62" w:type="dxa"/>
              <w:bottom w:w="0" w:type="dxa"/>
              <w:right w:w="62" w:type="dxa"/>
            </w:tcMar>
          </w:tcPr>
          <w:p w:rsidR="00000000" w:rsidRPr="00C21C41" w:rsidP="00C21C41">
            <w:pPr>
              <w:pStyle w:val="BodyText"/>
            </w:pPr>
            <w:r w:rsidRPr="00C21C41">
              <w:t>4.1</w:t>
            </w:r>
          </w:p>
        </w:tc>
        <w:tc>
          <w:tcPr>
            <w:tcW w:w="561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rPr>
                <w:rStyle w:val="BoldandItalics"/>
              </w:rPr>
              <w:t>Common building defects and poor construction techniques</w:t>
            </w:r>
            <w:r w:rsidRPr="00C21C41">
              <w:t>,</w:t>
            </w:r>
            <w:r w:rsidRPr="00C21C41">
              <w:rPr>
                <w:rStyle w:val="BoldandItalics"/>
              </w:rPr>
              <w:t xml:space="preserve"> </w:t>
            </w:r>
            <w:r w:rsidRPr="00C21C41">
              <w:t>as well as condition of building elements that may influence thermal performance of the building, are researched.</w:t>
            </w:r>
          </w:p>
        </w:tc>
      </w:tr>
      <w:tr w:rsidTr="00C21C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4.2</w:t>
            </w:r>
          </w:p>
        </w:tc>
        <w:tc>
          <w:tcPr>
            <w:tcW w:w="561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Sources of professional advice on ways of responding to common building defects that may influence the thermal performance of the build</w:t>
            </w:r>
            <w:r w:rsidRPr="00C21C41">
              <w:t>ing are identified.</w:t>
            </w:r>
          </w:p>
        </w:tc>
      </w:tr>
      <w:tr w:rsidTr="00C21C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4.3</w:t>
            </w:r>
          </w:p>
        </w:tc>
        <w:tc>
          <w:tcPr>
            <w:tcW w:w="5610" w:type="dxa"/>
            <w:tcBorders>
              <w:top w:val="nil"/>
              <w:left w:val="nil"/>
              <w:bottom w:val="nil"/>
              <w:right w:val="nil"/>
            </w:tcBorders>
            <w:tcMar>
              <w:top w:w="0" w:type="dxa"/>
              <w:left w:w="62" w:type="dxa"/>
              <w:bottom w:w="0" w:type="dxa"/>
              <w:right w:w="62" w:type="dxa"/>
            </w:tcMar>
          </w:tcPr>
          <w:p w:rsidR="00000000" w:rsidRPr="00C21C41" w:rsidP="00C21C41">
            <w:pPr>
              <w:pStyle w:val="BodyText"/>
            </w:pPr>
            <w:r w:rsidRPr="00C21C41">
              <w:t>Potential impact of poorly designed or installed</w:t>
            </w:r>
            <w:r w:rsidRPr="00C21C41">
              <w:rPr>
                <w:rStyle w:val="BoldandItalics"/>
              </w:rPr>
              <w:t xml:space="preserve"> measures for improving thermal performance</w:t>
            </w:r>
            <w:r w:rsidRPr="00C21C41">
              <w:t xml:space="preserve"> on other aspects of residential buildings is researched. </w:t>
            </w:r>
          </w:p>
        </w:tc>
      </w:tr>
    </w:tbl>
    <w:p w:rsidR="009C6A4F" w:rsidP="00C21C41">
      <w:pPr>
        <w:pStyle w:val="BodyText"/>
      </w:pPr>
    </w:p>
    <w:p w:rsidR="009C6A4F" w:rsidP="00C21C41">
      <w:pPr>
        <w:pStyle w:val="BodyText"/>
      </w:pPr>
    </w:p>
    <w:p w:rsidR="00000000" w:rsidRPr="00C21C41" w:rsidP="00C21C41">
      <w:pPr>
        <w:pStyle w:val="Heading1"/>
      </w:pPr>
      <w:bookmarkStart w:id="9" w:name="O_489539"/>
      <w:bookmarkEnd w:id="9"/>
      <w:r w:rsidRPr="00C21C41">
        <w:t>Required Skills and Knowledge</w:t>
      </w:r>
    </w:p>
    <w:tbl>
      <w:tblPr>
        <w:tblW w:w="0" w:type="auto"/>
        <w:tblLayout w:type="fixed"/>
        <w:tblCellMar>
          <w:left w:w="62" w:type="dxa"/>
          <w:right w:w="62" w:type="dxa"/>
        </w:tblCellMar>
        <w:tblLook w:val="0000"/>
      </w:tblPr>
      <w:tblGrid>
        <w:gridCol w:w="9178"/>
      </w:tblGrid>
      <w:tr w:rsidTr="00C21C4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t>This section describes the skills and knowledge required for this unit.</w:t>
            </w:r>
          </w:p>
        </w:tc>
      </w:tr>
      <w:tr w:rsidTr="00C21C4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rPr>
                <w:rStyle w:val="SpecialBold"/>
              </w:rPr>
              <w:t>Required skills</w:t>
            </w:r>
          </w:p>
        </w:tc>
      </w:tr>
      <w:tr w:rsidTr="00C21C4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C21C41" w:rsidP="00C21C41">
            <w:pPr>
              <w:pStyle w:val="ListBullet"/>
            </w:pPr>
            <w:r w:rsidRPr="00C21C41">
              <w:t>literacy skills to:</w:t>
            </w:r>
          </w:p>
          <w:p w:rsidR="00000000" w:rsidRPr="00C21C41" w:rsidP="00C21C41">
            <w:pPr>
              <w:pStyle w:val="ListBullet2"/>
            </w:pPr>
            <w:r w:rsidRPr="00C21C41">
              <w:t>apply correct building industry terminology for construction materials and methods</w:t>
            </w:r>
          </w:p>
          <w:p w:rsidR="00000000" w:rsidRPr="00C21C41" w:rsidP="00C21C41">
            <w:pPr>
              <w:pStyle w:val="ListBullet2"/>
            </w:pPr>
            <w:r w:rsidRPr="00C21C41">
              <w:t>read and interpret written sources of information on the thermal performance of construction materials</w:t>
            </w:r>
          </w:p>
          <w:p w:rsidR="00000000" w:rsidRPr="00C21C41" w:rsidP="00C21C41">
            <w:pPr>
              <w:pStyle w:val="ListBullet"/>
            </w:pPr>
            <w:r w:rsidRPr="00C21C41">
              <w:t>numeracy and data analysis skills to calculate and interpret statistical information on the thermal performance of different construction materials and m</w:t>
            </w:r>
            <w:r w:rsidRPr="00C21C41">
              <w:t>ethods</w:t>
            </w:r>
          </w:p>
          <w:p w:rsidR="00000000" w:rsidRPr="00C21C41" w:rsidP="00C21C41">
            <w:pPr>
              <w:pStyle w:val="ListBullet"/>
            </w:pPr>
            <w:r w:rsidRPr="00C21C41">
              <w:t>research skills to identify and locate documents and information required to assess the impact of construction materials, methods and condition on the thermal performance of residential buildings</w:t>
            </w:r>
          </w:p>
          <w:p w:rsidR="00000000" w:rsidRPr="00C21C41" w:rsidP="00C21C41">
            <w:pPr>
              <w:pStyle w:val="ListBullet"/>
            </w:pPr>
            <w:r w:rsidRPr="00C21C41">
              <w:t>technology skills to:</w:t>
            </w:r>
          </w:p>
          <w:p w:rsidR="00000000" w:rsidRPr="00C21C41" w:rsidP="00C21C41">
            <w:pPr>
              <w:pStyle w:val="ListBullet2"/>
            </w:pPr>
            <w:r w:rsidRPr="00C21C41">
              <w:t>operate computer equipment and</w:t>
            </w:r>
            <w:r w:rsidRPr="00C21C41">
              <w:t xml:space="preserve"> peripherals</w:t>
            </w:r>
          </w:p>
          <w:p w:rsidR="00000000" w:rsidRPr="00C21C41" w:rsidP="00C21C41">
            <w:pPr>
              <w:pStyle w:val="ListBullet2"/>
            </w:pPr>
            <w:r w:rsidRPr="00C21C41">
              <w:t>access online catalogues and references to source information on the thermal performance of construction materials</w:t>
            </w:r>
          </w:p>
          <w:p w:rsidR="00000000" w:rsidP="00C21C41">
            <w:pPr>
              <w:pStyle w:val="ListBullet"/>
              <w:rPr>
                <w:lang w:val="en-NZ"/>
              </w:rPr>
            </w:pPr>
            <w:r w:rsidRPr="00C21C41">
              <w:t>time-management skills to provide advice on the impact of construction materials and design elements on thermal performance to c</w:t>
            </w:r>
            <w:r w:rsidRPr="00C21C41">
              <w:t>lients in a time-efficient manner</w:t>
            </w:r>
          </w:p>
        </w:tc>
      </w:tr>
      <w:tr w:rsidTr="00C21C4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p>
        </w:tc>
      </w:tr>
      <w:tr w:rsidTr="00C21C4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21C41">
            <w:pPr>
              <w:pStyle w:val="BodyText"/>
              <w:rPr>
                <w:lang w:val="en-NZ"/>
              </w:rPr>
            </w:pPr>
            <w:r w:rsidRPr="00C21C41">
              <w:rPr>
                <w:rStyle w:val="SpecialBold"/>
              </w:rPr>
              <w:t>Required knowledge</w:t>
            </w:r>
          </w:p>
        </w:tc>
      </w:tr>
      <w:tr w:rsidTr="00C21C4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C21C41" w:rsidP="00C21C41">
            <w:pPr>
              <w:pStyle w:val="ListBullet"/>
            </w:pPr>
            <w:r w:rsidRPr="00C21C41">
              <w:t>building regulations, including National Construction Code requirements</w:t>
            </w:r>
          </w:p>
          <w:p w:rsidR="00000000" w:rsidRPr="00C21C41" w:rsidP="00C21C41">
            <w:pPr>
              <w:pStyle w:val="ListBullet"/>
            </w:pPr>
            <w:r w:rsidRPr="00C21C41">
              <w:t>building construction materials, including types, correct industry terms, and sources of information on the</w:t>
            </w:r>
            <w:r w:rsidRPr="00C21C41">
              <w:t>ir thermal performance</w:t>
            </w:r>
          </w:p>
          <w:p w:rsidR="00000000" w:rsidRPr="00C21C41" w:rsidP="00C21C41">
            <w:pPr>
              <w:pStyle w:val="ListBullet"/>
            </w:pPr>
            <w:r w:rsidRPr="00C21C41">
              <w:t>building construction methods: types, materials, benefits and limitations, and implication for thermal performance of structure</w:t>
            </w:r>
          </w:p>
          <w:p w:rsidR="00000000" w:rsidRPr="00C21C41" w:rsidP="00C21C41">
            <w:pPr>
              <w:pStyle w:val="ListBullet"/>
            </w:pPr>
            <w:r w:rsidRPr="00C21C41">
              <w:t>building defects that impact on thermal performance</w:t>
            </w:r>
          </w:p>
          <w:p w:rsidR="00000000" w:rsidRPr="00C21C41" w:rsidP="00C21C41">
            <w:pPr>
              <w:pStyle w:val="ListBullet"/>
            </w:pPr>
            <w:r w:rsidRPr="00C21C41">
              <w:t>building design features that may influence the therm</w:t>
            </w:r>
            <w:r w:rsidRPr="00C21C41">
              <w:t>al performance of a building:</w:t>
            </w:r>
          </w:p>
          <w:p w:rsidR="00000000" w:rsidRPr="00C21C41" w:rsidP="00C21C41">
            <w:pPr>
              <w:pStyle w:val="ListBullet2"/>
            </w:pPr>
            <w:r w:rsidRPr="00C21C41">
              <w:t>common walls</w:t>
            </w:r>
          </w:p>
          <w:p w:rsidR="00000000" w:rsidRPr="00C21C41" w:rsidP="00C21C41">
            <w:pPr>
              <w:pStyle w:val="ListBullet2"/>
            </w:pPr>
            <w:r w:rsidRPr="00C21C41">
              <w:t>convection</w:t>
            </w:r>
          </w:p>
          <w:p w:rsidR="00000000" w:rsidRPr="00C21C41" w:rsidP="00C21C41">
            <w:pPr>
              <w:pStyle w:val="ListBullet2"/>
            </w:pPr>
            <w:r w:rsidRPr="00C21C41">
              <w:t>eaves</w:t>
            </w:r>
          </w:p>
          <w:p w:rsidR="00000000" w:rsidRPr="00C21C41" w:rsidP="00C21C41">
            <w:pPr>
              <w:pStyle w:val="ListBullet2"/>
            </w:pPr>
            <w:r w:rsidRPr="00C21C41">
              <w:t>floor type</w:t>
            </w:r>
          </w:p>
          <w:p w:rsidR="00000000" w:rsidRPr="00C21C41" w:rsidP="00C21C41">
            <w:pPr>
              <w:pStyle w:val="ListBullet2"/>
            </w:pPr>
            <w:r w:rsidRPr="00C21C41">
              <w:t>glazing</w:t>
            </w:r>
          </w:p>
          <w:p w:rsidR="00000000" w:rsidRPr="00C21C41" w:rsidP="00C21C41">
            <w:pPr>
              <w:pStyle w:val="ListBullet2"/>
            </w:pPr>
            <w:r w:rsidRPr="00C21C41">
              <w:t>insulation</w:t>
            </w:r>
          </w:p>
          <w:p w:rsidR="00000000" w:rsidRPr="00C21C41" w:rsidP="00C21C41">
            <w:pPr>
              <w:pStyle w:val="ListBullet2"/>
            </w:pPr>
            <w:r w:rsidRPr="00C21C41">
              <w:t>landscaping</w:t>
            </w:r>
          </w:p>
          <w:p w:rsidR="00000000" w:rsidRPr="00C21C41" w:rsidP="00C21C41">
            <w:pPr>
              <w:pStyle w:val="ListBullet2"/>
            </w:pPr>
            <w:r w:rsidRPr="00C21C41">
              <w:t>mass</w:t>
            </w:r>
          </w:p>
          <w:p w:rsidR="00000000" w:rsidRPr="00C21C41" w:rsidP="00C21C41">
            <w:pPr>
              <w:pStyle w:val="ListBullet2"/>
            </w:pPr>
            <w:r w:rsidRPr="00C21C41">
              <w:t>materials</w:t>
            </w:r>
          </w:p>
          <w:p w:rsidR="00000000" w:rsidRPr="00C21C41" w:rsidP="00C21C41">
            <w:pPr>
              <w:pStyle w:val="ListBullet2"/>
            </w:pPr>
            <w:r w:rsidRPr="00C21C41">
              <w:t>orientation</w:t>
            </w:r>
          </w:p>
          <w:p w:rsidR="00000000" w:rsidRPr="00C21C41" w:rsidP="00C21C41">
            <w:pPr>
              <w:pStyle w:val="ListBullet2"/>
            </w:pPr>
            <w:r w:rsidRPr="00C21C41">
              <w:t>shading</w:t>
            </w:r>
          </w:p>
          <w:p w:rsidR="00000000" w:rsidRPr="00C21C41" w:rsidP="00C21C41">
            <w:pPr>
              <w:pStyle w:val="ListBullet2"/>
            </w:pPr>
            <w:r w:rsidRPr="00C21C41">
              <w:t>siting</w:t>
            </w:r>
          </w:p>
          <w:p w:rsidR="00000000" w:rsidRPr="00C21C41" w:rsidP="00C21C41">
            <w:pPr>
              <w:pStyle w:val="ListBullet2"/>
            </w:pPr>
            <w:r w:rsidRPr="00C21C41">
              <w:t>thermal mass</w:t>
            </w:r>
          </w:p>
          <w:p w:rsidR="00000000" w:rsidRPr="00C21C41" w:rsidP="00C21C41">
            <w:pPr>
              <w:pStyle w:val="ListBullet2"/>
            </w:pPr>
            <w:r w:rsidRPr="00C21C41">
              <w:t>ventilation</w:t>
            </w:r>
          </w:p>
          <w:p w:rsidR="00000000" w:rsidRPr="00C21C41" w:rsidP="00C21C41">
            <w:pPr>
              <w:pStyle w:val="ListBullet2"/>
            </w:pPr>
            <w:r w:rsidRPr="00C21C41">
              <w:t>windows</w:t>
            </w:r>
          </w:p>
          <w:p w:rsidR="00000000" w:rsidRPr="00C21C41" w:rsidP="00C21C41">
            <w:pPr>
              <w:pStyle w:val="ListBullet2"/>
            </w:pPr>
            <w:r w:rsidRPr="00C21C41">
              <w:t>zoning and layout</w:t>
            </w:r>
          </w:p>
          <w:p w:rsidR="00000000" w:rsidRPr="00C21C41" w:rsidP="00C21C41">
            <w:pPr>
              <w:pStyle w:val="ListBullet"/>
            </w:pPr>
            <w:r w:rsidRPr="00C21C41">
              <w:t>building envelope components:</w:t>
            </w:r>
          </w:p>
          <w:p w:rsidR="00000000" w:rsidRPr="00C21C41" w:rsidP="00C21C41">
            <w:pPr>
              <w:pStyle w:val="ListBullet2"/>
            </w:pPr>
            <w:r w:rsidRPr="00C21C41">
              <w:t>flooring</w:t>
            </w:r>
          </w:p>
          <w:p w:rsidR="00000000" w:rsidRPr="00C21C41" w:rsidP="00C21C41">
            <w:pPr>
              <w:pStyle w:val="ListBullet2"/>
            </w:pPr>
            <w:r w:rsidRPr="00C21C41">
              <w:t>roof</w:t>
            </w:r>
          </w:p>
          <w:p w:rsidR="00000000" w:rsidRPr="00C21C41" w:rsidP="00C21C41">
            <w:pPr>
              <w:pStyle w:val="ListBullet2"/>
            </w:pPr>
            <w:r w:rsidRPr="00C21C41">
              <w:t>wall</w:t>
            </w:r>
          </w:p>
          <w:p w:rsidR="00000000" w:rsidRPr="00C21C41" w:rsidP="00C21C41">
            <w:pPr>
              <w:pStyle w:val="ListBullet2"/>
            </w:pPr>
            <w:r w:rsidRPr="00C21C41">
              <w:t>windows</w:t>
            </w:r>
          </w:p>
          <w:p w:rsidR="00000000" w:rsidRPr="00C21C41" w:rsidP="00C21C41">
            <w:pPr>
              <w:pStyle w:val="ListBullet"/>
            </w:pPr>
            <w:r w:rsidRPr="00C21C41">
              <w:t>building life cycle, and impact on energy use, costs and sustainability</w:t>
            </w:r>
          </w:p>
          <w:p w:rsidR="00000000" w:rsidRPr="00C21C41" w:rsidP="00C21C41">
            <w:pPr>
              <w:pStyle w:val="ListBullet"/>
            </w:pPr>
            <w:r w:rsidRPr="00C21C41">
              <w:t>building materials:</w:t>
            </w:r>
          </w:p>
          <w:p w:rsidR="00000000" w:rsidRPr="00C21C41" w:rsidP="00C21C41">
            <w:pPr>
              <w:pStyle w:val="ListBullet2"/>
            </w:pPr>
            <w:r w:rsidRPr="00C21C41">
              <w:t>constraints on choice of building materials:</w:t>
            </w:r>
          </w:p>
          <w:p w:rsidR="00000000" w:rsidRPr="00C21C41" w:rsidP="00C21C41">
            <w:pPr>
              <w:pStyle w:val="ListBullet3"/>
            </w:pPr>
            <w:r w:rsidRPr="00C21C41">
              <w:t>cost</w:t>
            </w:r>
          </w:p>
          <w:p w:rsidR="00000000" w:rsidRPr="00C21C41" w:rsidP="00C21C41">
            <w:pPr>
              <w:pStyle w:val="ListBullet3"/>
            </w:pPr>
            <w:r w:rsidRPr="00C21C41">
              <w:t>practicality</w:t>
            </w:r>
          </w:p>
          <w:p w:rsidR="00000000" w:rsidRPr="00C21C41" w:rsidP="00C21C41">
            <w:pPr>
              <w:pStyle w:val="ListBullet3"/>
            </w:pPr>
            <w:r w:rsidRPr="00C21C41">
              <w:t>size</w:t>
            </w:r>
          </w:p>
          <w:p w:rsidR="00000000" w:rsidRPr="00C21C41" w:rsidP="00C21C41">
            <w:pPr>
              <w:pStyle w:val="ListBullet3"/>
            </w:pPr>
            <w:r w:rsidRPr="00C21C41">
              <w:t>space</w:t>
            </w:r>
          </w:p>
          <w:p w:rsidR="00000000" w:rsidRPr="00C21C41" w:rsidP="00C21C41">
            <w:pPr>
              <w:pStyle w:val="ListBullet2"/>
            </w:pPr>
            <w:r w:rsidRPr="00C21C41">
              <w:t>correct terminology for building materials</w:t>
            </w:r>
          </w:p>
          <w:p w:rsidR="00000000" w:rsidRPr="00C21C41" w:rsidP="00C21C41">
            <w:pPr>
              <w:pStyle w:val="ListBullet"/>
            </w:pPr>
            <w:r w:rsidRPr="00C21C41">
              <w:t>causes of and remedies for condensation</w:t>
            </w:r>
          </w:p>
          <w:p w:rsidR="00000000" w:rsidRPr="00C21C41" w:rsidP="00C21C41">
            <w:pPr>
              <w:pStyle w:val="ListBullet"/>
            </w:pPr>
            <w:r w:rsidRPr="00C21C41">
              <w:t>passive building design principles</w:t>
            </w:r>
          </w:p>
          <w:p w:rsidR="00000000" w:rsidRPr="00C21C41" w:rsidP="00C21C41">
            <w:pPr>
              <w:pStyle w:val="ListBullet"/>
            </w:pPr>
            <w:r w:rsidRPr="00C21C41">
              <w:t>properties of building materials that can influence thermal performance:</w:t>
            </w:r>
          </w:p>
          <w:p w:rsidR="00000000" w:rsidRPr="00C21C41" w:rsidP="00C21C41">
            <w:pPr>
              <w:pStyle w:val="ListBullet2"/>
            </w:pPr>
            <w:r w:rsidRPr="00C21C41">
              <w:t>emissivity</w:t>
            </w:r>
          </w:p>
          <w:p w:rsidR="00000000" w:rsidRPr="00C21C41" w:rsidP="00C21C41">
            <w:pPr>
              <w:pStyle w:val="ListBullet2"/>
            </w:pPr>
            <w:r w:rsidRPr="00C21C41">
              <w:t>R-value</w:t>
            </w:r>
          </w:p>
          <w:p w:rsidR="00000000" w:rsidRPr="00C21C41" w:rsidP="00C21C41">
            <w:pPr>
              <w:pStyle w:val="ListBullet2"/>
            </w:pPr>
            <w:r w:rsidRPr="00C21C41">
              <w:t>reflectivity</w:t>
            </w:r>
          </w:p>
          <w:p w:rsidR="00000000" w:rsidRPr="00C21C41" w:rsidP="00C21C41">
            <w:pPr>
              <w:pStyle w:val="ListBullet2"/>
            </w:pPr>
            <w:r w:rsidRPr="00C21C41">
              <w:t>solar absorptance</w:t>
            </w:r>
          </w:p>
          <w:p w:rsidR="00000000" w:rsidRPr="00C21C41" w:rsidP="00C21C41">
            <w:pPr>
              <w:pStyle w:val="ListBullet2"/>
            </w:pPr>
            <w:r w:rsidRPr="00C21C41">
              <w:t>U-value</w:t>
            </w:r>
          </w:p>
          <w:p w:rsidR="00000000" w:rsidRPr="00C21C41" w:rsidP="00C21C41">
            <w:pPr>
              <w:pStyle w:val="ListBullet"/>
            </w:pPr>
            <w:r w:rsidRPr="00C21C41">
              <w:t>properties of glazing units that can influence thermal performance:</w:t>
            </w:r>
          </w:p>
          <w:p w:rsidR="00000000" w:rsidRPr="00C21C41" w:rsidP="00C21C41">
            <w:pPr>
              <w:pStyle w:val="ListBullet2"/>
            </w:pPr>
            <w:r w:rsidRPr="00C21C41">
              <w:t>solar heat gain coefficient (SHGC)</w:t>
            </w:r>
          </w:p>
          <w:p w:rsidR="00000000" w:rsidRPr="00C21C41" w:rsidP="00C21C41">
            <w:pPr>
              <w:pStyle w:val="ListBullet2"/>
            </w:pPr>
            <w:r w:rsidRPr="00C21C41">
              <w:t>U-value</w:t>
            </w:r>
          </w:p>
          <w:p w:rsidR="00000000" w:rsidRPr="00C21C41" w:rsidP="00C21C41">
            <w:pPr>
              <w:pStyle w:val="ListBullet2"/>
            </w:pPr>
            <w:r w:rsidRPr="00C21C41">
              <w:t>visible light transmission (VLT)</w:t>
            </w:r>
          </w:p>
        </w:tc>
      </w:tr>
    </w:tbl>
    <w:p w:rsidR="009C6A4F" w:rsidP="00C21C41">
      <w:pPr>
        <w:pStyle w:val="BodyText"/>
      </w:pPr>
    </w:p>
    <w:p w:rsidR="009C6A4F" w:rsidP="00C21C41">
      <w:pPr>
        <w:pStyle w:val="BodyText"/>
      </w:pPr>
    </w:p>
    <w:p w:rsidR="00000000" w:rsidRPr="00C21C41" w:rsidP="00C21C41">
      <w:pPr>
        <w:pStyle w:val="Heading1"/>
      </w:pPr>
      <w:bookmarkStart w:id="10" w:name="O_489540"/>
      <w:bookmarkEnd w:id="10"/>
      <w:r w:rsidRPr="00C21C41">
        <w:t>Evidence Guide</w:t>
      </w:r>
    </w:p>
    <w:tbl>
      <w:tblPr>
        <w:tblW w:w="0" w:type="auto"/>
        <w:tblLayout w:type="fixed"/>
        <w:tblCellMar>
          <w:left w:w="62" w:type="dxa"/>
          <w:right w:w="62" w:type="dxa"/>
        </w:tblCellMar>
        <w:tblLook w:val="0000"/>
      </w:tblPr>
      <w:tblGrid>
        <w:gridCol w:w="2644"/>
        <w:gridCol w:w="6534"/>
      </w:tblGrid>
      <w:tr w:rsidTr="00C21C41">
        <w:tblPrEx>
          <w:tblW w:w="0" w:type="auto"/>
          <w:tblLayout w:type="fixed"/>
          <w:tblCellMar>
            <w:left w:w="62" w:type="dxa"/>
            <w:right w:w="62" w:type="dxa"/>
          </w:tblCellMar>
          <w:tblLook w:val="0000"/>
        </w:tblPrEx>
        <w:tc>
          <w:tcPr>
            <w:tcW w:w="917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21C41">
            <w:pPr>
              <w:pStyle w:val="BodyText"/>
              <w:rPr>
                <w:lang w:val="en-NZ"/>
              </w:rPr>
            </w:pPr>
            <w:r w:rsidRPr="00C21C41">
              <w:t xml:space="preserve">The evidence guide provides advice on assessment and must be read in conjunction with the performance criteria, required skills and knowledge, </w:t>
            </w:r>
            <w:r w:rsidRPr="00C21C41">
              <w:t>range statement and the Assessment Guidelines for the Training Package.</w:t>
            </w:r>
          </w:p>
        </w:tc>
      </w:tr>
      <w:tr w:rsidTr="00C21C41">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C41">
            <w:pPr>
              <w:pStyle w:val="BodyText"/>
              <w:rPr>
                <w:lang w:val="en-NZ"/>
              </w:rPr>
            </w:pPr>
            <w:r w:rsidRPr="00C21C41">
              <w:rPr>
                <w:rStyle w:val="SpecialBold"/>
              </w:rPr>
              <w:t>Overview of assessment</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C41">
            <w:pPr>
              <w:pStyle w:val="BodyText"/>
              <w:rPr>
                <w:lang w:val="en-NZ"/>
              </w:rPr>
            </w:pPr>
            <w:r w:rsidRPr="00C21C41">
              <w:t>This unit of competency could be assessed by candidates evaluating the impact of construction materials, design elements, key features of the building envelope</w:t>
            </w:r>
            <w:r w:rsidRPr="00C21C41">
              <w:t>, and construction condition on thermal performance of residential buildings.</w:t>
            </w:r>
          </w:p>
        </w:tc>
      </w:tr>
      <w:tr w:rsidTr="00C21C41">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C41">
            <w:pPr>
              <w:pStyle w:val="BodyText"/>
              <w:rPr>
                <w:lang w:val="en-NZ"/>
              </w:rPr>
            </w:pPr>
            <w:r w:rsidRPr="00C21C41">
              <w:rPr>
                <w:rStyle w:val="SpecialBold"/>
              </w:rPr>
              <w:t>Critical aspects for assessment and evidence required to demonstrate competency in this unit</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C41" w:rsidP="00C21C41">
            <w:pPr>
              <w:pStyle w:val="BodyText"/>
            </w:pPr>
            <w:r w:rsidRPr="00C21C41">
              <w:t>A person should demonstrate the ability to:</w:t>
            </w:r>
          </w:p>
          <w:p w:rsidR="00000000" w:rsidRPr="00C21C41" w:rsidP="00C21C41">
            <w:pPr>
              <w:pStyle w:val="ListBullet"/>
            </w:pPr>
            <w:r w:rsidRPr="00C21C41">
              <w:t>assess the impact of:</w:t>
            </w:r>
          </w:p>
          <w:p w:rsidR="00000000" w:rsidRPr="00C21C41" w:rsidP="00C21C41">
            <w:pPr>
              <w:pStyle w:val="ListBullet2"/>
            </w:pPr>
            <w:r w:rsidRPr="00C21C41">
              <w:t>construction mate</w:t>
            </w:r>
            <w:r w:rsidRPr="00C21C41">
              <w:t>rials on thermal performance of residential buildings</w:t>
            </w:r>
          </w:p>
          <w:p w:rsidR="00000000" w:rsidRPr="00C21C41" w:rsidP="00C21C41">
            <w:pPr>
              <w:pStyle w:val="ListBullet2"/>
            </w:pPr>
            <w:r w:rsidRPr="00C21C41">
              <w:t>building design and external elements on thermal performance of residential buildings</w:t>
            </w:r>
          </w:p>
          <w:p w:rsidR="00000000" w:rsidRPr="00C21C41" w:rsidP="00C21C41">
            <w:pPr>
              <w:pStyle w:val="ListBullet2"/>
            </w:pPr>
            <w:r w:rsidRPr="00C21C41">
              <w:t>residential construction methods on thermal performance</w:t>
            </w:r>
          </w:p>
          <w:p w:rsidR="00000000" w:rsidRPr="00C21C41" w:rsidP="00C21C41">
            <w:pPr>
              <w:pStyle w:val="ListBullet2"/>
            </w:pPr>
            <w:r w:rsidRPr="00C21C41">
              <w:t>common building defects on thermal performance</w:t>
            </w:r>
          </w:p>
          <w:p w:rsidR="00000000" w:rsidRPr="00C21C41" w:rsidP="00C21C41">
            <w:pPr>
              <w:pStyle w:val="ListBullet"/>
            </w:pPr>
            <w:r w:rsidRPr="00C21C41">
              <w:t>explain the impact of the construction of key elements of the building envelope on thermal performance</w:t>
            </w:r>
          </w:p>
          <w:p w:rsidR="00000000" w:rsidRPr="00C21C41" w:rsidP="00C21C41">
            <w:pPr>
              <w:pStyle w:val="ListBullet"/>
            </w:pPr>
            <w:r w:rsidRPr="00C21C41">
              <w:t>research non-standard building materials and techniques</w:t>
            </w:r>
          </w:p>
          <w:p w:rsidR="00000000" w:rsidP="00C21C41">
            <w:pPr>
              <w:pStyle w:val="ListBullet"/>
              <w:rPr>
                <w:lang w:val="en-NZ"/>
              </w:rPr>
            </w:pPr>
            <w:r w:rsidRPr="00C21C41">
              <w:t>identify potential impacts of thermal performance improvements on other health, safety, amenity a</w:t>
            </w:r>
            <w:r w:rsidRPr="00C21C41">
              <w:t xml:space="preserve">nd sustainability aspects of building performance. </w:t>
            </w:r>
          </w:p>
        </w:tc>
      </w:tr>
      <w:tr w:rsidTr="00C21C41">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C41">
            <w:pPr>
              <w:pStyle w:val="BodyText"/>
              <w:rPr>
                <w:lang w:val="en-NZ"/>
              </w:rPr>
            </w:pPr>
            <w:r w:rsidRPr="00C21C41">
              <w:rPr>
                <w:rStyle w:val="SpecialBold"/>
              </w:rPr>
              <w:t>Context of and specific resources for assessment</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C41" w:rsidP="00C21C41">
            <w:pPr>
              <w:pStyle w:val="BodyText"/>
            </w:pPr>
            <w:r w:rsidRPr="00C21C41">
              <w:t>Assessment of this unit:</w:t>
            </w:r>
          </w:p>
          <w:p w:rsidR="00000000" w:rsidRPr="00C21C41" w:rsidP="00C21C41">
            <w:pPr>
              <w:pStyle w:val="ListBullet"/>
            </w:pPr>
            <w:r w:rsidRPr="00C21C41">
              <w:t>must be in the context of the work environment</w:t>
            </w:r>
          </w:p>
          <w:p w:rsidR="00000000" w:rsidRPr="00C21C41" w:rsidP="00C21C41">
            <w:pPr>
              <w:pStyle w:val="ListBullet"/>
            </w:pPr>
            <w:r w:rsidRPr="00C21C41">
              <w:t>may be conducted in an off-site context, provided it is realistic and sufficiently</w:t>
            </w:r>
            <w:r w:rsidRPr="00C21C41">
              <w:t xml:space="preserve"> rigorous to cover all aspects of workplace performance, including task skills, task management skills, contingency management skills and job role environment skills</w:t>
            </w:r>
          </w:p>
          <w:p w:rsidR="00000000" w:rsidRPr="00C21C41" w:rsidP="00C21C41">
            <w:pPr>
              <w:pStyle w:val="ListBullet"/>
            </w:pPr>
            <w:r w:rsidRPr="00C21C41">
              <w:t>must meet relevant compliance requirements.</w:t>
            </w:r>
          </w:p>
          <w:p w:rsidR="00000000" w:rsidRPr="00C21C41" w:rsidP="00C21C41">
            <w:pPr>
              <w:pStyle w:val="BodyText"/>
            </w:pPr>
            <w:r w:rsidRPr="00C21C41">
              <w:t>Resource implications for assessment include:</w:t>
            </w:r>
          </w:p>
          <w:p w:rsidR="00000000" w:rsidRPr="00C21C41" w:rsidP="00C21C41">
            <w:pPr>
              <w:pStyle w:val="ListBullet"/>
            </w:pPr>
            <w:r w:rsidRPr="00C21C41">
              <w:t>access to existing buildings and building materials</w:t>
            </w:r>
          </w:p>
          <w:p w:rsidR="00000000" w:rsidRPr="00C21C41" w:rsidP="00C21C41">
            <w:pPr>
              <w:pStyle w:val="ListBullet"/>
            </w:pPr>
            <w:r w:rsidRPr="00C21C41">
              <w:t>relevant codes, standards and government regulations</w:t>
            </w:r>
          </w:p>
          <w:p w:rsidR="00000000" w:rsidRPr="00C21C41" w:rsidP="00C21C41">
            <w:pPr>
              <w:pStyle w:val="ListBullet"/>
            </w:pPr>
            <w:r w:rsidRPr="00C21C41">
              <w:t>computer equipment suitable for accessing online catalogues and references to source information on the thermal performance of construction materials</w:t>
            </w:r>
          </w:p>
          <w:p w:rsidR="00000000" w:rsidP="00C21C41">
            <w:pPr>
              <w:pStyle w:val="ListBullet"/>
              <w:rPr>
                <w:lang w:val="en-NZ"/>
              </w:rPr>
            </w:pPr>
            <w:r w:rsidRPr="00C21C41">
              <w:t>t</w:t>
            </w:r>
            <w:r w:rsidRPr="00C21C41">
              <w:t>echnical reference library with current publications on passive building design, thermal performance of building materials and construction methods, building thermal performance, house energy rating schemes, and common building defects.</w:t>
            </w:r>
          </w:p>
        </w:tc>
      </w:tr>
      <w:tr w:rsidTr="00C21C41">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C41">
            <w:pPr>
              <w:pStyle w:val="BodyText"/>
              <w:rPr>
                <w:lang w:val="en-NZ"/>
              </w:rPr>
            </w:pPr>
            <w:r w:rsidRPr="00C21C41">
              <w:rPr>
                <w:rStyle w:val="SpecialBold"/>
              </w:rPr>
              <w:t>Method of assessme</w:t>
            </w:r>
            <w:r w:rsidRPr="00C21C41">
              <w:rPr>
                <w:rStyle w:val="SpecialBold"/>
              </w:rPr>
              <w:t>nt</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C41" w:rsidP="00C21C41">
            <w:pPr>
              <w:pStyle w:val="BodyText"/>
            </w:pPr>
            <w:r w:rsidRPr="00C21C41">
              <w:t>Assessment for this unit must verify the practical application of the required skills and knowledge, using one or more of the following methods:</w:t>
            </w:r>
          </w:p>
          <w:p w:rsidR="00000000" w:rsidRPr="00C21C41" w:rsidP="00C21C41">
            <w:pPr>
              <w:pStyle w:val="ListBullet"/>
            </w:pPr>
            <w:r w:rsidRPr="00C21C41">
              <w:t>written and/or oral assessment</w:t>
            </w:r>
          </w:p>
          <w:p w:rsidR="00000000" w:rsidRPr="00C21C41" w:rsidP="00C21C41">
            <w:pPr>
              <w:pStyle w:val="ListBullet"/>
            </w:pPr>
            <w:r w:rsidRPr="00C21C41">
              <w:t xml:space="preserve">observed, documented and/or first-hand testimonial evidence of the candidate </w:t>
            </w:r>
            <w:r w:rsidRPr="00C21C41">
              <w:t>evaluating the impact of the following on thermal performance of residential buildings:</w:t>
            </w:r>
          </w:p>
          <w:p w:rsidR="00000000" w:rsidRPr="00C21C41" w:rsidP="00C21C41">
            <w:pPr>
              <w:pStyle w:val="ListBullet2"/>
            </w:pPr>
            <w:r w:rsidRPr="00C21C41">
              <w:t>construction materials</w:t>
            </w:r>
          </w:p>
          <w:p w:rsidR="00000000" w:rsidRPr="00C21C41" w:rsidP="00C21C41">
            <w:pPr>
              <w:pStyle w:val="ListBullet2"/>
            </w:pPr>
            <w:r w:rsidRPr="00C21C41">
              <w:t>design elements</w:t>
            </w:r>
          </w:p>
          <w:p w:rsidR="00000000" w:rsidRPr="00C21C41" w:rsidP="00C21C41">
            <w:pPr>
              <w:pStyle w:val="ListBullet2"/>
            </w:pPr>
            <w:r w:rsidRPr="00C21C41">
              <w:t>key features of the building envelope</w:t>
            </w:r>
          </w:p>
          <w:p w:rsidR="00000000" w:rsidP="00C21C41">
            <w:pPr>
              <w:pStyle w:val="ListBullet2"/>
              <w:rPr>
                <w:lang w:val="en-NZ"/>
              </w:rPr>
            </w:pPr>
            <w:r w:rsidRPr="00C21C41">
              <w:t>construction condition.</w:t>
            </w:r>
          </w:p>
        </w:tc>
      </w:tr>
      <w:tr w:rsidTr="00C21C41">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C41">
            <w:pPr>
              <w:pStyle w:val="BodyText"/>
              <w:rPr>
                <w:lang w:val="en-NZ"/>
              </w:rPr>
            </w:pPr>
            <w:r w:rsidRPr="00C21C41">
              <w:rPr>
                <w:rStyle w:val="SpecialBold"/>
              </w:rPr>
              <w:t>Guidance information for assessment</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C41" w:rsidP="00C21C41">
            <w:pPr>
              <w:pStyle w:val="BodyText"/>
            </w:pPr>
            <w:r w:rsidRPr="00C21C41">
              <w:t>This unit could be assessed on its own or in combination with other units relevant to the job function.</w:t>
            </w:r>
          </w:p>
          <w:p w:rsidR="00000000" w:rsidRPr="00C21C41" w:rsidP="00C21C41">
            <w:pPr>
              <w:pStyle w:val="BodyText"/>
            </w:pPr>
            <w:r w:rsidRPr="00C21C41">
              <w:t>Reasonable adjustments for people with disabilities must be made to assessment processes where required. This could include access to modified equipment</w:t>
            </w:r>
            <w:r w:rsidRPr="00C21C41">
              <w:t xml:space="preserve"> and other physical resources, and the provision of appropriate assessment support.</w:t>
            </w:r>
          </w:p>
          <w:p w:rsidR="00000000" w:rsidRPr="00C21C41" w:rsidP="00C21C41">
            <w:pPr>
              <w:pStyle w:val="BodyText"/>
            </w:pPr>
            <w:r w:rsidRPr="00C21C41">
              <w:t>Assessment processes and techniques should, as far as is practical, take into account the language, literacy and numeracy capacity of the candidate in relation to the compe</w:t>
            </w:r>
            <w:r w:rsidRPr="00C21C41">
              <w:t>tency being assessed.</w:t>
            </w:r>
          </w:p>
        </w:tc>
      </w:tr>
    </w:tbl>
    <w:p w:rsidR="009C6A4F" w:rsidP="00C21C41">
      <w:pPr>
        <w:pStyle w:val="BodyText"/>
      </w:pPr>
    </w:p>
    <w:p w:rsidR="009C6A4F" w:rsidP="00C21C41">
      <w:pPr>
        <w:pStyle w:val="BodyText"/>
      </w:pPr>
    </w:p>
    <w:p w:rsidR="00000000" w:rsidRPr="00C21C41" w:rsidP="00C21C41">
      <w:pPr>
        <w:pStyle w:val="Heading1"/>
      </w:pPr>
      <w:bookmarkStart w:id="11" w:name="O_489541"/>
      <w:bookmarkEnd w:id="11"/>
      <w:r w:rsidRPr="00C21C41">
        <w:t>Range Statement</w:t>
      </w:r>
    </w:p>
    <w:tbl>
      <w:tblPr>
        <w:tblW w:w="0" w:type="auto"/>
        <w:tblLayout w:type="fixed"/>
        <w:tblCellMar>
          <w:left w:w="62" w:type="dxa"/>
          <w:right w:w="62" w:type="dxa"/>
        </w:tblCellMar>
        <w:tblLook w:val="0000"/>
      </w:tblPr>
      <w:tblGrid>
        <w:gridCol w:w="2643"/>
        <w:gridCol w:w="6535"/>
      </w:tblGrid>
      <w:tr w:rsidTr="00C21C41">
        <w:tblPrEx>
          <w:tblW w:w="0" w:type="auto"/>
          <w:tblLayout w:type="fixed"/>
          <w:tblCellMar>
            <w:left w:w="62" w:type="dxa"/>
            <w:right w:w="62" w:type="dxa"/>
          </w:tblCellMar>
          <w:tblLook w:val="0000"/>
        </w:tblPrEx>
        <w:tc>
          <w:tcPr>
            <w:tcW w:w="917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21C41">
            <w:pPr>
              <w:pStyle w:val="BodyText"/>
              <w:rPr>
                <w:lang w:val="en-NZ"/>
              </w:rPr>
            </w:pPr>
            <w:r w:rsidRPr="00C21C41">
              <w:t xml:space="preserve">The range statement relates to the unit of competency as a whole. It allows for different work environments and situations that may affect </w:t>
            </w:r>
            <w:r w:rsidRPr="00C21C41">
              <w:t>performance. Bold italicised wording, if used in the performance criteria, is detailed below. Essential operating conditions that may be present with training and assessment (depending on the work situation, needs of the candidate, accessibility of the ite</w:t>
            </w:r>
            <w:r w:rsidRPr="00C21C41">
              <w:t>m, and local industry and regional contexts) may also be included.</w:t>
            </w:r>
          </w:p>
        </w:tc>
      </w:tr>
      <w:tr w:rsidTr="00C21C41">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C41">
            <w:pPr>
              <w:pStyle w:val="BodyText"/>
              <w:rPr>
                <w:lang w:val="en-NZ"/>
              </w:rPr>
            </w:pPr>
            <w:r w:rsidRPr="00C21C41">
              <w:rPr>
                <w:rStyle w:val="BoldandItalics"/>
              </w:rPr>
              <w:t xml:space="preserve">Properties of construction materials </w:t>
            </w:r>
            <w:r w:rsidRPr="00C21C41">
              <w:t>may include:</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C41" w:rsidP="00C21C41">
            <w:pPr>
              <w:pStyle w:val="ListBullet"/>
            </w:pPr>
            <w:r w:rsidRPr="00C21C41">
              <w:t>emissivity</w:t>
            </w:r>
          </w:p>
          <w:p w:rsidR="00000000" w:rsidRPr="00C21C41" w:rsidP="00C21C41">
            <w:pPr>
              <w:pStyle w:val="ListBullet"/>
            </w:pPr>
            <w:r w:rsidRPr="00C21C41">
              <w:t>R-value</w:t>
            </w:r>
          </w:p>
          <w:p w:rsidR="00000000" w:rsidRPr="00C21C41" w:rsidP="00C21C41">
            <w:pPr>
              <w:pStyle w:val="ListBullet"/>
            </w:pPr>
            <w:r w:rsidRPr="00C21C41">
              <w:t>reflectivity</w:t>
            </w:r>
          </w:p>
          <w:p w:rsidR="00000000" w:rsidRPr="00C21C41" w:rsidP="00C21C41">
            <w:pPr>
              <w:pStyle w:val="ListBullet"/>
            </w:pPr>
            <w:r w:rsidRPr="00C21C41">
              <w:t>solar absorptance</w:t>
            </w:r>
          </w:p>
          <w:p w:rsidR="00000000" w:rsidP="00C21C41">
            <w:pPr>
              <w:pStyle w:val="ListBullet"/>
              <w:rPr>
                <w:lang w:val="en-NZ"/>
              </w:rPr>
            </w:pPr>
            <w:r w:rsidRPr="00C21C41">
              <w:t>U-value.</w:t>
            </w:r>
          </w:p>
        </w:tc>
      </w:tr>
      <w:tr w:rsidTr="00C21C41">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C41">
            <w:pPr>
              <w:pStyle w:val="BodyText"/>
              <w:rPr>
                <w:lang w:val="en-NZ"/>
              </w:rPr>
            </w:pPr>
            <w:r w:rsidRPr="00C21C41">
              <w:rPr>
                <w:rStyle w:val="BoldandItalics"/>
              </w:rPr>
              <w:t xml:space="preserve">Properties of glazing units </w:t>
            </w:r>
            <w:r w:rsidRPr="00C21C41">
              <w:t xml:space="preserve">may include: </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C41" w:rsidP="00C21C41">
            <w:pPr>
              <w:pStyle w:val="ListBullet"/>
            </w:pPr>
            <w:r w:rsidRPr="00C21C41">
              <w:t>SHGC</w:t>
            </w:r>
          </w:p>
          <w:p w:rsidR="00000000" w:rsidRPr="00C21C41" w:rsidP="00C21C41">
            <w:pPr>
              <w:pStyle w:val="ListBullet"/>
            </w:pPr>
            <w:r w:rsidRPr="00C21C41">
              <w:t>U-value</w:t>
            </w:r>
          </w:p>
          <w:p w:rsidR="00000000" w:rsidP="00C21C41">
            <w:pPr>
              <w:pStyle w:val="ListBullet"/>
              <w:rPr>
                <w:lang w:val="en-NZ"/>
              </w:rPr>
            </w:pPr>
            <w:r w:rsidRPr="00C21C41">
              <w:t>VLT.</w:t>
            </w:r>
          </w:p>
        </w:tc>
      </w:tr>
      <w:tr w:rsidTr="00C21C41">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C41">
            <w:pPr>
              <w:pStyle w:val="BodyText"/>
              <w:rPr>
                <w:lang w:val="en-NZ"/>
              </w:rPr>
            </w:pPr>
            <w:r w:rsidRPr="00C21C41">
              <w:rPr>
                <w:rStyle w:val="BoldandItalics"/>
              </w:rPr>
              <w:t>Ways in which the use of building materials may influence the thermal performance of buildings</w:t>
            </w:r>
            <w:r w:rsidRPr="00C21C41">
              <w:t xml:space="preserve"> may include:</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C41" w:rsidP="00C21C41">
            <w:pPr>
              <w:pStyle w:val="ListBullet"/>
            </w:pPr>
            <w:r w:rsidRPr="00C21C41">
              <w:t>heat loss</w:t>
            </w:r>
          </w:p>
          <w:p w:rsidR="00000000" w:rsidRPr="00C21C41" w:rsidP="00C21C41">
            <w:pPr>
              <w:pStyle w:val="ListBullet"/>
            </w:pPr>
            <w:r w:rsidRPr="00C21C41">
              <w:t>heat transfer</w:t>
            </w:r>
          </w:p>
          <w:p w:rsidR="00000000" w:rsidP="00C21C41">
            <w:pPr>
              <w:pStyle w:val="ListBullet"/>
              <w:rPr>
                <w:lang w:val="en-NZ"/>
              </w:rPr>
            </w:pPr>
            <w:r w:rsidRPr="00C21C41">
              <w:t>thermal insulation.</w:t>
            </w:r>
          </w:p>
        </w:tc>
      </w:tr>
      <w:tr w:rsidTr="00C21C41">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C41">
            <w:pPr>
              <w:pStyle w:val="BodyText"/>
              <w:rPr>
                <w:lang w:val="en-NZ"/>
              </w:rPr>
            </w:pPr>
            <w:r w:rsidRPr="00C21C41">
              <w:rPr>
                <w:rStyle w:val="BoldandItalics"/>
              </w:rPr>
              <w:t xml:space="preserve">Physical constraints </w:t>
            </w:r>
            <w:r w:rsidRPr="00C21C41">
              <w:t>may include:</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C41" w:rsidP="00C21C41">
            <w:pPr>
              <w:pStyle w:val="ListBullet"/>
            </w:pPr>
            <w:r w:rsidRPr="00C21C41">
              <w:t>cost</w:t>
            </w:r>
          </w:p>
          <w:p w:rsidR="00000000" w:rsidRPr="00C21C41" w:rsidP="00C21C41">
            <w:pPr>
              <w:pStyle w:val="ListBullet"/>
            </w:pPr>
            <w:r w:rsidRPr="00C21C41">
              <w:t>practicality</w:t>
            </w:r>
          </w:p>
          <w:p w:rsidR="00000000" w:rsidRPr="00C21C41" w:rsidP="00C21C41">
            <w:pPr>
              <w:pStyle w:val="ListBullet"/>
            </w:pPr>
            <w:r w:rsidRPr="00C21C41">
              <w:t>size</w:t>
            </w:r>
          </w:p>
          <w:p w:rsidR="00000000" w:rsidP="00C21C41">
            <w:pPr>
              <w:pStyle w:val="ListBullet"/>
              <w:rPr>
                <w:lang w:val="en-NZ"/>
              </w:rPr>
            </w:pPr>
            <w:r w:rsidRPr="00C21C41">
              <w:t>space.</w:t>
            </w:r>
          </w:p>
        </w:tc>
      </w:tr>
      <w:tr w:rsidTr="00C21C41">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C41">
            <w:pPr>
              <w:pStyle w:val="BodyText"/>
              <w:rPr>
                <w:lang w:val="en-NZ"/>
              </w:rPr>
            </w:pPr>
            <w:r w:rsidRPr="00C21C41">
              <w:rPr>
                <w:rStyle w:val="BoldandItalics"/>
              </w:rPr>
              <w:t>Correct use and installation of materi</w:t>
            </w:r>
            <w:r w:rsidRPr="00C21C41">
              <w:rPr>
                <w:rStyle w:val="BoldandItalics"/>
              </w:rPr>
              <w:t xml:space="preserve">als </w:t>
            </w:r>
            <w:r w:rsidRPr="00C21C41">
              <w:t>may</w:t>
            </w:r>
            <w:r w:rsidRPr="00C21C41">
              <w:rPr>
                <w:rStyle w:val="BoldandItalics"/>
              </w:rPr>
              <w:t xml:space="preserve"> </w:t>
            </w:r>
            <w:r w:rsidRPr="00C21C41">
              <w:t>include:</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C41" w:rsidP="00C21C41">
            <w:pPr>
              <w:pStyle w:val="ListBullet"/>
            </w:pPr>
            <w:r w:rsidRPr="00C21C41">
              <w:t>draught proofing</w:t>
            </w:r>
          </w:p>
          <w:p w:rsidR="00000000" w:rsidRPr="00C21C41" w:rsidP="00C21C41">
            <w:pPr>
              <w:pStyle w:val="ListBullet"/>
            </w:pPr>
            <w:r w:rsidRPr="00C21C41">
              <w:t>glazing</w:t>
            </w:r>
          </w:p>
          <w:p w:rsidR="00000000" w:rsidRPr="00C21C41" w:rsidP="00C21C41">
            <w:pPr>
              <w:pStyle w:val="ListBullet"/>
            </w:pPr>
            <w:r w:rsidRPr="00C21C41">
              <w:t>insulation</w:t>
            </w:r>
          </w:p>
          <w:p w:rsidR="00000000" w:rsidP="00C21C41">
            <w:pPr>
              <w:pStyle w:val="ListBullet"/>
              <w:rPr>
                <w:lang w:val="en-NZ"/>
              </w:rPr>
            </w:pPr>
            <w:r w:rsidRPr="00C21C41">
              <w:t>mass.</w:t>
            </w:r>
          </w:p>
        </w:tc>
      </w:tr>
      <w:tr w:rsidTr="00C21C41">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C41">
            <w:pPr>
              <w:pStyle w:val="BodyText"/>
              <w:rPr>
                <w:lang w:val="en-NZ"/>
              </w:rPr>
            </w:pPr>
            <w:r w:rsidRPr="00C21C41">
              <w:rPr>
                <w:rStyle w:val="BoldandItalics"/>
              </w:rPr>
              <w:t xml:space="preserve">Building design features </w:t>
            </w:r>
            <w:r w:rsidRPr="00C21C41">
              <w:t>may include:</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C41" w:rsidP="00C21C41">
            <w:pPr>
              <w:pStyle w:val="ListBullet"/>
            </w:pPr>
            <w:r w:rsidRPr="00C21C41">
              <w:t>convection</w:t>
            </w:r>
          </w:p>
          <w:p w:rsidR="00000000" w:rsidRPr="00C21C41" w:rsidP="00C21C41">
            <w:pPr>
              <w:pStyle w:val="ListBullet"/>
            </w:pPr>
            <w:r w:rsidRPr="00C21C41">
              <w:t>glazing</w:t>
            </w:r>
          </w:p>
          <w:p w:rsidR="00000000" w:rsidRPr="00C21C41" w:rsidP="00C21C41">
            <w:pPr>
              <w:pStyle w:val="ListBullet"/>
            </w:pPr>
            <w:r w:rsidRPr="00C21C41">
              <w:t>insulation</w:t>
            </w:r>
          </w:p>
          <w:p w:rsidR="00000000" w:rsidRPr="00C21C41" w:rsidP="00C21C41">
            <w:pPr>
              <w:pStyle w:val="ListBullet"/>
            </w:pPr>
            <w:r w:rsidRPr="00C21C41">
              <w:t>landscaping</w:t>
            </w:r>
          </w:p>
          <w:p w:rsidR="00000000" w:rsidRPr="00C21C41" w:rsidP="00C21C41">
            <w:pPr>
              <w:pStyle w:val="ListBullet"/>
            </w:pPr>
            <w:r w:rsidRPr="00C21C41">
              <w:t>mass</w:t>
            </w:r>
          </w:p>
          <w:p w:rsidR="00000000" w:rsidRPr="00C21C41" w:rsidP="00C21C41">
            <w:pPr>
              <w:pStyle w:val="ListBullet"/>
            </w:pPr>
            <w:r w:rsidRPr="00C21C41">
              <w:t>orientation</w:t>
            </w:r>
          </w:p>
          <w:p w:rsidR="00000000" w:rsidRPr="00C21C41" w:rsidP="00C21C41">
            <w:pPr>
              <w:pStyle w:val="ListBullet"/>
            </w:pPr>
            <w:r w:rsidRPr="00C21C41">
              <w:t>shading</w:t>
            </w:r>
          </w:p>
          <w:p w:rsidR="00000000" w:rsidRPr="00C21C41" w:rsidP="00C21C41">
            <w:pPr>
              <w:pStyle w:val="ListBullet"/>
            </w:pPr>
            <w:r w:rsidRPr="00C21C41">
              <w:t>ventilation</w:t>
            </w:r>
          </w:p>
          <w:p w:rsidR="00000000" w:rsidP="00C21C41">
            <w:pPr>
              <w:pStyle w:val="ListBullet"/>
              <w:rPr>
                <w:lang w:val="en-NZ"/>
              </w:rPr>
            </w:pPr>
            <w:r w:rsidRPr="00C21C41">
              <w:t>zoning and layout.</w:t>
            </w:r>
          </w:p>
        </w:tc>
      </w:tr>
      <w:tr w:rsidTr="00C21C41">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C41">
            <w:pPr>
              <w:pStyle w:val="BodyText"/>
              <w:rPr>
                <w:lang w:val="en-NZ"/>
              </w:rPr>
            </w:pPr>
            <w:r w:rsidRPr="00C21C41">
              <w:rPr>
                <w:rStyle w:val="BoldandItalics"/>
              </w:rPr>
              <w:t>Residential construction methods</w:t>
            </w:r>
            <w:r w:rsidRPr="00C21C41">
              <w:t xml:space="preserve"> may include:</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C41" w:rsidP="00C21C41">
            <w:pPr>
              <w:pStyle w:val="ListBullet"/>
            </w:pPr>
            <w:r w:rsidRPr="00C21C41">
              <w:t>brick veneer (BV)</w:t>
            </w:r>
          </w:p>
          <w:p w:rsidR="00000000" w:rsidRPr="00C21C41" w:rsidP="00C21C41">
            <w:pPr>
              <w:pStyle w:val="ListBullet"/>
            </w:pPr>
            <w:r w:rsidRPr="00C21C41">
              <w:t>cavity brick (CB)</w:t>
            </w:r>
          </w:p>
          <w:p w:rsidR="00000000" w:rsidRPr="00C21C41" w:rsidP="00C21C41">
            <w:pPr>
              <w:pStyle w:val="ListBullet"/>
            </w:pPr>
            <w:r w:rsidRPr="00C21C41">
              <w:t>light weight (LW)</w:t>
            </w:r>
          </w:p>
          <w:p w:rsidR="00000000" w:rsidP="00C21C41">
            <w:pPr>
              <w:pStyle w:val="ListBullet"/>
              <w:rPr>
                <w:lang w:val="en-NZ"/>
              </w:rPr>
            </w:pPr>
            <w:r w:rsidRPr="00C21C41">
              <w:t xml:space="preserve">reverse brick veneer (RBV). </w:t>
            </w:r>
          </w:p>
        </w:tc>
      </w:tr>
      <w:tr w:rsidTr="00C21C41">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C41">
            <w:pPr>
              <w:pStyle w:val="BodyText"/>
              <w:rPr>
                <w:lang w:val="en-NZ"/>
              </w:rPr>
            </w:pPr>
            <w:r w:rsidRPr="00C21C41">
              <w:rPr>
                <w:rStyle w:val="BoldandItalics"/>
              </w:rPr>
              <w:t>Key components of the building envelope</w:t>
            </w:r>
            <w:r w:rsidRPr="00C21C41">
              <w:t xml:space="preserve"> may include:</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C41" w:rsidP="00C21C41">
            <w:pPr>
              <w:pStyle w:val="ListBullet"/>
            </w:pPr>
            <w:r w:rsidRPr="00C21C41">
              <w:t>flooring</w:t>
            </w:r>
          </w:p>
          <w:p w:rsidR="00000000" w:rsidRPr="00C21C41" w:rsidP="00C21C41">
            <w:pPr>
              <w:pStyle w:val="ListBullet"/>
            </w:pPr>
            <w:r w:rsidRPr="00C21C41">
              <w:t>roof</w:t>
            </w:r>
          </w:p>
          <w:p w:rsidR="00000000" w:rsidRPr="00C21C41" w:rsidP="00C21C41">
            <w:pPr>
              <w:pStyle w:val="ListBullet"/>
            </w:pPr>
            <w:r w:rsidRPr="00C21C41">
              <w:t>walls</w:t>
            </w:r>
          </w:p>
          <w:p w:rsidR="00000000" w:rsidP="00C21C41">
            <w:pPr>
              <w:pStyle w:val="ListBullet"/>
              <w:rPr>
                <w:lang w:val="en-NZ"/>
              </w:rPr>
            </w:pPr>
            <w:r w:rsidRPr="00C21C41">
              <w:t>windows.</w:t>
            </w:r>
          </w:p>
        </w:tc>
      </w:tr>
      <w:tr w:rsidTr="00C21C41">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C41">
            <w:pPr>
              <w:pStyle w:val="BodyText"/>
              <w:rPr>
                <w:lang w:val="en-NZ"/>
              </w:rPr>
            </w:pPr>
            <w:r w:rsidRPr="00C21C41">
              <w:rPr>
                <w:rStyle w:val="BoldandItalics"/>
              </w:rPr>
              <w:t>Common building defects and poor construction techniques</w:t>
            </w:r>
            <w:r w:rsidRPr="00C21C41">
              <w:t xml:space="preserve"> may include: </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C41" w:rsidP="00C21C41">
            <w:pPr>
              <w:pStyle w:val="ListBullet"/>
            </w:pPr>
            <w:r w:rsidRPr="00C21C41">
              <w:t>air leakage</w:t>
            </w:r>
          </w:p>
          <w:p w:rsidR="00000000" w:rsidRPr="00C21C41" w:rsidP="00C21C41">
            <w:pPr>
              <w:pStyle w:val="ListBullet"/>
            </w:pPr>
            <w:r w:rsidRPr="00C21C41">
              <w:t>draughts</w:t>
            </w:r>
          </w:p>
          <w:p w:rsidR="00000000" w:rsidRPr="00C21C41" w:rsidP="00C21C41">
            <w:pPr>
              <w:pStyle w:val="ListBullet"/>
            </w:pPr>
            <w:r w:rsidRPr="00C21C41">
              <w:t>inadequate or missing insulation</w:t>
            </w:r>
          </w:p>
          <w:p w:rsidR="00000000" w:rsidP="00C21C41">
            <w:pPr>
              <w:pStyle w:val="ListBullet"/>
              <w:rPr>
                <w:lang w:val="en-NZ"/>
              </w:rPr>
            </w:pPr>
            <w:r w:rsidRPr="00C21C41">
              <w:t xml:space="preserve">inadequate ventilation. </w:t>
            </w:r>
          </w:p>
        </w:tc>
      </w:tr>
      <w:tr w:rsidTr="00C21C41">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C41">
            <w:pPr>
              <w:pStyle w:val="BodyText"/>
              <w:rPr>
                <w:lang w:val="en-NZ"/>
              </w:rPr>
            </w:pPr>
            <w:r w:rsidRPr="00C21C41">
              <w:rPr>
                <w:rStyle w:val="BoldandItalics"/>
              </w:rPr>
              <w:t xml:space="preserve">Measures for improving thermal performance </w:t>
            </w:r>
            <w:r w:rsidRPr="00C21C41">
              <w:t>may include:</w:t>
            </w:r>
          </w:p>
        </w:tc>
        <w:tc>
          <w:tcPr>
            <w:tcW w:w="6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C41" w:rsidP="00C21C41">
            <w:pPr>
              <w:pStyle w:val="ListBullet"/>
            </w:pPr>
            <w:r w:rsidRPr="00C21C41">
              <w:t>airtightness measures</w:t>
            </w:r>
          </w:p>
          <w:p w:rsidR="00000000" w:rsidRPr="00C21C41" w:rsidP="00C21C41">
            <w:pPr>
              <w:pStyle w:val="ListBullet"/>
            </w:pPr>
            <w:r w:rsidRPr="00C21C41">
              <w:t>insulation.</w:t>
            </w:r>
          </w:p>
        </w:tc>
      </w:tr>
    </w:tbl>
    <w:p w:rsidR="009C6A4F" w:rsidP="00C21C41">
      <w:pPr>
        <w:pStyle w:val="BodyText"/>
      </w:pPr>
    </w:p>
    <w:p w:rsidR="009C6A4F" w:rsidP="00C21C41">
      <w:pPr>
        <w:pStyle w:val="BodyText"/>
      </w:pPr>
    </w:p>
    <w:p w:rsidR="00000000" w:rsidRPr="00C21C41" w:rsidP="00C21C41">
      <w:pPr>
        <w:pStyle w:val="Heading1"/>
      </w:pPr>
      <w:bookmarkStart w:id="12" w:name="O_489542"/>
      <w:bookmarkEnd w:id="12"/>
      <w:r w:rsidRPr="00C21C41">
        <w:t>Unit Sector(s)</w:t>
      </w:r>
    </w:p>
    <w:p w:rsidR="00000000" w:rsidRPr="00C21C41" w:rsidP="00C21C41">
      <w:pPr>
        <w:pStyle w:val="BodyText"/>
      </w:pPr>
      <w:r w:rsidRPr="00C21C41">
        <w:t>Home sustainability assessment</w:t>
      </w:r>
    </w:p>
    <w:p w:rsidR="00000000" w:rsidRPr="00C21C41" w:rsidP="00C21C41">
      <w:pPr>
        <w:pStyle w:val="AllowPageBreak"/>
      </w:pPr>
    </w:p>
    <w:p w:rsidR="00000000" w:rsidRPr="00C21C41" w:rsidP="00C21C41">
      <w:pPr>
        <w:pStyle w:val="Heading1"/>
      </w:pPr>
      <w:bookmarkStart w:id="13" w:name="O_489543"/>
      <w:bookmarkEnd w:id="13"/>
      <w:r w:rsidRPr="00C21C41">
        <w:t>Custom Content Section</w:t>
      </w:r>
    </w:p>
    <w:p w:rsidR="00000000" w:rsidRPr="00C21C41" w:rsidP="00C21C41">
      <w:pPr>
        <w:pStyle w:val="BodyText"/>
      </w:pPr>
      <w:r w:rsidRPr="00C21C41">
        <w:t>Not applicable.</w:t>
      </w:r>
    </w:p>
    <w:p w:rsidR="00000000" w:rsidRPr="00C21C41" w:rsidP="00C21C41"/>
    <w:sectPr w:rsidSect="00C21C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C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6A4F" w:rsidP="009C6A4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C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A4F" w:rsidP="00C21C4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C6A4F" w:rsidP="00C21C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C6A4F" w:rsidP="00C21C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C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C41" w:rsidRPr="009C6A4F" w:rsidP="009C6A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C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A4F" w:rsidRPr="002D2AF8" w:rsidP="00C21C41">
    <w:pPr>
      <w:pStyle w:val="Header"/>
      <w:framePr w:wrap="around"/>
    </w:pPr>
    <w:r>
      <w:fldChar w:fldCharType="begin"/>
    </w:r>
    <w:r>
      <w:instrText xml:space="preserve"> TITLE   \* MERGEFORMAT </w:instrText>
    </w:r>
    <w:r>
      <w:fldChar w:fldCharType="separate"/>
    </w:r>
    <w:r>
      <w:t>CPPHSA4015A Assess impact of building elements on thermal performance of 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2012</w:t>
    </w:r>
    <w:r>
      <w:fldChar w:fldCharType="end"/>
    </w:r>
  </w:p>
  <w:p w:rsidR="009C6A4F" w:rsidP="00C21C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AC48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A2BF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A830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C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C41"/>
    <w:pPr>
      <w:spacing w:before="360" w:after="60"/>
      <w:outlineLvl w:val="0"/>
    </w:pPr>
    <w:rPr>
      <w:sz w:val="32"/>
    </w:rPr>
  </w:style>
  <w:style w:type="paragraph" w:styleId="Heading2">
    <w:name w:val="heading 2"/>
    <w:basedOn w:val="HeadingBase"/>
    <w:next w:val="BodyText"/>
    <w:link w:val="Heading2Char"/>
    <w:qFormat/>
    <w:rsid w:val="00C21C41"/>
    <w:pPr>
      <w:keepLines/>
      <w:spacing w:before="240" w:after="120"/>
      <w:outlineLvl w:val="1"/>
    </w:pPr>
    <w:rPr>
      <w:sz w:val="28"/>
      <w:szCs w:val="40"/>
    </w:rPr>
  </w:style>
  <w:style w:type="paragraph" w:styleId="Heading3">
    <w:name w:val="heading 3"/>
    <w:basedOn w:val="HeadingBase"/>
    <w:next w:val="BodyText"/>
    <w:link w:val="Heading3Char"/>
    <w:qFormat/>
    <w:rsid w:val="00C21C41"/>
    <w:pPr>
      <w:spacing w:before="180" w:after="120"/>
      <w:outlineLvl w:val="2"/>
    </w:pPr>
    <w:rPr>
      <w:spacing w:val="-10"/>
      <w:kern w:val="32"/>
    </w:rPr>
  </w:style>
  <w:style w:type="paragraph" w:styleId="Heading4">
    <w:name w:val="heading 4"/>
    <w:basedOn w:val="HeadingBase"/>
    <w:next w:val="BodyText"/>
    <w:link w:val="Heading4Char"/>
    <w:qFormat/>
    <w:rsid w:val="00C21C41"/>
    <w:pPr>
      <w:spacing w:before="160" w:after="120"/>
      <w:outlineLvl w:val="3"/>
    </w:pPr>
    <w:rPr>
      <w:sz w:val="22"/>
    </w:rPr>
  </w:style>
  <w:style w:type="paragraph" w:styleId="Heading5">
    <w:name w:val="heading 5"/>
    <w:basedOn w:val="HeadingBase"/>
    <w:next w:val="Normal"/>
    <w:link w:val="Heading5Char"/>
    <w:qFormat/>
    <w:rsid w:val="00C21C41"/>
    <w:pPr>
      <w:spacing w:before="80"/>
      <w:outlineLvl w:val="4"/>
    </w:pPr>
    <w:rPr>
      <w:color w:val="918585"/>
      <w:sz w:val="20"/>
    </w:rPr>
  </w:style>
  <w:style w:type="paragraph" w:styleId="Heading6">
    <w:name w:val="heading 6"/>
    <w:basedOn w:val="HeadingBase"/>
    <w:next w:val="Normal"/>
    <w:link w:val="Heading6Char"/>
    <w:qFormat/>
    <w:rsid w:val="00C21C41"/>
    <w:pPr>
      <w:spacing w:before="60"/>
      <w:outlineLvl w:val="5"/>
    </w:pPr>
    <w:rPr>
      <w:color w:val="918585"/>
      <w:sz w:val="20"/>
    </w:rPr>
  </w:style>
  <w:style w:type="paragraph" w:styleId="Heading7">
    <w:name w:val="heading 7"/>
    <w:basedOn w:val="Normal"/>
    <w:next w:val="Normal"/>
    <w:link w:val="Heading7Char"/>
    <w:qFormat/>
    <w:rsid w:val="00C21C41"/>
    <w:pPr>
      <w:ind w:left="720"/>
      <w:outlineLvl w:val="6"/>
    </w:pPr>
    <w:rPr>
      <w:i/>
    </w:rPr>
  </w:style>
  <w:style w:type="paragraph" w:styleId="Heading8">
    <w:name w:val="heading 8"/>
    <w:basedOn w:val="Normal"/>
    <w:next w:val="Normal"/>
    <w:link w:val="Heading8Char"/>
    <w:qFormat/>
    <w:rsid w:val="00C21C41"/>
    <w:pPr>
      <w:ind w:left="720"/>
      <w:outlineLvl w:val="7"/>
    </w:pPr>
    <w:rPr>
      <w:i/>
    </w:rPr>
  </w:style>
  <w:style w:type="paragraph" w:styleId="Heading9">
    <w:name w:val="heading 9"/>
    <w:basedOn w:val="Normal"/>
    <w:next w:val="Normal"/>
    <w:link w:val="Heading9Char"/>
    <w:qFormat/>
    <w:rsid w:val="00C21C41"/>
    <w:pPr>
      <w:ind w:left="720"/>
      <w:outlineLvl w:val="8"/>
    </w:pPr>
    <w:rPr>
      <w:i/>
    </w:rPr>
  </w:style>
  <w:style w:type="character" w:default="1" w:styleId="DefaultParagraphFont">
    <w:name w:val="Default Paragraph Font"/>
    <w:uiPriority w:val="1"/>
    <w:unhideWhenUsed/>
    <w:rsid w:val="00C21C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C41"/>
  </w:style>
  <w:style w:type="character" w:customStyle="1" w:styleId="Heading1Char">
    <w:name w:val="Heading 1 Char"/>
    <w:basedOn w:val="DefaultParagraphFont"/>
    <w:link w:val="Heading1"/>
    <w:rsid w:val="00C21C41"/>
    <w:rPr>
      <w:rFonts w:ascii="Times New Roman" w:eastAsia="Times New Roman" w:hAnsi="Times New Roman" w:cs="Times New Roman"/>
      <w:b/>
      <w:sz w:val="32"/>
      <w:szCs w:val="20"/>
      <w:lang w:eastAsia="en-US"/>
    </w:rPr>
  </w:style>
  <w:style w:type="paragraph" w:styleId="BodyText">
    <w:name w:val="Body Text"/>
    <w:basedOn w:val="Normal"/>
    <w:link w:val="BodyTextChar"/>
    <w:rsid w:val="00C21C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1C41"/>
    <w:rPr>
      <w:rFonts w:ascii="Times New Roman" w:eastAsia="Times New Roman" w:hAnsi="Times New Roman" w:cs="Times New Roman"/>
      <w:sz w:val="24"/>
      <w:lang w:eastAsia="en-US"/>
    </w:rPr>
  </w:style>
  <w:style w:type="paragraph" w:styleId="Footer">
    <w:name w:val="footer"/>
    <w:basedOn w:val="Normal"/>
    <w:link w:val="FooterChar"/>
    <w:rsid w:val="00C21C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C41"/>
    <w:rPr>
      <w:rFonts w:ascii="Times New Roman" w:eastAsia="Times New Roman" w:hAnsi="Times New Roman" w:cs="Times New Roman"/>
      <w:sz w:val="16"/>
      <w:lang w:eastAsia="en-US"/>
    </w:rPr>
  </w:style>
  <w:style w:type="paragraph" w:styleId="ListBullet">
    <w:name w:val="List Bullet"/>
    <w:basedOn w:val="List"/>
    <w:rsid w:val="00C21C41"/>
    <w:pPr>
      <w:numPr>
        <w:numId w:val="14"/>
      </w:numPr>
      <w:tabs>
        <w:tab w:val="clear" w:pos="340"/>
      </w:tabs>
      <w:spacing w:before="40" w:after="40"/>
    </w:pPr>
  </w:style>
  <w:style w:type="character" w:customStyle="1" w:styleId="SpecialBold">
    <w:name w:val="Special Bold"/>
    <w:basedOn w:val="DefaultParagraphFont"/>
    <w:rsid w:val="00C21C41"/>
    <w:rPr>
      <w:b/>
      <w:spacing w:val="0"/>
    </w:rPr>
  </w:style>
  <w:style w:type="paragraph" w:styleId="ListBullet2">
    <w:name w:val="List Bullet 2"/>
    <w:basedOn w:val="List2"/>
    <w:rsid w:val="00C21C41"/>
    <w:pPr>
      <w:numPr>
        <w:numId w:val="15"/>
      </w:numPr>
      <w:tabs>
        <w:tab w:val="clear" w:pos="680"/>
      </w:tabs>
    </w:pPr>
  </w:style>
  <w:style w:type="paragraph" w:customStyle="1" w:styleId="SuperHeading">
    <w:name w:val="SuperHeading"/>
    <w:basedOn w:val="Normal"/>
    <w:rsid w:val="00C21C41"/>
    <w:pPr>
      <w:spacing w:before="240" w:after="120"/>
      <w:outlineLvl w:val="0"/>
    </w:pPr>
    <w:rPr>
      <w:rFonts w:ascii="Times New Roman" w:hAnsi="Times New Roman"/>
      <w:b/>
      <w:sz w:val="28"/>
    </w:rPr>
  </w:style>
  <w:style w:type="paragraph" w:customStyle="1" w:styleId="AllowPageBreak">
    <w:name w:val="AllowPageBreak"/>
    <w:rsid w:val="00C21C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1C41"/>
    <w:pPr>
      <w:numPr>
        <w:numId w:val="3"/>
      </w:numPr>
      <w:tabs>
        <w:tab w:val="clear" w:pos="1021"/>
      </w:tabs>
      <w:ind w:left="1037" w:hanging="357"/>
    </w:pPr>
  </w:style>
  <w:style w:type="character" w:customStyle="1" w:styleId="BoldandItalics">
    <w:name w:val="Bold and Italics"/>
    <w:qFormat/>
    <w:rsid w:val="00C21C41"/>
    <w:rPr>
      <w:b/>
      <w:i/>
      <w:u w:val="none"/>
    </w:rPr>
  </w:style>
  <w:style w:type="character" w:customStyle="1" w:styleId="Heading2Char">
    <w:name w:val="Heading 2 Char"/>
    <w:basedOn w:val="DefaultParagraphFont"/>
    <w:link w:val="Heading2"/>
    <w:rsid w:val="00C21C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C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C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C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C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C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C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C41"/>
    <w:rPr>
      <w:rFonts w:ascii="Courier New" w:eastAsia="Times New Roman" w:hAnsi="Courier New" w:cs="Times New Roman"/>
      <w:i/>
      <w:szCs w:val="20"/>
      <w:lang w:eastAsia="en-US"/>
    </w:rPr>
  </w:style>
  <w:style w:type="paragraph" w:customStyle="1" w:styleId="HeadingBase">
    <w:name w:val="Heading Base"/>
    <w:rsid w:val="00C21C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C41"/>
    <w:pPr>
      <w:tabs>
        <w:tab w:val="right" w:leader="dot" w:pos="9072"/>
      </w:tabs>
      <w:ind w:left="567"/>
    </w:pPr>
    <w:rPr>
      <w:szCs w:val="22"/>
    </w:rPr>
  </w:style>
  <w:style w:type="paragraph" w:customStyle="1" w:styleId="TOCBase">
    <w:name w:val="TOC Base"/>
    <w:rsid w:val="00C21C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C41"/>
    <w:pPr>
      <w:tabs>
        <w:tab w:val="right" w:leader="dot" w:pos="9072"/>
      </w:tabs>
      <w:spacing w:before="40" w:after="40"/>
      <w:ind w:left="284"/>
    </w:pPr>
    <w:rPr>
      <w:rFonts w:ascii="Times New Roman" w:hAnsi="Times New Roman"/>
    </w:rPr>
  </w:style>
  <w:style w:type="paragraph" w:styleId="TOC1">
    <w:name w:val="toc 1"/>
    <w:basedOn w:val="TOCBase"/>
    <w:next w:val="Normal"/>
    <w:rsid w:val="00C21C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1C41"/>
    <w:pPr>
      <w:spacing w:before="5040"/>
      <w:jc w:val="center"/>
    </w:pPr>
    <w:rPr>
      <w:sz w:val="48"/>
      <w:szCs w:val="72"/>
      <w:lang w:val="en-US"/>
    </w:rPr>
  </w:style>
  <w:style w:type="character" w:customStyle="1" w:styleId="TitleChar">
    <w:name w:val="Title Char"/>
    <w:basedOn w:val="DefaultParagraphFont"/>
    <w:link w:val="Title"/>
    <w:rsid w:val="00C21C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C41"/>
    <w:pPr>
      <w:tabs>
        <w:tab w:val="left" w:pos="3600"/>
        <w:tab w:val="left" w:pos="3958"/>
      </w:tabs>
    </w:pPr>
  </w:style>
  <w:style w:type="paragraph" w:styleId="List">
    <w:name w:val="List"/>
    <w:basedOn w:val="BodyText"/>
    <w:next w:val="BodyText"/>
    <w:rsid w:val="00C21C41"/>
    <w:pPr>
      <w:tabs>
        <w:tab w:val="left" w:pos="340"/>
      </w:tabs>
      <w:spacing w:before="60" w:after="60"/>
      <w:ind w:left="340" w:hanging="340"/>
    </w:pPr>
  </w:style>
  <w:style w:type="paragraph" w:customStyle="1" w:styleId="Note">
    <w:name w:val="Note"/>
    <w:basedOn w:val="BodyText"/>
    <w:rsid w:val="00C21C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C41"/>
    <w:pPr>
      <w:framePr w:wrap="auto" w:hAnchor="text" w:y="6049"/>
    </w:pPr>
    <w:rPr>
      <w:color w:val="000000"/>
      <w:sz w:val="40"/>
    </w:rPr>
  </w:style>
  <w:style w:type="paragraph" w:customStyle="1" w:styleId="TOCTitle">
    <w:name w:val="TOCTitle"/>
    <w:basedOn w:val="Heading1"/>
    <w:rsid w:val="00C21C41"/>
    <w:pPr>
      <w:spacing w:after="240"/>
      <w:jc w:val="center"/>
      <w:outlineLvl w:val="9"/>
    </w:pPr>
    <w:rPr>
      <w:caps/>
    </w:rPr>
  </w:style>
  <w:style w:type="paragraph" w:customStyle="1" w:styleId="Version">
    <w:name w:val="Version"/>
    <w:rsid w:val="00C21C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1C41"/>
    <w:pPr>
      <w:keepNext w:val="0"/>
      <w:tabs>
        <w:tab w:val="right" w:pos="4176"/>
      </w:tabs>
      <w:ind w:left="198" w:hanging="198"/>
    </w:pPr>
    <w:rPr>
      <w:rFonts w:ascii="Garamond" w:hAnsi="Garamond"/>
    </w:rPr>
  </w:style>
  <w:style w:type="paragraph" w:styleId="IndexHeading">
    <w:name w:val="index heading"/>
    <w:basedOn w:val="Normal"/>
    <w:next w:val="Index1"/>
    <w:semiHidden/>
    <w:rsid w:val="00C21C41"/>
    <w:pPr>
      <w:spacing w:before="120" w:after="120"/>
    </w:pPr>
    <w:rPr>
      <w:rFonts w:ascii="Arial" w:hAnsi="Arial"/>
      <w:b/>
      <w:color w:val="918585"/>
      <w:sz w:val="24"/>
    </w:rPr>
  </w:style>
  <w:style w:type="paragraph" w:styleId="Header">
    <w:name w:val="header"/>
    <w:basedOn w:val="Normal"/>
    <w:link w:val="HeaderChar"/>
    <w:rsid w:val="00C21C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C41"/>
    <w:rPr>
      <w:rFonts w:ascii="Times New Roman" w:eastAsia="Times New Roman" w:hAnsi="Times New Roman" w:cs="Times New Roman"/>
      <w:sz w:val="16"/>
      <w:szCs w:val="20"/>
      <w:lang w:val="en-GB" w:eastAsia="en-US"/>
    </w:rPr>
  </w:style>
  <w:style w:type="paragraph" w:customStyle="1" w:styleId="Chapter">
    <w:name w:val="Chapter"/>
    <w:basedOn w:val="Normal"/>
    <w:rsid w:val="00C21C41"/>
    <w:pPr>
      <w:spacing w:before="240"/>
    </w:pPr>
    <w:rPr>
      <w:rFonts w:ascii="Times New Roman" w:hAnsi="Times New Roman"/>
      <w:smallCaps/>
      <w:spacing w:val="80"/>
      <w:sz w:val="28"/>
    </w:rPr>
  </w:style>
  <w:style w:type="paragraph" w:customStyle="1" w:styleId="InChapter">
    <w:name w:val="InChapter"/>
    <w:basedOn w:val="Heading3"/>
    <w:rsid w:val="00C21C41"/>
    <w:pPr>
      <w:spacing w:after="240"/>
      <w:outlineLvl w:val="9"/>
    </w:pPr>
    <w:rPr>
      <w:noProof/>
    </w:rPr>
  </w:style>
  <w:style w:type="paragraph" w:styleId="Index2">
    <w:name w:val="index 2"/>
    <w:basedOn w:val="Normal"/>
    <w:next w:val="Normal"/>
    <w:semiHidden/>
    <w:rsid w:val="00C21C41"/>
    <w:pPr>
      <w:tabs>
        <w:tab w:val="right" w:pos="4176"/>
      </w:tabs>
      <w:ind w:left="568" w:hanging="284"/>
    </w:pPr>
    <w:rPr>
      <w:rFonts w:ascii="Garamond" w:hAnsi="Garamond"/>
    </w:rPr>
  </w:style>
  <w:style w:type="paragraph" w:customStyle="1" w:styleId="Byline">
    <w:name w:val="Byline"/>
    <w:rsid w:val="00C21C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C41"/>
    <w:pPr>
      <w:tabs>
        <w:tab w:val="clear" w:pos="3600"/>
        <w:tab w:val="clear" w:pos="3958"/>
      </w:tabs>
      <w:jc w:val="right"/>
    </w:pPr>
  </w:style>
  <w:style w:type="character" w:styleId="Emphasis">
    <w:name w:val="Emphasis"/>
    <w:basedOn w:val="DefaultParagraphFont"/>
    <w:qFormat/>
    <w:rsid w:val="00C21C41"/>
    <w:rPr>
      <w:i/>
    </w:rPr>
  </w:style>
  <w:style w:type="paragraph" w:styleId="Caption">
    <w:name w:val="caption"/>
    <w:basedOn w:val="BodyText"/>
    <w:next w:val="Normal"/>
    <w:qFormat/>
    <w:rsid w:val="00C21C41"/>
    <w:pPr>
      <w:framePr w:w="2268" w:hSpace="181" w:vSpace="181" w:wrap="around" w:vAnchor="text" w:hAnchor="page" w:x="1135" w:y="285" w:anchorLock="1"/>
    </w:pPr>
    <w:rPr>
      <w:i/>
    </w:rPr>
  </w:style>
  <w:style w:type="paragraph" w:customStyle="1" w:styleId="MiniTOCTitle">
    <w:name w:val="MiniTOCTitle"/>
    <w:basedOn w:val="Heading4"/>
    <w:rsid w:val="00C21C41"/>
    <w:pPr>
      <w:spacing w:before="240"/>
      <w:outlineLvl w:val="9"/>
    </w:pPr>
    <w:rPr>
      <w:noProof/>
      <w:sz w:val="24"/>
    </w:rPr>
  </w:style>
  <w:style w:type="paragraph" w:customStyle="1" w:styleId="MiniTOCItem">
    <w:name w:val="MiniTOCItem"/>
    <w:basedOn w:val="ListBullet"/>
    <w:rsid w:val="00C21C41"/>
    <w:pPr>
      <w:numPr>
        <w:numId w:val="0"/>
      </w:numPr>
      <w:tabs>
        <w:tab w:val="right" w:leader="dot" w:pos="6521"/>
      </w:tabs>
      <w:spacing w:before="0" w:after="0"/>
    </w:pPr>
  </w:style>
  <w:style w:type="paragraph" w:customStyle="1" w:styleId="TOFTitle">
    <w:name w:val="TOFTitle"/>
    <w:basedOn w:val="TOCTitle"/>
    <w:rsid w:val="00C21C41"/>
  </w:style>
  <w:style w:type="paragraph" w:styleId="TableofFigures">
    <w:name w:val="table of figures"/>
    <w:basedOn w:val="Normal"/>
    <w:next w:val="Normal"/>
    <w:semiHidden/>
    <w:rsid w:val="00C21C41"/>
    <w:pPr>
      <w:tabs>
        <w:tab w:val="right" w:leader="dot" w:pos="9072"/>
      </w:tabs>
      <w:ind w:left="970" w:hanging="403"/>
    </w:pPr>
    <w:rPr>
      <w:rFonts w:ascii="Times New Roman" w:hAnsi="Times New Roman"/>
      <w:b/>
    </w:rPr>
  </w:style>
  <w:style w:type="paragraph" w:styleId="ListNumber">
    <w:name w:val="List Number"/>
    <w:basedOn w:val="List"/>
    <w:rsid w:val="00C21C41"/>
    <w:pPr>
      <w:numPr>
        <w:numId w:val="12"/>
      </w:numPr>
    </w:pPr>
  </w:style>
  <w:style w:type="character" w:customStyle="1" w:styleId="WingdingSymbols">
    <w:name w:val="Wingding Symbols"/>
    <w:rsid w:val="00C21C41"/>
    <w:rPr>
      <w:rFonts w:ascii="Wingdings" w:hAnsi="Wingdings"/>
    </w:rPr>
  </w:style>
  <w:style w:type="paragraph" w:customStyle="1" w:styleId="TableHeading">
    <w:name w:val="Table Heading"/>
    <w:basedOn w:val="HeadingBase"/>
    <w:rsid w:val="00C21C41"/>
    <w:pPr>
      <w:keepLines/>
      <w:pBdr>
        <w:bottom w:val="single" w:sz="6" w:space="1" w:color="918585"/>
      </w:pBdr>
      <w:spacing w:before="240"/>
    </w:pPr>
  </w:style>
  <w:style w:type="character" w:customStyle="1" w:styleId="HotSpot">
    <w:name w:val="HotSpot"/>
    <w:rsid w:val="00C21C41"/>
    <w:rPr>
      <w:color w:val="0033CC"/>
      <w:u w:val="none"/>
    </w:rPr>
  </w:style>
  <w:style w:type="paragraph" w:customStyle="1" w:styleId="BodyTextRight">
    <w:name w:val="Body Text Right"/>
    <w:basedOn w:val="BodyText"/>
    <w:rsid w:val="00C21C41"/>
    <w:pPr>
      <w:spacing w:before="0" w:after="0"/>
      <w:jc w:val="right"/>
    </w:pPr>
  </w:style>
  <w:style w:type="paragraph" w:styleId="Index3">
    <w:name w:val="index 3"/>
    <w:basedOn w:val="ListNumber2"/>
    <w:next w:val="Normal"/>
    <w:semiHidden/>
    <w:rsid w:val="00C21C41"/>
    <w:pPr>
      <w:numPr>
        <w:numId w:val="0"/>
      </w:numPr>
      <w:tabs>
        <w:tab w:val="right" w:leader="dot" w:pos="4176"/>
      </w:tabs>
    </w:pPr>
  </w:style>
  <w:style w:type="paragraph" w:styleId="ListNumber2">
    <w:name w:val="List Number 2"/>
    <w:basedOn w:val="List2"/>
    <w:rsid w:val="00C21C41"/>
    <w:pPr>
      <w:numPr>
        <w:numId w:val="11"/>
      </w:numPr>
      <w:tabs>
        <w:tab w:val="clear" w:pos="1060"/>
      </w:tabs>
    </w:pPr>
  </w:style>
  <w:style w:type="paragraph" w:customStyle="1" w:styleId="MarginNote">
    <w:name w:val="Margin Note"/>
    <w:basedOn w:val="BodyText"/>
    <w:rsid w:val="00C21C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C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C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C41"/>
    <w:rPr>
      <w:sz w:val="32"/>
    </w:rPr>
  </w:style>
  <w:style w:type="paragraph" w:customStyle="1" w:styleId="HeadingProcedure">
    <w:name w:val="Heading Procedure"/>
    <w:basedOn w:val="HeadingBase"/>
    <w:next w:val="Normal"/>
    <w:rsid w:val="00C21C41"/>
    <w:pPr>
      <w:tabs>
        <w:tab w:val="left" w:pos="0"/>
      </w:tabs>
      <w:spacing w:before="120" w:after="60"/>
    </w:pPr>
    <w:rPr>
      <w:i/>
      <w:color w:val="918585"/>
      <w:sz w:val="22"/>
    </w:rPr>
  </w:style>
  <w:style w:type="paragraph" w:customStyle="1" w:styleId="TableBodyText">
    <w:name w:val="Table Body Text"/>
    <w:basedOn w:val="BodyText"/>
    <w:rsid w:val="00C21C41"/>
    <w:pPr>
      <w:spacing w:before="60" w:after="60"/>
    </w:pPr>
  </w:style>
  <w:style w:type="paragraph" w:styleId="ListContinue">
    <w:name w:val="List Continue"/>
    <w:basedOn w:val="List"/>
    <w:rsid w:val="00C21C41"/>
    <w:pPr>
      <w:ind w:firstLine="0"/>
    </w:pPr>
  </w:style>
  <w:style w:type="paragraph" w:customStyle="1" w:styleId="ListNote">
    <w:name w:val="List Note"/>
    <w:basedOn w:val="List"/>
    <w:rsid w:val="00C21C41"/>
    <w:pPr>
      <w:pBdr>
        <w:top w:val="single" w:sz="6" w:space="2" w:color="918585"/>
        <w:bottom w:val="single" w:sz="6" w:space="2" w:color="918585"/>
      </w:pBdr>
      <w:tabs>
        <w:tab w:val="left" w:pos="1021"/>
      </w:tabs>
      <w:ind w:firstLine="0"/>
    </w:pPr>
  </w:style>
  <w:style w:type="paragraph" w:customStyle="1" w:styleId="Warning">
    <w:name w:val="Warning"/>
    <w:basedOn w:val="BodyText"/>
    <w:rsid w:val="00C21C41"/>
    <w:pPr>
      <w:shd w:val="clear" w:color="auto" w:fill="D9D9D9"/>
      <w:tabs>
        <w:tab w:val="left" w:pos="992"/>
      </w:tabs>
      <w:ind w:left="119" w:right="119"/>
    </w:pPr>
    <w:rPr>
      <w:sz w:val="20"/>
    </w:rPr>
  </w:style>
  <w:style w:type="paragraph" w:customStyle="1" w:styleId="MarginIcons">
    <w:name w:val="Margin Icons"/>
    <w:basedOn w:val="BodyText"/>
    <w:rsid w:val="00C21C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C41"/>
    <w:rPr>
      <w:rFonts w:ascii="Courier New" w:hAnsi="Courier New"/>
    </w:rPr>
  </w:style>
  <w:style w:type="paragraph" w:customStyle="1" w:styleId="NoteBullet">
    <w:name w:val="Note Bullet"/>
    <w:basedOn w:val="Note"/>
    <w:rsid w:val="00C21C41"/>
    <w:pPr>
      <w:tabs>
        <w:tab w:val="clear" w:pos="680"/>
      </w:tabs>
      <w:spacing w:before="60" w:after="60"/>
    </w:pPr>
  </w:style>
  <w:style w:type="paragraph" w:customStyle="1" w:styleId="SubHeading2">
    <w:name w:val="SubHeading2"/>
    <w:basedOn w:val="HeadingBase"/>
    <w:rsid w:val="00C21C41"/>
    <w:pPr>
      <w:spacing w:before="240" w:after="60"/>
    </w:pPr>
    <w:rPr>
      <w:sz w:val="20"/>
    </w:rPr>
  </w:style>
  <w:style w:type="paragraph" w:customStyle="1" w:styleId="SubHeading1">
    <w:name w:val="SubHeading1"/>
    <w:basedOn w:val="HeadingBase"/>
    <w:rsid w:val="00C21C41"/>
    <w:pPr>
      <w:spacing w:before="240" w:after="60"/>
    </w:pPr>
    <w:rPr>
      <w:color w:val="918585"/>
      <w:sz w:val="22"/>
    </w:rPr>
  </w:style>
  <w:style w:type="paragraph" w:customStyle="1" w:styleId="SideHeading">
    <w:name w:val="Side Heading"/>
    <w:basedOn w:val="HeadingBase"/>
    <w:rsid w:val="00C21C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C41"/>
    <w:pPr>
      <w:numPr>
        <w:numId w:val="13"/>
      </w:numPr>
    </w:pPr>
  </w:style>
  <w:style w:type="paragraph" w:styleId="PlainText">
    <w:name w:val="Plain Text"/>
    <w:basedOn w:val="Normal"/>
    <w:link w:val="PlainTextChar"/>
    <w:rsid w:val="00C21C41"/>
    <w:rPr>
      <w:sz w:val="20"/>
    </w:rPr>
  </w:style>
  <w:style w:type="character" w:customStyle="1" w:styleId="PlainTextChar">
    <w:name w:val="Plain Text Char"/>
    <w:basedOn w:val="DefaultParagraphFont"/>
    <w:link w:val="PlainText"/>
    <w:rsid w:val="00C21C41"/>
    <w:rPr>
      <w:rFonts w:ascii="Courier New" w:eastAsia="Times New Roman" w:hAnsi="Courier New" w:cs="Times New Roman"/>
      <w:sz w:val="20"/>
      <w:szCs w:val="20"/>
      <w:lang w:eastAsia="en-US"/>
    </w:rPr>
  </w:style>
  <w:style w:type="character" w:customStyle="1" w:styleId="MenuOption">
    <w:name w:val="Menu Option"/>
    <w:basedOn w:val="DefaultParagraphFont"/>
    <w:rsid w:val="00C21C41"/>
    <w:rPr>
      <w:b/>
      <w:smallCaps/>
    </w:rPr>
  </w:style>
  <w:style w:type="paragraph" w:customStyle="1" w:styleId="TableListNumber">
    <w:name w:val="Table List Number"/>
    <w:basedOn w:val="ListNumber"/>
    <w:rsid w:val="00C21C41"/>
    <w:pPr>
      <w:numPr>
        <w:numId w:val="0"/>
      </w:numPr>
    </w:pPr>
  </w:style>
  <w:style w:type="paragraph" w:styleId="TOC4">
    <w:name w:val="toc 4"/>
    <w:basedOn w:val="TOCBase"/>
    <w:next w:val="Normal"/>
    <w:semiHidden/>
    <w:rsid w:val="00C21C41"/>
    <w:pPr>
      <w:tabs>
        <w:tab w:val="right" w:leader="dot" w:pos="9071"/>
      </w:tabs>
      <w:ind w:left="1701"/>
    </w:pPr>
  </w:style>
  <w:style w:type="paragraph" w:customStyle="1" w:styleId="ListAlpha">
    <w:name w:val="List Alpha"/>
    <w:basedOn w:val="List"/>
    <w:rsid w:val="00C21C41"/>
    <w:pPr>
      <w:numPr>
        <w:numId w:val="10"/>
      </w:numPr>
    </w:pPr>
  </w:style>
  <w:style w:type="paragraph" w:customStyle="1" w:styleId="ListAlpha2">
    <w:name w:val="List Alpha 2"/>
    <w:basedOn w:val="List2"/>
    <w:rsid w:val="00C21C41"/>
    <w:pPr>
      <w:numPr>
        <w:numId w:val="9"/>
      </w:numPr>
    </w:pPr>
  </w:style>
  <w:style w:type="paragraph" w:styleId="List2">
    <w:name w:val="List 2"/>
    <w:basedOn w:val="BodyText"/>
    <w:rsid w:val="00C21C41"/>
    <w:pPr>
      <w:tabs>
        <w:tab w:val="left" w:pos="680"/>
      </w:tabs>
      <w:spacing w:before="60" w:after="60"/>
      <w:ind w:left="680" w:hanging="340"/>
    </w:pPr>
  </w:style>
  <w:style w:type="paragraph" w:styleId="List3">
    <w:name w:val="List 3"/>
    <w:basedOn w:val="BodyText"/>
    <w:rsid w:val="00C21C41"/>
    <w:pPr>
      <w:tabs>
        <w:tab w:val="left" w:pos="1021"/>
      </w:tabs>
      <w:spacing w:before="60" w:after="60"/>
      <w:ind w:left="1020" w:hanging="340"/>
    </w:pPr>
  </w:style>
  <w:style w:type="paragraph" w:styleId="List4">
    <w:name w:val="List 4"/>
    <w:basedOn w:val="BodyText"/>
    <w:rsid w:val="00C21C41"/>
    <w:pPr>
      <w:tabs>
        <w:tab w:val="left" w:pos="1361"/>
      </w:tabs>
      <w:spacing w:before="60" w:after="60"/>
      <w:ind w:left="1361" w:hanging="340"/>
    </w:pPr>
  </w:style>
  <w:style w:type="paragraph" w:styleId="List5">
    <w:name w:val="List 5"/>
    <w:basedOn w:val="BodyText"/>
    <w:rsid w:val="00C21C41"/>
    <w:pPr>
      <w:tabs>
        <w:tab w:val="left" w:pos="1701"/>
      </w:tabs>
      <w:spacing w:before="60" w:after="60"/>
      <w:ind w:left="1701" w:hanging="340"/>
    </w:pPr>
  </w:style>
  <w:style w:type="paragraph" w:styleId="ListBullet4">
    <w:name w:val="List Bullet 4"/>
    <w:basedOn w:val="List4"/>
    <w:rsid w:val="00C21C41"/>
    <w:pPr>
      <w:numPr>
        <w:numId w:val="4"/>
      </w:numPr>
    </w:pPr>
  </w:style>
  <w:style w:type="paragraph" w:styleId="ListBullet5">
    <w:name w:val="List Bullet 5"/>
    <w:basedOn w:val="List5"/>
    <w:rsid w:val="00C21C41"/>
    <w:pPr>
      <w:numPr>
        <w:numId w:val="5"/>
      </w:numPr>
    </w:pPr>
  </w:style>
  <w:style w:type="paragraph" w:styleId="ListContinue2">
    <w:name w:val="List Continue 2"/>
    <w:basedOn w:val="List2"/>
    <w:rsid w:val="00C21C41"/>
    <w:pPr>
      <w:ind w:firstLine="0"/>
    </w:pPr>
  </w:style>
  <w:style w:type="paragraph" w:styleId="ListContinue3">
    <w:name w:val="List Continue 3"/>
    <w:basedOn w:val="List3"/>
    <w:rsid w:val="00C21C41"/>
    <w:pPr>
      <w:ind w:left="1021" w:firstLine="0"/>
    </w:pPr>
  </w:style>
  <w:style w:type="paragraph" w:styleId="ListContinue4">
    <w:name w:val="List Continue 4"/>
    <w:basedOn w:val="List4"/>
    <w:rsid w:val="00C21C41"/>
    <w:pPr>
      <w:ind w:firstLine="0"/>
    </w:pPr>
  </w:style>
  <w:style w:type="paragraph" w:styleId="ListContinue5">
    <w:name w:val="List Continue 5"/>
    <w:basedOn w:val="List5"/>
    <w:rsid w:val="00C21C41"/>
    <w:pPr>
      <w:ind w:firstLine="0"/>
    </w:pPr>
  </w:style>
  <w:style w:type="paragraph" w:styleId="ListNumber3">
    <w:name w:val="List Number 3"/>
    <w:basedOn w:val="List3"/>
    <w:rsid w:val="00C21C41"/>
    <w:pPr>
      <w:numPr>
        <w:numId w:val="6"/>
      </w:numPr>
    </w:pPr>
  </w:style>
  <w:style w:type="paragraph" w:styleId="ListNumber4">
    <w:name w:val="List Number 4"/>
    <w:basedOn w:val="List4"/>
    <w:rsid w:val="00C21C41"/>
    <w:pPr>
      <w:numPr>
        <w:numId w:val="7"/>
      </w:numPr>
    </w:pPr>
  </w:style>
  <w:style w:type="paragraph" w:styleId="ListNumber5">
    <w:name w:val="List Number 5"/>
    <w:basedOn w:val="List5"/>
    <w:rsid w:val="00C21C41"/>
    <w:pPr>
      <w:numPr>
        <w:numId w:val="8"/>
      </w:numPr>
    </w:pPr>
  </w:style>
  <w:style w:type="paragraph" w:styleId="BlockText">
    <w:name w:val="Block Text"/>
    <w:basedOn w:val="Normal"/>
    <w:rsid w:val="00C21C41"/>
    <w:pPr>
      <w:spacing w:after="120"/>
      <w:ind w:left="1440" w:right="1440"/>
    </w:pPr>
  </w:style>
  <w:style w:type="character" w:customStyle="1" w:styleId="Subscript">
    <w:name w:val="Subscript"/>
    <w:basedOn w:val="DefaultParagraphFont"/>
    <w:rsid w:val="00C21C41"/>
    <w:rPr>
      <w:sz w:val="16"/>
      <w:vertAlign w:val="subscript"/>
    </w:rPr>
  </w:style>
  <w:style w:type="character" w:customStyle="1" w:styleId="Superscript">
    <w:name w:val="Superscript"/>
    <w:basedOn w:val="DefaultParagraphFont"/>
    <w:rsid w:val="00C21C41"/>
    <w:rPr>
      <w:sz w:val="16"/>
      <w:vertAlign w:val="superscript"/>
    </w:rPr>
  </w:style>
  <w:style w:type="character" w:customStyle="1" w:styleId="Symbols">
    <w:name w:val="Symbols"/>
    <w:basedOn w:val="DefaultParagraphFont"/>
    <w:rsid w:val="00C21C41"/>
    <w:rPr>
      <w:rFonts w:ascii="Symbol" w:hAnsi="Symbol"/>
    </w:rPr>
  </w:style>
  <w:style w:type="character" w:customStyle="1" w:styleId="MenuOptions">
    <w:name w:val="Menu Options"/>
    <w:basedOn w:val="DefaultParagraphFont"/>
    <w:rsid w:val="00C21C41"/>
    <w:rPr>
      <w:rFonts w:ascii="Arial Narrow" w:hAnsi="Arial Narrow"/>
      <w:smallCaps/>
    </w:rPr>
  </w:style>
  <w:style w:type="character" w:customStyle="1" w:styleId="Buttons">
    <w:name w:val="Buttons"/>
    <w:basedOn w:val="DefaultParagraphFont"/>
    <w:rsid w:val="00C21C41"/>
    <w:rPr>
      <w:b/>
    </w:rPr>
  </w:style>
  <w:style w:type="character" w:customStyle="1" w:styleId="Underlined">
    <w:name w:val="Underlined"/>
    <w:basedOn w:val="DefaultParagraphFont"/>
    <w:rsid w:val="00C21C41"/>
    <w:rPr>
      <w:u w:val="single"/>
    </w:rPr>
  </w:style>
  <w:style w:type="paragraph" w:customStyle="1" w:styleId="TableBodyTextRight">
    <w:name w:val="Table Body Text Right"/>
    <w:basedOn w:val="TableBodyText"/>
    <w:rsid w:val="00C21C41"/>
    <w:pPr>
      <w:widowControl w:val="0"/>
      <w:autoSpaceDE w:val="0"/>
      <w:autoSpaceDN w:val="0"/>
      <w:adjustRightInd w:val="0"/>
      <w:jc w:val="right"/>
    </w:pPr>
    <w:rPr>
      <w:rFonts w:cs="Arial"/>
      <w:szCs w:val="18"/>
    </w:rPr>
  </w:style>
  <w:style w:type="paragraph" w:customStyle="1" w:styleId="CopyrightText">
    <w:name w:val="Copyright Text"/>
    <w:basedOn w:val="BodyText"/>
    <w:rsid w:val="00C21C41"/>
    <w:rPr>
      <w:sz w:val="18"/>
    </w:rPr>
  </w:style>
  <w:style w:type="paragraph" w:customStyle="1" w:styleId="BodySmallRight">
    <w:name w:val="Body Small Right"/>
    <w:basedOn w:val="BodyTextRight"/>
    <w:rsid w:val="00C21C41"/>
    <w:rPr>
      <w:sz w:val="18"/>
      <w:szCs w:val="18"/>
    </w:rPr>
  </w:style>
  <w:style w:type="paragraph" w:customStyle="1" w:styleId="MarginEdition">
    <w:name w:val="Margin Edition"/>
    <w:basedOn w:val="MarginNote"/>
    <w:rsid w:val="00C21C41"/>
    <w:pPr>
      <w:spacing w:before="0" w:after="0"/>
    </w:pPr>
    <w:rPr>
      <w:rFonts w:ascii="Times New Roman" w:hAnsi="Times New Roman"/>
      <w:color w:val="999999"/>
    </w:rPr>
  </w:style>
  <w:style w:type="paragraph" w:customStyle="1" w:styleId="Spacer">
    <w:name w:val="Spacer"/>
    <w:basedOn w:val="Normal"/>
    <w:rsid w:val="00C21C41"/>
    <w:rPr>
      <w:sz w:val="2"/>
      <w:szCs w:val="2"/>
    </w:rPr>
  </w:style>
  <w:style w:type="character" w:customStyle="1" w:styleId="Small">
    <w:name w:val="Small"/>
    <w:basedOn w:val="DefaultParagraphFont"/>
    <w:rsid w:val="00C21C41"/>
    <w:rPr>
      <w:sz w:val="16"/>
    </w:rPr>
  </w:style>
  <w:style w:type="paragraph" w:customStyle="1" w:styleId="WideTable">
    <w:name w:val="Wide Table"/>
    <w:basedOn w:val="Normal"/>
    <w:rsid w:val="00C21C41"/>
    <w:pPr>
      <w:ind w:left="-1418"/>
    </w:pPr>
    <w:rPr>
      <w:sz w:val="2"/>
      <w:szCs w:val="2"/>
    </w:rPr>
  </w:style>
  <w:style w:type="character" w:styleId="PageNumber">
    <w:name w:val="page number"/>
    <w:basedOn w:val="DefaultParagraphFont"/>
    <w:rsid w:val="00C21C41"/>
  </w:style>
  <w:style w:type="paragraph" w:styleId="Quote">
    <w:name w:val="Quote"/>
    <w:basedOn w:val="Heading1"/>
    <w:link w:val="QuoteChar"/>
    <w:qFormat/>
    <w:rsid w:val="00C21C41"/>
    <w:rPr>
      <w:b w:val="0"/>
      <w:sz w:val="72"/>
      <w:szCs w:val="72"/>
      <w:lang w:val="en-NZ"/>
    </w:rPr>
  </w:style>
  <w:style w:type="character" w:customStyle="1" w:styleId="QuoteChar">
    <w:name w:val="Quote Char"/>
    <w:basedOn w:val="DefaultParagraphFont"/>
    <w:link w:val="Quote"/>
    <w:rsid w:val="00C21C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C41"/>
    <w:pPr>
      <w:pageBreakBefore/>
    </w:pPr>
  </w:style>
  <w:style w:type="paragraph" w:customStyle="1" w:styleId="Border">
    <w:name w:val="Border"/>
    <w:basedOn w:val="Normal"/>
    <w:qFormat/>
    <w:rsid w:val="00C21C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C41"/>
    <w:rPr>
      <w:b/>
      <w:bCs/>
      <w:i/>
      <w:iCs/>
      <w:color w:val="auto"/>
    </w:rPr>
  </w:style>
  <w:style w:type="paragraph" w:styleId="IntenseQuote">
    <w:name w:val="Intense Quote"/>
    <w:basedOn w:val="Normal"/>
    <w:next w:val="Normal"/>
    <w:link w:val="IntenseQuoteChar"/>
    <w:uiPriority w:val="30"/>
    <w:qFormat/>
    <w:rsid w:val="00C21C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C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C41"/>
    <w:rPr>
      <w:smallCaps/>
      <w:color w:val="auto"/>
      <w:u w:val="single"/>
    </w:rPr>
  </w:style>
  <w:style w:type="character" w:styleId="IntenseReference">
    <w:name w:val="Intense Reference"/>
    <w:basedOn w:val="DefaultParagraphFont"/>
    <w:uiPriority w:val="32"/>
    <w:qFormat/>
    <w:rsid w:val="00C21C41"/>
    <w:rPr>
      <w:b/>
      <w:bCs/>
      <w:smallCaps/>
      <w:color w:val="auto"/>
      <w:spacing w:val="5"/>
      <w:u w:val="single"/>
    </w:rPr>
  </w:style>
  <w:style w:type="paragraph" w:customStyle="1" w:styleId="2ColumnHeading">
    <w:name w:val="2Column Heading"/>
    <w:basedOn w:val="BodyText"/>
    <w:qFormat/>
    <w:rsid w:val="00C21C41"/>
    <w:pPr>
      <w:spacing w:after="60"/>
      <w:ind w:left="-2268"/>
    </w:pPr>
    <w:rPr>
      <w:b/>
    </w:rPr>
  </w:style>
  <w:style w:type="paragraph" w:customStyle="1" w:styleId="Heading1TOC">
    <w:name w:val="Heading1 TOC"/>
    <w:basedOn w:val="Normal"/>
    <w:qFormat/>
    <w:rsid w:val="00C21C41"/>
    <w:pPr>
      <w:spacing w:before="240" w:after="120"/>
    </w:pPr>
    <w:rPr>
      <w:rFonts w:ascii="Times New Roman" w:hAnsi="Times New Roman"/>
      <w:b/>
      <w:sz w:val="32"/>
    </w:rPr>
  </w:style>
  <w:style w:type="paragraph" w:customStyle="1" w:styleId="Heading2TOC">
    <w:name w:val="Heading2 TOC"/>
    <w:basedOn w:val="Normal"/>
    <w:qFormat/>
    <w:rsid w:val="00C21C41"/>
    <w:pPr>
      <w:spacing w:before="240" w:after="60"/>
    </w:pPr>
    <w:rPr>
      <w:rFonts w:ascii="Times New Roman" w:hAnsi="Times New Roman"/>
      <w:b/>
      <w:sz w:val="28"/>
    </w:rPr>
  </w:style>
  <w:style w:type="character" w:customStyle="1" w:styleId="Underline">
    <w:name w:val="Underline"/>
    <w:basedOn w:val="DefaultParagraphFont"/>
    <w:qFormat/>
    <w:rsid w:val="00C21C41"/>
    <w:rPr>
      <w:u w:val="single"/>
    </w:rPr>
  </w:style>
  <w:style w:type="paragraph" w:styleId="BalloonText">
    <w:name w:val="Balloon Text"/>
    <w:basedOn w:val="Normal"/>
    <w:link w:val="BalloonTextChar"/>
    <w:rsid w:val="00C21C41"/>
    <w:rPr>
      <w:rFonts w:ascii="Tahoma" w:hAnsi="Tahoma" w:cs="Tahoma"/>
      <w:sz w:val="16"/>
      <w:szCs w:val="16"/>
    </w:rPr>
  </w:style>
  <w:style w:type="character" w:customStyle="1" w:styleId="BalloonTextChar">
    <w:name w:val="Balloon Text Char"/>
    <w:basedOn w:val="DefaultParagraphFont"/>
    <w:link w:val="BalloonText"/>
    <w:rsid w:val="00C21C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C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1C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C41"/>
    <w:rPr>
      <w:b/>
      <w:color w:val="660033"/>
      <w:spacing w:val="0"/>
    </w:rPr>
  </w:style>
  <w:style w:type="paragraph" w:customStyle="1" w:styleId="Nameditemlist">
    <w:name w:val="Named item list"/>
    <w:basedOn w:val="BodyText"/>
    <w:qFormat/>
    <w:rsid w:val="00C21C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1552</Words>
  <Characters>10067</Characters>
  <Application>Microsoft Office Word</Application>
  <DocSecurity>0</DocSecurity>
  <Lines>402</Lines>
  <Paragraphs>219</Paragraphs>
  <ScaleCrop>false</ScaleCrop>
  <Company>Author-it Software Corporation Ltd.</Company>
  <LinksUpToDate>false</LinksUpToDate>
  <CharactersWithSpaces>11524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CPPHSA4015A Assess impact of building elements on thermal performance of residential buildings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2012-09-27T09:27:00Z</dcterms:created>
  <dcterms:modified xsi:type="dcterms:W3CDTF">2012-09-27T09:27:00Z</dcterms:modified>
</cp:coreProperties>
</file>