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A70" w:rsidP="000F4A70">
      <w:pPr>
        <w:pStyle w:val="Title"/>
      </w:pPr>
      <w:bookmarkStart w:id="0" w:name="_GoBack"/>
      <w:bookmarkEnd w:id="0"/>
      <w:r>
        <w:fldChar w:fldCharType="begin"/>
      </w:r>
      <w:r>
        <w:instrText xml:space="preserve"> TITLE   \* MERGEFORMAT </w:instrText>
      </w:r>
      <w:r>
        <w:fldChar w:fldCharType="separate"/>
      </w:r>
      <w:r>
        <w:t>CPPHSA4012A Conduct NatHERS assessment of planned residential buildings</w:t>
      </w:r>
      <w:r>
        <w:fldChar w:fldCharType="end"/>
      </w:r>
    </w:p>
    <w:p w:rsidR="000F4A70" w:rsidP="000F4A70">
      <w:pPr>
        <w:pStyle w:val="Version"/>
        <w:sectPr w:rsidSect="00B40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8D2" w:rsidP="00B408D2">
      <w:pPr>
        <w:pStyle w:val="SuperHeading"/>
      </w:pPr>
      <w:r w:rsidRPr="00B408D2">
        <w:t>CPPHSA4012A Conduct NatHERS assessment of planned residential buildings</w:t>
      </w:r>
    </w:p>
    <w:p w:rsidR="00000000" w:rsidRPr="00B408D2" w:rsidP="00B408D2">
      <w:pPr>
        <w:pStyle w:val="Heading1"/>
      </w:pPr>
      <w:bookmarkStart w:id="1" w:name="O_489486"/>
      <w:bookmarkEnd w:id="1"/>
      <w:r w:rsidRPr="00B408D2">
        <w:t>Modification History</w:t>
      </w:r>
    </w:p>
    <w:tbl>
      <w:tblPr>
        <w:tblW w:w="0" w:type="auto"/>
        <w:tblLayout w:type="fixed"/>
        <w:tblCellMar>
          <w:left w:w="62" w:type="dxa"/>
          <w:right w:w="62" w:type="dxa"/>
        </w:tblCellMar>
        <w:tblLook w:val="0000"/>
      </w:tblPr>
      <w:tblGrid>
        <w:gridCol w:w="2523"/>
        <w:gridCol w:w="6547"/>
      </w:tblGrid>
      <w:tr w:rsidTr="00B408D2">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SpecialBold"/>
              </w:rPr>
              <w:t>Comments</w:t>
            </w:r>
          </w:p>
        </w:tc>
      </w:tr>
      <w:tr w:rsidTr="00B408D2">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w:t>
            </w:r>
          </w:p>
        </w:tc>
        <w:tc>
          <w:tcPr>
            <w:tcW w:w="6547"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This version first released with CPP0</w:t>
            </w:r>
            <w:r w:rsidRPr="00B408D2">
              <w:t>7 Property Services Training Package Version 11.</w:t>
            </w:r>
          </w:p>
        </w:tc>
      </w:tr>
    </w:tbl>
    <w:p w:rsidR="00000000" w:rsidRPr="00B408D2" w:rsidP="00B408D2">
      <w:pPr>
        <w:pStyle w:val="BodyText"/>
      </w:pPr>
    </w:p>
    <w:p w:rsidR="00000000" w:rsidRPr="00B408D2" w:rsidP="00B408D2">
      <w:pPr>
        <w:pStyle w:val="AllowPageBreak"/>
      </w:pPr>
    </w:p>
    <w:p w:rsidR="00000000" w:rsidRPr="00B408D2" w:rsidP="00B408D2">
      <w:pPr>
        <w:pStyle w:val="Heading1"/>
      </w:pPr>
      <w:bookmarkStart w:id="2" w:name="O_489487"/>
      <w:bookmarkEnd w:id="2"/>
      <w:r w:rsidRPr="00B408D2">
        <w:t>Unit Descriptor</w:t>
      </w:r>
    </w:p>
    <w:p w:rsidR="00000000" w:rsidRPr="00B408D2" w:rsidP="00B408D2">
      <w:pPr>
        <w:pStyle w:val="BodyText"/>
      </w:pPr>
      <w:r w:rsidRPr="00B408D2">
        <w:t xml:space="preserve">This unit of competency specifies the outcomes required to assess the thermal performance of planned residential buildings using software tools </w:t>
      </w:r>
      <w:r w:rsidRPr="00B408D2">
        <w:t>that are accredited under the Nationwide House Energy Rating Scheme (NatHERS) for regulatory purposes.</w:t>
      </w:r>
    </w:p>
    <w:p w:rsidR="00000000" w:rsidRPr="00B408D2" w:rsidP="00B408D2">
      <w:pPr>
        <w:pStyle w:val="AllowPageBreak"/>
      </w:pPr>
    </w:p>
    <w:p w:rsidR="00000000" w:rsidRPr="00B408D2" w:rsidP="00B408D2">
      <w:pPr>
        <w:pStyle w:val="Heading1"/>
      </w:pPr>
      <w:bookmarkStart w:id="3" w:name="O_489488"/>
      <w:bookmarkEnd w:id="3"/>
      <w:r w:rsidRPr="00B408D2">
        <w:t>Application of the Unit</w:t>
      </w:r>
    </w:p>
    <w:p w:rsidR="00000000" w:rsidRPr="00B408D2" w:rsidP="00B408D2">
      <w:pPr>
        <w:pStyle w:val="BodyText"/>
      </w:pPr>
      <w:r w:rsidRPr="00B408D2">
        <w:t xml:space="preserve">This unit of competency supports the work of NatHERS assessors engaged in assessing, and making recommendations </w:t>
      </w:r>
      <w:r w:rsidRPr="00B408D2">
        <w:t>for improving, the thermal performance of planned residential buildings.</w:t>
      </w:r>
    </w:p>
    <w:p w:rsidR="00000000" w:rsidRPr="00B408D2" w:rsidP="00B408D2">
      <w:pPr>
        <w:pStyle w:val="AllowPageBreak"/>
      </w:pPr>
    </w:p>
    <w:p w:rsidR="00000000" w:rsidRPr="00B408D2" w:rsidP="00B408D2">
      <w:pPr>
        <w:pStyle w:val="Heading1"/>
      </w:pPr>
      <w:bookmarkStart w:id="4" w:name="O_489489"/>
      <w:bookmarkEnd w:id="4"/>
      <w:r w:rsidRPr="00B408D2">
        <w:t>Licensing/Regulatory Information</w:t>
      </w:r>
    </w:p>
    <w:p w:rsidR="00000000" w:rsidRPr="00B408D2" w:rsidP="00B408D2">
      <w:pPr>
        <w:pStyle w:val="BodyText"/>
      </w:pPr>
      <w:r w:rsidRPr="00B408D2">
        <w:t>In some jurisdictions, this unit of competency may form part of the accreditation, licensing, legislative, regulatory or certificatio</w:t>
      </w:r>
      <w:r w:rsidRPr="00B408D2">
        <w:t>n requirements for NatHERS assessors.</w:t>
      </w:r>
    </w:p>
    <w:p w:rsidR="00000000" w:rsidRPr="00B408D2" w:rsidP="00B408D2">
      <w:pPr>
        <w:pStyle w:val="AllowPageBreak"/>
      </w:pPr>
    </w:p>
    <w:p w:rsidR="00000000" w:rsidRPr="00B408D2" w:rsidP="00B408D2">
      <w:pPr>
        <w:pStyle w:val="Heading1"/>
      </w:pPr>
      <w:bookmarkStart w:id="5" w:name="O_489490"/>
      <w:bookmarkEnd w:id="5"/>
      <w:r w:rsidRPr="00B408D2">
        <w:t>Pre-Requisites</w:t>
      </w:r>
    </w:p>
    <w:p w:rsidR="00000000" w:rsidRPr="00B408D2" w:rsidP="00B408D2">
      <w:pPr>
        <w:pStyle w:val="BodyText"/>
      </w:pPr>
      <w:r w:rsidRPr="00B408D2">
        <w:t>Not applicable.</w:t>
      </w:r>
    </w:p>
    <w:p w:rsidR="00000000" w:rsidRPr="00B408D2" w:rsidP="00B408D2">
      <w:pPr>
        <w:pStyle w:val="AllowPageBreak"/>
      </w:pPr>
    </w:p>
    <w:p w:rsidR="00000000" w:rsidRPr="00B408D2" w:rsidP="00B408D2">
      <w:pPr>
        <w:pStyle w:val="Heading1"/>
      </w:pPr>
      <w:bookmarkStart w:id="6" w:name="O_489491"/>
      <w:bookmarkEnd w:id="6"/>
      <w:r w:rsidRPr="00B408D2">
        <w:t>Employability Skills Information</w:t>
      </w:r>
    </w:p>
    <w:p w:rsidR="00000000" w:rsidRPr="00B408D2" w:rsidP="00B408D2">
      <w:pPr>
        <w:pStyle w:val="BodyText"/>
      </w:pPr>
      <w:r w:rsidRPr="00B408D2">
        <w:t>This unit contains employability skills.</w:t>
      </w:r>
    </w:p>
    <w:p w:rsidR="00000000" w:rsidRPr="00B408D2" w:rsidP="00B408D2">
      <w:pPr>
        <w:pStyle w:val="AllowPageBreak"/>
      </w:pPr>
    </w:p>
    <w:p w:rsidR="00000000" w:rsidRPr="00B408D2" w:rsidP="00B408D2">
      <w:pPr>
        <w:pStyle w:val="Heading1"/>
      </w:pPr>
      <w:bookmarkStart w:id="7" w:name="O_489492"/>
      <w:bookmarkEnd w:id="7"/>
      <w:r w:rsidRPr="00B408D2">
        <w:t>Elements and Performance Criteria Pre-Content</w:t>
      </w:r>
    </w:p>
    <w:tbl>
      <w:tblPr>
        <w:tblW w:w="0" w:type="auto"/>
        <w:tblLayout w:type="fixed"/>
        <w:tblCellMar>
          <w:left w:w="62" w:type="dxa"/>
          <w:right w:w="62" w:type="dxa"/>
        </w:tblCellMar>
        <w:tblLook w:val="0000"/>
      </w:tblPr>
      <w:tblGrid>
        <w:gridCol w:w="2640"/>
        <w:gridCol w:w="6380"/>
      </w:tblGrid>
      <w:tr w:rsidTr="00B408D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Elements describ</w:t>
            </w:r>
            <w:r w:rsidRPr="00B408D2">
              <w:t>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Performance criteria describe the performance needed to demonstrate achievement of the element. Where bold italicised text is used, further information is detailed in the required skills and knowledge secti</w:t>
            </w:r>
            <w:r w:rsidRPr="00B408D2">
              <w:t>on and the range statement. Assessment of performance is to be consistent with the evidence guide.</w:t>
            </w:r>
          </w:p>
        </w:tc>
      </w:tr>
    </w:tbl>
    <w:p w:rsidR="000F4A70" w:rsidP="00B408D2">
      <w:pPr>
        <w:pStyle w:val="BodyText"/>
      </w:pPr>
    </w:p>
    <w:p w:rsidR="000F4A70" w:rsidP="00B408D2">
      <w:pPr>
        <w:pStyle w:val="BodyText"/>
      </w:pPr>
    </w:p>
    <w:p w:rsidR="00000000" w:rsidRPr="00B408D2" w:rsidP="00B408D2">
      <w:pPr>
        <w:pStyle w:val="Heading1"/>
      </w:pPr>
      <w:bookmarkStart w:id="8" w:name="O_489493"/>
      <w:bookmarkEnd w:id="8"/>
      <w:r w:rsidRPr="00B408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w:t>
            </w:r>
          </w:p>
        </w:tc>
        <w:tc>
          <w:tcPr>
            <w:tcW w:w="1962" w:type="dxa"/>
            <w:vMerge w:val="restart"/>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Plan the assessment.</w:t>
            </w: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1.1</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 xml:space="preserve">Need </w:t>
            </w:r>
            <w:r w:rsidRPr="00B408D2">
              <w:t xml:space="preserve">for assessing thermal performance of planned </w:t>
            </w:r>
            <w:r w:rsidRPr="00B408D2">
              <w:rPr>
                <w:rStyle w:val="BoldandItalics"/>
              </w:rPr>
              <w:t>residential building</w:t>
            </w:r>
            <w:r w:rsidRPr="00B408D2">
              <w:t xml:space="preserve"> or part of building, including additions and alterations, is clarified with </w:t>
            </w:r>
            <w:r w:rsidRPr="00B408D2">
              <w:rPr>
                <w:rStyle w:val="BoldandItalics"/>
              </w:rPr>
              <w:t>client</w:t>
            </w:r>
            <w:r w:rsidRPr="00B408D2">
              <w:t>.</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1.2</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Effective communication strategies</w:t>
            </w:r>
            <w:r w:rsidRPr="00B408D2">
              <w:t xml:space="preserve"> are employed to assist in establishing rapport with the client and in responding to client questions and concerns.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1.3</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 xml:space="preserve">Potential </w:t>
            </w:r>
            <w:r w:rsidRPr="00B408D2">
              <w:rPr>
                <w:rStyle w:val="BoldandItalics"/>
              </w:rPr>
              <w:t>risks</w:t>
            </w:r>
            <w:r w:rsidRPr="00B408D2">
              <w:t xml:space="preserve"> are identified and suitably managed.</w:t>
            </w:r>
          </w:p>
        </w:tc>
      </w:tr>
      <w:tr w:rsidTr="00B408D2">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1.4</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Computer equipment and software required for the assessment are identified and checked for serviceability.</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1.5</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Documentation</w:t>
            </w:r>
            <w:r w:rsidRPr="00B408D2">
              <w:t xml:space="preserve"> required for the assessment is obtained consistent with organisation</w:t>
            </w:r>
            <w:r w:rsidRPr="00B408D2">
              <w:t>al practice and regulatory requirements.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1.6</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Drawings are checked for consistency and adequacy so that assessment is in line with regulatory, organisational and software requirements; and further information is sought as required.</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1.7</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Limitations of data collected are identified in line with organisational procedures.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1.8</w:t>
            </w:r>
          </w:p>
        </w:tc>
        <w:tc>
          <w:tcPr>
            <w:tcW w:w="561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Authority to proceed is obtained from client prior to commencing, and is reconfirmed as appropriate during the assessment.</w:t>
            </w:r>
          </w:p>
        </w:tc>
      </w:tr>
    </w:tbl>
    <w:p w:rsidR="00000000" w:rsidRPr="00B408D2" w:rsidP="00B408D2">
      <w:pPr>
        <w:pStyle w:val="BodyText"/>
      </w:pPr>
    </w:p>
    <w:tbl>
      <w:tblPr>
        <w:tblW w:w="0" w:type="auto"/>
        <w:tblLayout w:type="fixed"/>
        <w:tblCellMar>
          <w:left w:w="62" w:type="dxa"/>
          <w:right w:w="62" w:type="dxa"/>
        </w:tblCellMar>
        <w:tblLook w:val="0000"/>
      </w:tblPr>
      <w:tblGrid>
        <w:gridCol w:w="678"/>
        <w:gridCol w:w="1962"/>
        <w:gridCol w:w="770"/>
        <w:gridCol w:w="5610"/>
      </w:tblGrid>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2</w:t>
            </w:r>
          </w:p>
        </w:tc>
        <w:tc>
          <w:tcPr>
            <w:tcW w:w="1962" w:type="dxa"/>
            <w:vMerge w:val="restart"/>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Enter information into thermal perfor</w:t>
            </w:r>
            <w:r w:rsidRPr="00B408D2">
              <w:t>mance assessment tool.</w:t>
            </w: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2.1</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 xml:space="preserve">Building </w:t>
            </w:r>
            <w:r w:rsidRPr="00B408D2">
              <w:rPr>
                <w:rStyle w:val="BoldandItalics"/>
              </w:rPr>
              <w:t>information</w:t>
            </w:r>
            <w:r w:rsidRPr="00B408D2">
              <w:t xml:space="preserve"> is obtained from appropriate sources and entered into the thermal performance assessment tool.</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2.2</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 xml:space="preserve">Methods for entering information on non-standard </w:t>
            </w:r>
            <w:r w:rsidRPr="00B408D2">
              <w:t>building materials and designs are used correctly.</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2.3</w:t>
            </w:r>
          </w:p>
        </w:tc>
        <w:tc>
          <w:tcPr>
            <w:tcW w:w="561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Methods for entering information required for assessing alterations and extensions are implemented correctly.</w:t>
            </w:r>
          </w:p>
        </w:tc>
      </w:tr>
    </w:tbl>
    <w:p w:rsidR="00000000" w:rsidRPr="00B408D2" w:rsidP="00B408D2">
      <w:pPr>
        <w:pStyle w:val="BodyText"/>
      </w:pPr>
    </w:p>
    <w:tbl>
      <w:tblPr>
        <w:tblW w:w="0" w:type="auto"/>
        <w:tblLayout w:type="fixed"/>
        <w:tblCellMar>
          <w:left w:w="62" w:type="dxa"/>
          <w:right w:w="62" w:type="dxa"/>
        </w:tblCellMar>
        <w:tblLook w:val="0000"/>
      </w:tblPr>
      <w:tblGrid>
        <w:gridCol w:w="678"/>
        <w:gridCol w:w="1962"/>
        <w:gridCol w:w="770"/>
        <w:gridCol w:w="5610"/>
      </w:tblGrid>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3</w:t>
            </w:r>
          </w:p>
        </w:tc>
        <w:tc>
          <w:tcPr>
            <w:tcW w:w="1962" w:type="dxa"/>
            <w:vMerge w:val="restart"/>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Apply thermal performance assessment tool.</w:t>
            </w: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3.1</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 xml:space="preserve">Relevant functions of thermal performance assessment tool are used to generate </w:t>
            </w:r>
            <w:r w:rsidRPr="00B408D2">
              <w:rPr>
                <w:rStyle w:val="BoldandItalics"/>
              </w:rPr>
              <w:t>outputs</w:t>
            </w:r>
            <w:r w:rsidRPr="00B408D2">
              <w:t xml:space="preserve"> in rela</w:t>
            </w:r>
            <w:r w:rsidRPr="00B408D2">
              <w:t>tion to thermal performance of the building.</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3.2</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Thermal performance assessment tool outputs are identified and analysed.</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3.3</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Errors in data entry and assessment</w:t>
            </w:r>
            <w:r w:rsidRPr="00B408D2">
              <w:t xml:space="preserve"> are identified and corrected.</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3.4</w:t>
            </w:r>
          </w:p>
        </w:tc>
        <w:tc>
          <w:tcPr>
            <w:tcW w:w="561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Limitations of software are identified and considered during assessment.</w:t>
            </w:r>
          </w:p>
        </w:tc>
      </w:tr>
    </w:tbl>
    <w:p w:rsidR="00000000" w:rsidRPr="00B408D2" w:rsidP="00B408D2">
      <w:pPr>
        <w:pStyle w:val="BodyText"/>
      </w:pPr>
    </w:p>
    <w:tbl>
      <w:tblPr>
        <w:tblW w:w="0" w:type="auto"/>
        <w:tblLayout w:type="fixed"/>
        <w:tblCellMar>
          <w:left w:w="62" w:type="dxa"/>
          <w:right w:w="62" w:type="dxa"/>
        </w:tblCellMar>
        <w:tblLook w:val="0000"/>
      </w:tblPr>
      <w:tblGrid>
        <w:gridCol w:w="678"/>
        <w:gridCol w:w="1962"/>
        <w:gridCol w:w="770"/>
        <w:gridCol w:w="5610"/>
      </w:tblGrid>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4</w:t>
            </w:r>
          </w:p>
        </w:tc>
        <w:tc>
          <w:tcPr>
            <w:tcW w:w="1962" w:type="dxa"/>
            <w:vMerge w:val="restart"/>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Identify options for improving thermal performance.</w:t>
            </w: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4.1</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Sources of technical advice</w:t>
            </w:r>
            <w:r w:rsidRPr="00B408D2">
              <w:t xml:space="preserve"> on building thermal performance are identified.</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4.2</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Assumptions</w:t>
            </w:r>
            <w:r w:rsidRPr="00B408D2">
              <w:t xml:space="preserve"> and limitations inherent in thermal performance assessment tool are considered when interpreting outputs.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4.3</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Thermal performance tool outputs are interpreted to identify strengths and weaknesses in thermal performance of building.</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4.4</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 xml:space="preserve">Options </w:t>
            </w:r>
            <w:r w:rsidRPr="00B408D2">
              <w:t>for improving thermal and environmental performance and for meeting regulatory requirements</w:t>
            </w:r>
            <w:r w:rsidRPr="00B408D2">
              <w:rPr>
                <w:rStyle w:val="SpecialBold"/>
              </w:rPr>
              <w:t xml:space="preserve"> </w:t>
            </w:r>
            <w:r w:rsidRPr="00B408D2">
              <w:t xml:space="preserve">are identified based on </w:t>
            </w:r>
            <w:r w:rsidRPr="00B408D2">
              <w:rPr>
                <w:rStyle w:val="BoldandItalics"/>
              </w:rPr>
              <w:t xml:space="preserve">criteria </w:t>
            </w:r>
            <w:r w:rsidRPr="00B408D2">
              <w:t xml:space="preserve">consistent with organisational, regulatory and client requirements. </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4.5</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Interactions of thermal performance improvements on oth</w:t>
            </w:r>
            <w:r w:rsidRPr="00B408D2">
              <w:t>er aspects of building performance are identified and advice is provided to client in line with organisational procedures.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4.6</w:t>
            </w:r>
          </w:p>
        </w:tc>
        <w:tc>
          <w:tcPr>
            <w:tcW w:w="561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 xml:space="preserve">Impact of options is evaluated by reassessing the building using the </w:t>
            </w:r>
            <w:r w:rsidRPr="00B408D2">
              <w:rPr>
                <w:rStyle w:val="SpecialBold"/>
              </w:rPr>
              <w:t>thermal performance assessment tool.</w:t>
            </w:r>
          </w:p>
        </w:tc>
      </w:tr>
    </w:tbl>
    <w:p w:rsidR="00000000" w:rsidRPr="00B408D2" w:rsidP="00B408D2">
      <w:pPr>
        <w:pStyle w:val="BodyText"/>
      </w:pPr>
    </w:p>
    <w:tbl>
      <w:tblPr>
        <w:tblW w:w="0" w:type="auto"/>
        <w:tblLayout w:type="fixed"/>
        <w:tblCellMar>
          <w:left w:w="62" w:type="dxa"/>
          <w:right w:w="62" w:type="dxa"/>
        </w:tblCellMar>
        <w:tblLook w:val="0000"/>
      </w:tblPr>
      <w:tblGrid>
        <w:gridCol w:w="678"/>
        <w:gridCol w:w="1962"/>
        <w:gridCol w:w="770"/>
        <w:gridCol w:w="5610"/>
      </w:tblGrid>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5</w:t>
            </w:r>
          </w:p>
        </w:tc>
        <w:tc>
          <w:tcPr>
            <w:tcW w:w="1962" w:type="dxa"/>
            <w:vMerge w:val="restart"/>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 xml:space="preserve">Report outcomes </w:t>
            </w:r>
            <w:r w:rsidRPr="00B408D2">
              <w:t>of thermal performance assessment.</w:t>
            </w: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5.1</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Results and recommendations, along with supporting evidence, are collated and documented in line with organisational, regulatory and client requirements.</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5.2</w:t>
            </w:r>
          </w:p>
        </w:tc>
        <w:tc>
          <w:tcPr>
            <w:tcW w:w="561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BoldandItalics"/>
              </w:rPr>
              <w:t>Results and recommendations</w:t>
            </w:r>
            <w:r w:rsidRPr="00B408D2">
              <w:t xml:space="preserve"> of thermal performance assessment are explained to the client.</w:t>
            </w:r>
          </w:p>
        </w:tc>
      </w:tr>
      <w:tr w:rsidTr="00B40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5.3</w:t>
            </w:r>
          </w:p>
        </w:tc>
        <w:tc>
          <w:tcPr>
            <w:tcW w:w="5610" w:type="dxa"/>
            <w:tcBorders>
              <w:top w:val="nil"/>
              <w:left w:val="nil"/>
              <w:bottom w:val="nil"/>
              <w:right w:val="nil"/>
            </w:tcBorders>
            <w:tcMar>
              <w:top w:w="0" w:type="dxa"/>
              <w:left w:w="62" w:type="dxa"/>
              <w:bottom w:w="0" w:type="dxa"/>
              <w:right w:w="62" w:type="dxa"/>
            </w:tcMar>
          </w:tcPr>
          <w:p w:rsidR="00000000" w:rsidRPr="00B408D2" w:rsidP="00B408D2">
            <w:pPr>
              <w:pStyle w:val="BodyText"/>
            </w:pPr>
            <w:r w:rsidRPr="00B408D2">
              <w:t>Reports and other documentation associated with thermal performance assessment are lodged with regulatory authorities if required, and securely stored to be readily retrieved in line wi</w:t>
            </w:r>
            <w:r w:rsidRPr="00B408D2">
              <w:t>th organisational requirements.</w:t>
            </w:r>
          </w:p>
        </w:tc>
      </w:tr>
    </w:tbl>
    <w:p w:rsidR="000F4A70" w:rsidP="00B408D2">
      <w:pPr>
        <w:pStyle w:val="BodyText"/>
      </w:pPr>
    </w:p>
    <w:p w:rsidR="000F4A70" w:rsidP="00B408D2">
      <w:pPr>
        <w:pStyle w:val="BodyText"/>
      </w:pPr>
    </w:p>
    <w:p w:rsidR="00000000" w:rsidRPr="00B408D2" w:rsidP="00B408D2">
      <w:pPr>
        <w:pStyle w:val="Heading1"/>
      </w:pPr>
      <w:bookmarkStart w:id="9" w:name="O_489494"/>
      <w:bookmarkEnd w:id="9"/>
      <w:r w:rsidRPr="00B408D2">
        <w:t>Required Skills and Knowledge</w:t>
      </w:r>
    </w:p>
    <w:tbl>
      <w:tblPr>
        <w:tblW w:w="0" w:type="auto"/>
        <w:tblLayout w:type="fixed"/>
        <w:tblCellMar>
          <w:left w:w="62" w:type="dxa"/>
          <w:right w:w="62" w:type="dxa"/>
        </w:tblCellMar>
        <w:tblLook w:val="0000"/>
      </w:tblPr>
      <w:tblGrid>
        <w:gridCol w:w="9178"/>
      </w:tblGrid>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t>This section describes the skills and knowledge required for this unit.</w:t>
            </w:r>
          </w:p>
        </w:tc>
      </w:tr>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SpecialBold"/>
              </w:rPr>
              <w:t>Required skills</w:t>
            </w:r>
          </w:p>
        </w:tc>
      </w:tr>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408D2" w:rsidP="00B408D2">
            <w:pPr>
              <w:pStyle w:val="ListBullet"/>
            </w:pPr>
            <w:r w:rsidRPr="00B408D2">
              <w:t xml:space="preserve">communication skills to interact with clients from diverse social, economic and cultural backgrounds in an ethical manner </w:t>
            </w:r>
          </w:p>
          <w:p w:rsidR="00000000" w:rsidRPr="00B408D2" w:rsidP="00B408D2">
            <w:pPr>
              <w:pStyle w:val="ListBullet"/>
            </w:pPr>
            <w:r w:rsidRPr="00B408D2">
              <w:t>decision-making and problem-solving skills to make recommendations based on the outputs of NatHERS software tools</w:t>
            </w:r>
          </w:p>
          <w:p w:rsidR="00000000" w:rsidRPr="00B408D2" w:rsidP="00B408D2">
            <w:pPr>
              <w:pStyle w:val="ListBullet"/>
            </w:pPr>
            <w:r w:rsidRPr="00B408D2">
              <w:t>literacy skills to:</w:t>
            </w:r>
          </w:p>
          <w:p w:rsidR="00000000" w:rsidRPr="00B408D2" w:rsidP="00B408D2">
            <w:pPr>
              <w:pStyle w:val="ListBullet2"/>
            </w:pPr>
            <w:r w:rsidRPr="00B408D2">
              <w:t>complete standard forms</w:t>
            </w:r>
          </w:p>
          <w:p w:rsidR="00000000" w:rsidRPr="00B408D2" w:rsidP="00B408D2">
            <w:pPr>
              <w:pStyle w:val="ListBullet2"/>
            </w:pPr>
            <w:r w:rsidRPr="00B408D2">
              <w:t>generate business correspondence and prepare reports</w:t>
            </w:r>
          </w:p>
          <w:p w:rsidR="00000000" w:rsidRPr="00B408D2" w:rsidP="00B408D2">
            <w:pPr>
              <w:pStyle w:val="ListBullet2"/>
            </w:pPr>
            <w:r w:rsidRPr="00B408D2">
              <w:t>read and interpret a variety of texts, including legislation, regulations, and conduct and ethical standards</w:t>
            </w:r>
          </w:p>
          <w:p w:rsidR="00000000" w:rsidRPr="00B408D2" w:rsidP="00B408D2">
            <w:pPr>
              <w:pStyle w:val="ListBullet"/>
            </w:pPr>
            <w:r w:rsidRPr="00B408D2">
              <w:t>numeracy and data analysis skills to:</w:t>
            </w:r>
          </w:p>
          <w:p w:rsidR="00000000" w:rsidRPr="00B408D2" w:rsidP="00B408D2">
            <w:pPr>
              <w:pStyle w:val="ListBullet2"/>
            </w:pPr>
            <w:r w:rsidRPr="00B408D2">
              <w:t>calcu</w:t>
            </w:r>
            <w:r w:rsidRPr="00B408D2">
              <w:t>late and interpret the outputs of NatHERS software tools data associated with conducting thermal performance assessments, such as U-value, R-value, reflectivity, absorptance and emissivity</w:t>
            </w:r>
          </w:p>
          <w:p w:rsidR="00000000" w:rsidRPr="00B408D2" w:rsidP="00B408D2">
            <w:pPr>
              <w:pStyle w:val="ListBullet2"/>
            </w:pPr>
            <w:r w:rsidRPr="00B408D2">
              <w:t>interpret and extract data from building plans and specifications</w:t>
            </w:r>
          </w:p>
          <w:p w:rsidR="00000000" w:rsidRPr="00B408D2" w:rsidP="00B408D2">
            <w:pPr>
              <w:pStyle w:val="ListBullet"/>
            </w:pPr>
            <w:r w:rsidRPr="00B408D2">
              <w:t>p</w:t>
            </w:r>
            <w:r w:rsidRPr="00B408D2">
              <w:t>lanning, organising and scheduling skills to undertake work-related tasks, such as collecting data required for conducting thermal performance assessments</w:t>
            </w:r>
          </w:p>
          <w:p w:rsidR="00000000" w:rsidRPr="00B408D2" w:rsidP="00B408D2">
            <w:pPr>
              <w:pStyle w:val="ListBullet"/>
            </w:pPr>
            <w:r w:rsidRPr="00B408D2">
              <w:t>research skills to identify and locate documents and information on key matters associated with therm</w:t>
            </w:r>
            <w:r w:rsidRPr="00B408D2">
              <w:t>al performance assessments, such as climatic zones and the thermal properties of building materials</w:t>
            </w:r>
          </w:p>
          <w:p w:rsidR="00000000" w:rsidRPr="00B408D2" w:rsidP="00B408D2">
            <w:pPr>
              <w:pStyle w:val="ListBullet"/>
            </w:pPr>
            <w:r w:rsidRPr="00B408D2">
              <w:t>technology skills to:</w:t>
            </w:r>
          </w:p>
          <w:p w:rsidR="00000000" w:rsidRPr="00B408D2" w:rsidP="00B408D2">
            <w:pPr>
              <w:pStyle w:val="ListBullet2"/>
            </w:pPr>
            <w:r w:rsidRPr="00B408D2">
              <w:t>operate computer equipment and peripherals</w:t>
            </w:r>
          </w:p>
          <w:p w:rsidR="00000000" w:rsidRPr="00B408D2" w:rsidP="00B408D2">
            <w:pPr>
              <w:pStyle w:val="ListBullet2"/>
            </w:pPr>
            <w:r w:rsidRPr="00B408D2">
              <w:t>enter data and use the functions of NatHERS software tools and other general purpose softw</w:t>
            </w:r>
            <w:r w:rsidRPr="00B408D2">
              <w:t>are packages</w:t>
            </w:r>
          </w:p>
          <w:p w:rsidR="00000000" w:rsidP="00B408D2">
            <w:pPr>
              <w:pStyle w:val="ListBullet"/>
              <w:rPr>
                <w:lang w:val="en-NZ"/>
              </w:rPr>
            </w:pPr>
            <w:r w:rsidRPr="00B408D2">
              <w:t>time-management skills to complete the assessment in a timely, cost-efficient manner</w:t>
            </w:r>
          </w:p>
        </w:tc>
      </w:tr>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p>
        </w:tc>
      </w:tr>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408D2">
            <w:pPr>
              <w:pStyle w:val="BodyText"/>
              <w:rPr>
                <w:lang w:val="en-NZ"/>
              </w:rPr>
            </w:pPr>
            <w:r w:rsidRPr="00B408D2">
              <w:rPr>
                <w:rStyle w:val="SpecialBold"/>
              </w:rPr>
              <w:t>Required knowledge</w:t>
            </w:r>
          </w:p>
        </w:tc>
      </w:tr>
      <w:tr w:rsidTr="00B408D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408D2" w:rsidP="00B408D2">
            <w:pPr>
              <w:pStyle w:val="ListBullet"/>
            </w:pPr>
            <w:r w:rsidRPr="00B408D2">
              <w:t>Australian climatic zones:</w:t>
            </w:r>
          </w:p>
          <w:p w:rsidR="00000000" w:rsidRPr="00B408D2" w:rsidP="00B408D2">
            <w:pPr>
              <w:pStyle w:val="ListBullet2"/>
            </w:pPr>
            <w:r w:rsidRPr="00B408D2">
              <w:t>climate data used in thermal performance assessment:</w:t>
            </w:r>
          </w:p>
          <w:p w:rsidR="00000000" w:rsidRPr="00B408D2" w:rsidP="00B408D2">
            <w:pPr>
              <w:pStyle w:val="ListBullet3"/>
            </w:pPr>
            <w:r w:rsidRPr="00B408D2">
              <w:t>diurnal temperature range</w:t>
            </w:r>
          </w:p>
          <w:p w:rsidR="00000000" w:rsidRPr="00B408D2" w:rsidP="00B408D2">
            <w:pPr>
              <w:pStyle w:val="ListBullet3"/>
            </w:pPr>
            <w:r w:rsidRPr="00B408D2">
              <w:t>humidity</w:t>
            </w:r>
          </w:p>
          <w:p w:rsidR="00000000" w:rsidRPr="00B408D2" w:rsidP="00B408D2">
            <w:pPr>
              <w:pStyle w:val="ListBullet3"/>
            </w:pPr>
            <w:r w:rsidRPr="00B408D2">
              <w:t>irradiance</w:t>
            </w:r>
          </w:p>
          <w:p w:rsidR="00000000" w:rsidRPr="00B408D2" w:rsidP="00B408D2">
            <w:pPr>
              <w:pStyle w:val="ListBullet3"/>
            </w:pPr>
            <w:r w:rsidRPr="00B408D2">
              <w:t>maximum and minimum temperature</w:t>
            </w:r>
          </w:p>
          <w:p w:rsidR="00000000" w:rsidRPr="00B408D2" w:rsidP="00B408D2">
            <w:pPr>
              <w:pStyle w:val="ListBullet3"/>
            </w:pPr>
            <w:r w:rsidRPr="00B408D2">
              <w:t>solar geometry</w:t>
            </w:r>
          </w:p>
          <w:p w:rsidR="00000000" w:rsidRPr="00B408D2" w:rsidP="00B408D2">
            <w:pPr>
              <w:pStyle w:val="ListBullet3"/>
            </w:pPr>
            <w:r w:rsidRPr="00B408D2">
              <w:t>wind speed and direction</w:t>
            </w:r>
          </w:p>
          <w:p w:rsidR="00000000" w:rsidRPr="00B408D2" w:rsidP="00B408D2">
            <w:pPr>
              <w:pStyle w:val="ListBullet2"/>
            </w:pPr>
            <w:r w:rsidRPr="00B408D2">
              <w:t>climatic zones and characteristics</w:t>
            </w:r>
          </w:p>
          <w:p w:rsidR="00000000" w:rsidRPr="00B408D2" w:rsidP="00B408D2">
            <w:pPr>
              <w:pStyle w:val="ListBullet"/>
            </w:pPr>
            <w:r w:rsidRPr="00B408D2">
              <w:t>building alterations and additions:</w:t>
            </w:r>
          </w:p>
          <w:p w:rsidR="00000000" w:rsidRPr="00B408D2" w:rsidP="00B408D2">
            <w:pPr>
              <w:pStyle w:val="ListBullet2"/>
            </w:pPr>
            <w:r w:rsidRPr="00B408D2">
              <w:t>effects on building thermal performance</w:t>
            </w:r>
          </w:p>
          <w:p w:rsidR="00000000" w:rsidRPr="00B408D2" w:rsidP="00B408D2">
            <w:pPr>
              <w:pStyle w:val="ListBullet2"/>
            </w:pPr>
            <w:r w:rsidRPr="00B408D2">
              <w:t>performance standards</w:t>
            </w:r>
          </w:p>
          <w:p w:rsidR="00000000" w:rsidRPr="00B408D2" w:rsidP="00B408D2">
            <w:pPr>
              <w:pStyle w:val="ListBullet2"/>
            </w:pPr>
            <w:r w:rsidRPr="00B408D2">
              <w:t>regulations</w:t>
            </w:r>
          </w:p>
          <w:p w:rsidR="00000000" w:rsidRPr="00B408D2" w:rsidP="00B408D2">
            <w:pPr>
              <w:pStyle w:val="ListBullet2"/>
            </w:pPr>
            <w:r w:rsidRPr="00B408D2">
              <w:t>type and scale of alterations and additions</w:t>
            </w:r>
          </w:p>
          <w:p w:rsidR="00000000" w:rsidRPr="00B408D2" w:rsidP="00B408D2">
            <w:pPr>
              <w:pStyle w:val="ListBullet"/>
            </w:pPr>
            <w:r w:rsidRPr="00B408D2">
              <w:t>building thermal performance:</w:t>
            </w:r>
          </w:p>
          <w:p w:rsidR="00000000" w:rsidRPr="00B408D2" w:rsidP="00B408D2">
            <w:pPr>
              <w:pStyle w:val="ListBullet2"/>
            </w:pPr>
            <w:r w:rsidRPr="00B408D2">
              <w:t>benefits of thermal performance assessment</w:t>
            </w:r>
          </w:p>
          <w:p w:rsidR="00000000" w:rsidRPr="00B408D2" w:rsidP="00B408D2">
            <w:pPr>
              <w:pStyle w:val="ListBullet2"/>
            </w:pPr>
            <w:r w:rsidRPr="00B408D2">
              <w:t>impact of building design and building materials on building thermal performance</w:t>
            </w:r>
          </w:p>
          <w:p w:rsidR="00000000" w:rsidRPr="00B408D2" w:rsidP="00B408D2">
            <w:pPr>
              <w:pStyle w:val="ListBullet2"/>
            </w:pPr>
            <w:r w:rsidRPr="00B408D2">
              <w:t>relationship between building thermal performance and the</w:t>
            </w:r>
            <w:r w:rsidRPr="00B408D2">
              <w:t>rmal comfort</w:t>
            </w:r>
          </w:p>
          <w:p w:rsidR="00000000" w:rsidRPr="00B408D2" w:rsidP="00B408D2">
            <w:pPr>
              <w:pStyle w:val="ListBullet2"/>
            </w:pPr>
            <w:r w:rsidRPr="00B408D2">
              <w:t>thermal performance principles:</w:t>
            </w:r>
          </w:p>
          <w:p w:rsidR="00000000" w:rsidRPr="00B408D2" w:rsidP="00B408D2">
            <w:pPr>
              <w:pStyle w:val="ListBullet3"/>
            </w:pPr>
            <w:r w:rsidRPr="00B408D2">
              <w:t>glazing, shading and insulation for controlling temperature</w:t>
            </w:r>
          </w:p>
          <w:p w:rsidR="00000000" w:rsidRPr="00B408D2" w:rsidP="00B408D2">
            <w:pPr>
              <w:pStyle w:val="ListBullet3"/>
            </w:pPr>
            <w:r w:rsidRPr="00B408D2">
              <w:t>orientation for heating</w:t>
            </w:r>
          </w:p>
          <w:p w:rsidR="00000000" w:rsidRPr="00B408D2" w:rsidP="00B408D2">
            <w:pPr>
              <w:pStyle w:val="ListBullet3"/>
            </w:pPr>
            <w:r w:rsidRPr="00B408D2">
              <w:t>thermal mass for storing</w:t>
            </w:r>
          </w:p>
          <w:p w:rsidR="00000000" w:rsidRPr="00B408D2" w:rsidP="00B408D2">
            <w:pPr>
              <w:pStyle w:val="ListBullet3"/>
            </w:pPr>
            <w:r w:rsidRPr="00B408D2">
              <w:t>ventilation for cooling</w:t>
            </w:r>
          </w:p>
          <w:p w:rsidR="00000000" w:rsidRPr="00B408D2" w:rsidP="00B408D2">
            <w:pPr>
              <w:pStyle w:val="ListBullet2"/>
            </w:pPr>
            <w:r w:rsidRPr="00B408D2">
              <w:t>thermal performance standards:</w:t>
            </w:r>
          </w:p>
          <w:p w:rsidR="00000000" w:rsidRPr="00B408D2" w:rsidP="00B408D2">
            <w:pPr>
              <w:pStyle w:val="ListBullet3"/>
            </w:pPr>
            <w:r w:rsidRPr="00B408D2">
              <w:t>current performance standards</w:t>
            </w:r>
          </w:p>
          <w:p w:rsidR="00000000" w:rsidRPr="00B408D2" w:rsidP="00B408D2">
            <w:pPr>
              <w:pStyle w:val="ListBullet3"/>
            </w:pPr>
            <w:r w:rsidRPr="00B408D2">
              <w:t>documentation of assessments and ratings</w:t>
            </w:r>
          </w:p>
          <w:p w:rsidR="00000000" w:rsidRPr="00B408D2" w:rsidP="00B408D2">
            <w:pPr>
              <w:pStyle w:val="ListBullet3"/>
            </w:pPr>
            <w:r w:rsidRPr="00B408D2">
              <w:t>legal requirements</w:t>
            </w:r>
          </w:p>
          <w:p w:rsidR="00000000" w:rsidRPr="00B408D2" w:rsidP="00B408D2">
            <w:pPr>
              <w:pStyle w:val="ListBullet3"/>
            </w:pPr>
            <w:r w:rsidRPr="00B408D2">
              <w:t>uses</w:t>
            </w:r>
          </w:p>
          <w:p w:rsidR="00000000" w:rsidRPr="00B408D2" w:rsidP="00B408D2">
            <w:pPr>
              <w:pStyle w:val="ListBullet2"/>
            </w:pPr>
            <w:r w:rsidRPr="00B408D2">
              <w:t>ways of improving thermal performance of planned residential buildings:</w:t>
            </w:r>
          </w:p>
          <w:p w:rsidR="00000000" w:rsidRPr="00B408D2" w:rsidP="00B408D2">
            <w:pPr>
              <w:pStyle w:val="ListBullet3"/>
            </w:pPr>
            <w:r w:rsidRPr="00B408D2">
              <w:t>construction materials</w:t>
            </w:r>
          </w:p>
          <w:p w:rsidR="00000000" w:rsidRPr="00B408D2" w:rsidP="00B408D2">
            <w:pPr>
              <w:pStyle w:val="ListBullet3"/>
            </w:pPr>
            <w:r w:rsidRPr="00B408D2">
              <w:t>draught proofing</w:t>
            </w:r>
          </w:p>
          <w:p w:rsidR="00000000" w:rsidRPr="00B408D2" w:rsidP="00B408D2">
            <w:pPr>
              <w:pStyle w:val="ListBullet3"/>
            </w:pPr>
            <w:r w:rsidRPr="00B408D2">
              <w:t>floor coverings</w:t>
            </w:r>
          </w:p>
          <w:p w:rsidR="00000000" w:rsidRPr="00B408D2" w:rsidP="00B408D2">
            <w:pPr>
              <w:pStyle w:val="ListBullet3"/>
            </w:pPr>
            <w:r w:rsidRPr="00B408D2">
              <w:t>glazing</w:t>
            </w:r>
          </w:p>
          <w:p w:rsidR="00000000" w:rsidRPr="00B408D2" w:rsidP="00B408D2">
            <w:pPr>
              <w:pStyle w:val="ListBullet3"/>
            </w:pPr>
            <w:r w:rsidRPr="00B408D2">
              <w:t>insulation levels</w:t>
            </w:r>
          </w:p>
          <w:p w:rsidR="00000000" w:rsidRPr="00B408D2" w:rsidP="00B408D2">
            <w:pPr>
              <w:pStyle w:val="ListBullet3"/>
            </w:pPr>
            <w:r w:rsidRPr="00B408D2">
              <w:t>landscaping and planting</w:t>
            </w:r>
          </w:p>
          <w:p w:rsidR="00000000" w:rsidRPr="00B408D2" w:rsidP="00B408D2">
            <w:pPr>
              <w:pStyle w:val="ListBullet3"/>
            </w:pPr>
            <w:r w:rsidRPr="00B408D2">
              <w:t>orientation</w:t>
            </w:r>
          </w:p>
          <w:p w:rsidR="00000000" w:rsidRPr="00B408D2" w:rsidP="00B408D2">
            <w:pPr>
              <w:pStyle w:val="ListBullet3"/>
            </w:pPr>
            <w:r w:rsidRPr="00B408D2">
              <w:t>overshadowing</w:t>
            </w:r>
          </w:p>
          <w:p w:rsidR="00000000" w:rsidRPr="00B408D2" w:rsidP="00B408D2">
            <w:pPr>
              <w:pStyle w:val="ListBullet3"/>
            </w:pPr>
            <w:r w:rsidRPr="00B408D2">
              <w:t>passive heating and cooling</w:t>
            </w:r>
          </w:p>
          <w:p w:rsidR="00000000" w:rsidRPr="00B408D2" w:rsidP="00B408D2">
            <w:pPr>
              <w:pStyle w:val="ListBullet3"/>
            </w:pPr>
            <w:r w:rsidRPr="00B408D2">
              <w:t>shade</w:t>
            </w:r>
          </w:p>
          <w:p w:rsidR="00000000" w:rsidRPr="00B408D2" w:rsidP="00B408D2">
            <w:pPr>
              <w:pStyle w:val="ListBullet3"/>
            </w:pPr>
            <w:r w:rsidRPr="00B408D2">
              <w:t>structural changes</w:t>
            </w:r>
          </w:p>
          <w:p w:rsidR="00000000" w:rsidRPr="00B408D2" w:rsidP="00B408D2">
            <w:pPr>
              <w:pStyle w:val="ListBullet3"/>
            </w:pPr>
            <w:r w:rsidRPr="00B408D2">
              <w:t>thermal mass</w:t>
            </w:r>
          </w:p>
          <w:p w:rsidR="00000000" w:rsidRPr="00B408D2" w:rsidP="00B408D2">
            <w:pPr>
              <w:pStyle w:val="ListBullet3"/>
            </w:pPr>
            <w:r w:rsidRPr="00B408D2">
              <w:t>ventilation</w:t>
            </w:r>
          </w:p>
          <w:p w:rsidR="00000000" w:rsidRPr="00B408D2" w:rsidP="00B408D2">
            <w:pPr>
              <w:pStyle w:val="ListBullet3"/>
            </w:pPr>
            <w:r w:rsidRPr="00B408D2">
              <w:t>window coverings</w:t>
            </w:r>
          </w:p>
          <w:p w:rsidR="00000000" w:rsidRPr="00B408D2" w:rsidP="00B408D2">
            <w:pPr>
              <w:pStyle w:val="ListBullet3"/>
            </w:pPr>
            <w:r w:rsidRPr="00B408D2">
              <w:t>window size, location and type</w:t>
            </w:r>
          </w:p>
          <w:p w:rsidR="00000000" w:rsidRPr="00B408D2" w:rsidP="00B408D2">
            <w:pPr>
              <w:pStyle w:val="ListBullet3"/>
            </w:pPr>
            <w:r w:rsidRPr="00B408D2">
              <w:t>zoning and layout</w:t>
            </w:r>
          </w:p>
          <w:p w:rsidR="00000000" w:rsidRPr="00B408D2" w:rsidP="00B408D2">
            <w:pPr>
              <w:pStyle w:val="ListBullet"/>
            </w:pPr>
            <w:r w:rsidRPr="00B408D2">
              <w:t>building materials:</w:t>
            </w:r>
          </w:p>
          <w:p w:rsidR="00000000" w:rsidRPr="00B408D2" w:rsidP="00B408D2">
            <w:pPr>
              <w:pStyle w:val="ListBullet2"/>
            </w:pPr>
            <w:r w:rsidRPr="00B408D2">
              <w:t>constraints on choice of building materials:</w:t>
            </w:r>
          </w:p>
          <w:p w:rsidR="00000000" w:rsidRPr="00B408D2" w:rsidP="00B408D2">
            <w:pPr>
              <w:pStyle w:val="ListBullet3"/>
            </w:pPr>
            <w:r w:rsidRPr="00B408D2">
              <w:t>cost</w:t>
            </w:r>
          </w:p>
          <w:p w:rsidR="00000000" w:rsidRPr="00B408D2" w:rsidP="00B408D2">
            <w:pPr>
              <w:pStyle w:val="ListBullet3"/>
            </w:pPr>
            <w:r w:rsidRPr="00B408D2">
              <w:t>practicality</w:t>
            </w:r>
          </w:p>
          <w:p w:rsidR="00000000" w:rsidRPr="00B408D2" w:rsidP="00B408D2">
            <w:pPr>
              <w:pStyle w:val="ListBullet3"/>
            </w:pPr>
            <w:r w:rsidRPr="00B408D2">
              <w:t>size</w:t>
            </w:r>
          </w:p>
          <w:p w:rsidR="00000000" w:rsidRPr="00B408D2" w:rsidP="00B408D2">
            <w:pPr>
              <w:pStyle w:val="ListBullet3"/>
            </w:pPr>
            <w:r w:rsidRPr="00B408D2">
              <w:t>space</w:t>
            </w:r>
          </w:p>
          <w:p w:rsidR="00000000" w:rsidRPr="00B408D2" w:rsidP="00B408D2">
            <w:pPr>
              <w:pStyle w:val="ListBullet2"/>
            </w:pPr>
            <w:r w:rsidRPr="00B408D2">
              <w:t>thermal performance properties of common building materials</w:t>
            </w:r>
          </w:p>
          <w:p w:rsidR="00000000" w:rsidRPr="00B408D2" w:rsidP="00B408D2">
            <w:pPr>
              <w:pStyle w:val="ListBullet"/>
            </w:pPr>
            <w:r w:rsidRPr="00B408D2">
              <w:t>commonwealth, state and territory, and local government legislation and regulations impacting on thermal performance assessment relating to:</w:t>
            </w:r>
          </w:p>
          <w:p w:rsidR="00000000" w:rsidRPr="00B408D2" w:rsidP="00B408D2">
            <w:pPr>
              <w:pStyle w:val="ListBullet2"/>
            </w:pPr>
            <w:r w:rsidRPr="00B408D2">
              <w:t>building and construction</w:t>
            </w:r>
          </w:p>
          <w:p w:rsidR="00000000" w:rsidRPr="00B408D2" w:rsidP="00B408D2">
            <w:pPr>
              <w:pStyle w:val="ListBullet2"/>
            </w:pPr>
            <w:r w:rsidRPr="00B408D2">
              <w:t>building thermal</w:t>
            </w:r>
            <w:r w:rsidRPr="00B408D2">
              <w:t xml:space="preserve"> performance</w:t>
            </w:r>
          </w:p>
          <w:p w:rsidR="00000000" w:rsidRPr="00B408D2" w:rsidP="00B408D2">
            <w:pPr>
              <w:pStyle w:val="ListBullet2"/>
            </w:pPr>
            <w:r w:rsidRPr="00B408D2">
              <w:t>consumer protection, fair trading and trade practices</w:t>
            </w:r>
          </w:p>
          <w:p w:rsidR="00000000" w:rsidRPr="00B408D2" w:rsidP="00B408D2">
            <w:pPr>
              <w:pStyle w:val="ListBullet2"/>
            </w:pPr>
            <w:r w:rsidRPr="00B408D2">
              <w:t>environment protection</w:t>
            </w:r>
          </w:p>
          <w:p w:rsidR="00000000" w:rsidRPr="00B408D2" w:rsidP="00B408D2">
            <w:pPr>
              <w:pStyle w:val="ListBullet2"/>
            </w:pPr>
            <w:r w:rsidRPr="00B408D2">
              <w:t>occupational licensing</w:t>
            </w:r>
          </w:p>
          <w:p w:rsidR="00000000" w:rsidRPr="00B408D2" w:rsidP="00B408D2">
            <w:pPr>
              <w:pStyle w:val="ListBullet2"/>
            </w:pPr>
            <w:r w:rsidRPr="00B408D2">
              <w:t>work health and safety</w:t>
            </w:r>
          </w:p>
          <w:p w:rsidR="00000000" w:rsidRPr="00B408D2" w:rsidP="00B408D2">
            <w:pPr>
              <w:pStyle w:val="ListBullet"/>
            </w:pPr>
            <w:r w:rsidRPr="00B408D2">
              <w:t>energy and power:</w:t>
            </w:r>
          </w:p>
          <w:p w:rsidR="00000000" w:rsidRPr="00B408D2" w:rsidP="00B408D2">
            <w:pPr>
              <w:pStyle w:val="ListBullet2"/>
            </w:pPr>
            <w:r w:rsidRPr="00B408D2">
              <w:t>terminology:</w:t>
            </w:r>
          </w:p>
          <w:p w:rsidR="00000000" w:rsidRPr="00B408D2" w:rsidP="00B408D2">
            <w:pPr>
              <w:pStyle w:val="ListBullet3"/>
            </w:pPr>
            <w:r w:rsidRPr="00B408D2">
              <w:t>energy efficiency</w:t>
            </w:r>
          </w:p>
          <w:p w:rsidR="00000000" w:rsidRPr="00B408D2" w:rsidP="00B408D2">
            <w:pPr>
              <w:pStyle w:val="ListBullet3"/>
            </w:pPr>
            <w:r w:rsidRPr="00B408D2">
              <w:t>energy loads</w:t>
            </w:r>
          </w:p>
          <w:p w:rsidR="00000000" w:rsidRPr="00B408D2" w:rsidP="00B408D2">
            <w:pPr>
              <w:pStyle w:val="ListBullet3"/>
            </w:pPr>
            <w:r w:rsidRPr="00B408D2">
              <w:t>heating and cooling loads</w:t>
            </w:r>
          </w:p>
          <w:p w:rsidR="00000000" w:rsidRPr="00B408D2" w:rsidP="00B408D2">
            <w:pPr>
              <w:pStyle w:val="ListBullet3"/>
            </w:pPr>
            <w:r w:rsidRPr="00B408D2">
              <w:t>latent heat</w:t>
            </w:r>
          </w:p>
          <w:p w:rsidR="00000000" w:rsidRPr="00B408D2" w:rsidP="00B408D2">
            <w:pPr>
              <w:pStyle w:val="ListBullet3"/>
            </w:pPr>
            <w:r w:rsidRPr="00B408D2">
              <w:t>power</w:t>
            </w:r>
          </w:p>
          <w:p w:rsidR="00000000" w:rsidRPr="00B408D2" w:rsidP="00B408D2">
            <w:pPr>
              <w:pStyle w:val="ListBullet3"/>
            </w:pPr>
            <w:r w:rsidRPr="00B408D2">
              <w:t>primary energy source</w:t>
            </w:r>
          </w:p>
          <w:p w:rsidR="00000000" w:rsidRPr="00B408D2" w:rsidP="00B408D2">
            <w:pPr>
              <w:pStyle w:val="ListBullet2"/>
            </w:pPr>
            <w:r w:rsidRPr="00B408D2">
              <w:t>environmental impact of energy use in residential buildings</w:t>
            </w:r>
          </w:p>
          <w:p w:rsidR="00000000" w:rsidRPr="00B408D2" w:rsidP="00B408D2">
            <w:pPr>
              <w:pStyle w:val="ListBullet2"/>
            </w:pPr>
            <w:r w:rsidRPr="00B408D2">
              <w:t>units of measurement</w:t>
            </w:r>
          </w:p>
          <w:p w:rsidR="00000000" w:rsidRPr="00B408D2" w:rsidP="00B408D2">
            <w:pPr>
              <w:pStyle w:val="ListBullet"/>
            </w:pPr>
            <w:r w:rsidRPr="00B408D2">
              <w:t>greenhouse gas emissions:</w:t>
            </w:r>
          </w:p>
          <w:p w:rsidR="00000000" w:rsidRPr="00B408D2" w:rsidP="00B408D2">
            <w:pPr>
              <w:pStyle w:val="ListBullet2"/>
            </w:pPr>
            <w:r w:rsidRPr="00B408D2">
              <w:t>potential ways of reducing operational greenhouse gas emissions through building design</w:t>
            </w:r>
          </w:p>
          <w:p w:rsidR="00000000" w:rsidRPr="00B408D2" w:rsidP="00B408D2">
            <w:pPr>
              <w:pStyle w:val="ListBullet2"/>
            </w:pPr>
            <w:r w:rsidRPr="00B408D2">
              <w:t>relationship between building design,</w:t>
            </w:r>
            <w:r w:rsidRPr="00B408D2">
              <w:t xml:space="preserve"> energy consumption and greenhouse gas emissions</w:t>
            </w:r>
          </w:p>
          <w:p w:rsidR="00000000" w:rsidRPr="00B408D2" w:rsidP="00B408D2">
            <w:pPr>
              <w:pStyle w:val="ListBullet"/>
            </w:pPr>
            <w:r w:rsidRPr="00B408D2">
              <w:t>NatHERS software tools:</w:t>
            </w:r>
          </w:p>
          <w:p w:rsidR="00000000" w:rsidRPr="00B408D2" w:rsidP="00B408D2">
            <w:pPr>
              <w:pStyle w:val="ListBullet2"/>
            </w:pPr>
            <w:r w:rsidRPr="00B408D2">
              <w:t>assumptions and limitations inherent in NatHERS software protocol and accredited software</w:t>
            </w:r>
          </w:p>
          <w:p w:rsidR="00000000" w:rsidRPr="00B408D2" w:rsidP="00B408D2">
            <w:pPr>
              <w:pStyle w:val="ListBullet2"/>
            </w:pPr>
            <w:r w:rsidRPr="00B408D2">
              <w:t>building and external elements included in NatHERS thermal performance assessments</w:t>
            </w:r>
          </w:p>
          <w:p w:rsidR="00000000" w:rsidRPr="00B408D2" w:rsidP="00B408D2">
            <w:pPr>
              <w:pStyle w:val="ListBullet2"/>
            </w:pPr>
            <w:r w:rsidRPr="00B408D2">
              <w:t>criteria for the selection of particular NatHERS software tools</w:t>
            </w:r>
          </w:p>
          <w:p w:rsidR="00000000" w:rsidRPr="00B408D2" w:rsidP="00B408D2">
            <w:pPr>
              <w:pStyle w:val="ListBullet2"/>
            </w:pPr>
            <w:r w:rsidRPr="00B408D2">
              <w:t>NatHERS and Australian Building Codes Board Protocol for House Energy Rating software</w:t>
            </w:r>
          </w:p>
          <w:p w:rsidR="00000000" w:rsidRPr="00B408D2" w:rsidP="00B408D2">
            <w:pPr>
              <w:pStyle w:val="ListBullet2"/>
            </w:pPr>
            <w:r w:rsidRPr="00B408D2">
              <w:t>operating procedures</w:t>
            </w:r>
          </w:p>
          <w:p w:rsidR="00000000" w:rsidRPr="00B408D2" w:rsidP="00B408D2">
            <w:pPr>
              <w:pStyle w:val="ListBullet2"/>
            </w:pPr>
            <w:r w:rsidRPr="00B408D2">
              <w:t>properties of materials, such as heat transfer coefficients and U-value, thermal resi</w:t>
            </w:r>
            <w:r w:rsidRPr="00B408D2">
              <w:t>stance and R-value, reflectivity, absorptance, solar heat gain coefficient and emissivity</w:t>
            </w:r>
          </w:p>
          <w:p w:rsidR="00000000" w:rsidRPr="00B408D2" w:rsidP="00B408D2">
            <w:pPr>
              <w:pStyle w:val="ListBullet2"/>
            </w:pPr>
            <w:r w:rsidRPr="00B408D2">
              <w:t>scope and function of NatHERS software tools</w:t>
            </w:r>
          </w:p>
          <w:p w:rsidR="00000000" w:rsidRPr="00B408D2" w:rsidP="00B408D2">
            <w:pPr>
              <w:pStyle w:val="ListBullet2"/>
            </w:pPr>
            <w:r w:rsidRPr="00B408D2">
              <w:t>star rating</w:t>
            </w:r>
          </w:p>
          <w:p w:rsidR="00000000" w:rsidRPr="00B408D2" w:rsidP="00B408D2">
            <w:pPr>
              <w:pStyle w:val="ListBullet2"/>
            </w:pPr>
            <w:r w:rsidRPr="00B408D2">
              <w:t>types of NatHERS software tools</w:t>
            </w:r>
          </w:p>
          <w:p w:rsidR="00000000" w:rsidRPr="00B408D2" w:rsidP="00B408D2">
            <w:pPr>
              <w:pStyle w:val="ListBullet"/>
            </w:pPr>
            <w:r w:rsidRPr="00B408D2">
              <w:t>passive energy design:</w:t>
            </w:r>
          </w:p>
          <w:p w:rsidR="00000000" w:rsidRPr="00B408D2" w:rsidP="00B408D2">
            <w:pPr>
              <w:pStyle w:val="ListBullet2"/>
            </w:pPr>
            <w:r w:rsidRPr="00B408D2">
              <w:t>benefits of passive design</w:t>
            </w:r>
          </w:p>
          <w:p w:rsidR="00000000" w:rsidRPr="00B408D2" w:rsidP="00B408D2">
            <w:pPr>
              <w:pStyle w:val="ListBullet2"/>
            </w:pPr>
            <w:r w:rsidRPr="00B408D2">
              <w:t>principles of passive desi</w:t>
            </w:r>
            <w:r w:rsidRPr="00B408D2">
              <w:t>gn</w:t>
            </w:r>
          </w:p>
          <w:p w:rsidR="00000000" w:rsidRPr="00B408D2" w:rsidP="00B408D2">
            <w:pPr>
              <w:pStyle w:val="ListBullet2"/>
            </w:pPr>
            <w:r w:rsidRPr="00B408D2">
              <w:t>relationship between passive design and greenhouse gas emissions</w:t>
            </w:r>
          </w:p>
          <w:p w:rsidR="00000000" w:rsidRPr="00B408D2" w:rsidP="00B408D2">
            <w:pPr>
              <w:pStyle w:val="ListBullet"/>
            </w:pPr>
            <w:r w:rsidRPr="00B408D2">
              <w:t>thermal comfort:</w:t>
            </w:r>
          </w:p>
          <w:p w:rsidR="00000000" w:rsidRPr="00B408D2" w:rsidP="00B408D2">
            <w:pPr>
              <w:pStyle w:val="ListBullet2"/>
            </w:pPr>
            <w:r w:rsidRPr="00B408D2">
              <w:t>definition of thermal comfort</w:t>
            </w:r>
          </w:p>
          <w:p w:rsidR="00000000" w:rsidRPr="00B408D2" w:rsidP="00B408D2">
            <w:pPr>
              <w:pStyle w:val="ListBullet2"/>
            </w:pPr>
            <w:r w:rsidRPr="00B408D2">
              <w:t>physical factors that influence thermal comfort</w:t>
            </w:r>
          </w:p>
          <w:p w:rsidR="00000000" w:rsidRPr="00B408D2" w:rsidP="00B408D2">
            <w:pPr>
              <w:pStyle w:val="ListBullet2"/>
            </w:pPr>
            <w:r w:rsidRPr="00B408D2">
              <w:t>requirement for thermal comfort</w:t>
            </w:r>
          </w:p>
          <w:p w:rsidR="00000000" w:rsidRPr="00B408D2" w:rsidP="00B408D2">
            <w:pPr>
              <w:pStyle w:val="ListBullet2"/>
            </w:pPr>
            <w:r w:rsidRPr="00B408D2">
              <w:t>role of thermal comfort in building thermal performance asse</w:t>
            </w:r>
            <w:r w:rsidRPr="00B408D2">
              <w:t>ssments</w:t>
            </w:r>
          </w:p>
        </w:tc>
      </w:tr>
    </w:tbl>
    <w:p w:rsidR="000F4A70" w:rsidP="00B408D2">
      <w:pPr>
        <w:pStyle w:val="BodyText"/>
      </w:pPr>
    </w:p>
    <w:p w:rsidR="000F4A70" w:rsidP="00B408D2">
      <w:pPr>
        <w:pStyle w:val="BodyText"/>
      </w:pPr>
    </w:p>
    <w:p w:rsidR="00000000" w:rsidRPr="00B408D2" w:rsidP="00B408D2">
      <w:pPr>
        <w:pStyle w:val="Heading1"/>
      </w:pPr>
      <w:bookmarkStart w:id="10" w:name="O_489495"/>
      <w:bookmarkEnd w:id="10"/>
      <w:r w:rsidRPr="00B408D2">
        <w:t>Evidence Guide</w:t>
      </w:r>
    </w:p>
    <w:tbl>
      <w:tblPr>
        <w:tblW w:w="0" w:type="auto"/>
        <w:tblLayout w:type="fixed"/>
        <w:tblCellMar>
          <w:left w:w="62" w:type="dxa"/>
          <w:right w:w="62" w:type="dxa"/>
        </w:tblCellMar>
        <w:tblLook w:val="0000"/>
      </w:tblPr>
      <w:tblGrid>
        <w:gridCol w:w="2642"/>
        <w:gridCol w:w="6536"/>
      </w:tblGrid>
      <w:tr w:rsidTr="00B408D2">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408D2">
            <w:pPr>
              <w:pStyle w:val="BodyText"/>
              <w:rPr>
                <w:lang w:val="en-NZ"/>
              </w:rPr>
            </w:pPr>
            <w:r w:rsidRPr="00B408D2">
              <w:t xml:space="preserve">The evidence guide provides advice on assessment and must be read in conjunction with the performance criteria, required skills and knowledge, </w:t>
            </w:r>
            <w:r w:rsidRPr="00B408D2">
              <w:t>range statement and the Assessment Guidelines for the Training Package.</w:t>
            </w:r>
          </w:p>
        </w:tc>
      </w:tr>
      <w:tr w:rsidTr="00B408D2">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SpecialBold"/>
              </w:rPr>
              <w:t>Overview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BodyText"/>
            </w:pPr>
            <w:r w:rsidRPr="00B408D2">
              <w:t>This unit of competency could be assessed by candidates undertaking thermal performance assessments of each of the following types of planned residential build</w:t>
            </w:r>
            <w:r w:rsidRPr="00B408D2">
              <w:t>ings for legislative, regulatory and compliance purposes:</w:t>
            </w:r>
          </w:p>
          <w:p w:rsidR="00000000" w:rsidRPr="00B408D2" w:rsidP="00B408D2">
            <w:pPr>
              <w:pStyle w:val="ListBullet"/>
            </w:pPr>
            <w:r w:rsidRPr="00B408D2">
              <w:t>single and two-storey residential buildings</w:t>
            </w:r>
          </w:p>
          <w:p w:rsidR="00000000" w:rsidRPr="00B408D2" w:rsidP="00B408D2">
            <w:pPr>
              <w:pStyle w:val="ListBullet"/>
            </w:pPr>
            <w:r w:rsidRPr="00B408D2">
              <w:t>single and two-level apartments</w:t>
            </w:r>
          </w:p>
          <w:p w:rsidR="00000000" w:rsidRPr="00B408D2" w:rsidP="00B408D2">
            <w:pPr>
              <w:pStyle w:val="ListBullet"/>
            </w:pPr>
            <w:r w:rsidRPr="00B408D2">
              <w:t>planned alterations or additions to residential buildings.</w:t>
            </w:r>
          </w:p>
          <w:p w:rsidR="00000000" w:rsidP="00B408D2">
            <w:pPr>
              <w:pStyle w:val="BodyText"/>
              <w:rPr>
                <w:lang w:val="en-NZ"/>
              </w:rPr>
            </w:pPr>
            <w:r w:rsidRPr="00B408D2">
              <w:t>In each case the assessment must be undertaken using a NatHERS software tool that is accredited under NatHERS for regulatory purposes in a mode appropriate to the type of assessment.</w:t>
            </w:r>
          </w:p>
        </w:tc>
      </w:tr>
      <w:tr w:rsidTr="00B408D2">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SpecialBold"/>
              </w:rPr>
              <w:t>Critical aspects for assessment and evidence required to demonstrate com</w:t>
            </w:r>
            <w:r w:rsidRPr="00B408D2">
              <w:rPr>
                <w:rStyle w:val="SpecialBold"/>
              </w:rPr>
              <w:t>petency in this unit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BodyText"/>
            </w:pPr>
            <w:r w:rsidRPr="00B408D2">
              <w:t>A person should demonstrate the ability to:</w:t>
            </w:r>
          </w:p>
          <w:p w:rsidR="00000000" w:rsidRPr="00B408D2" w:rsidP="00B408D2">
            <w:pPr>
              <w:pStyle w:val="ListBullet"/>
            </w:pPr>
            <w:r w:rsidRPr="00B408D2">
              <w:t>gather the required building information from building plans, specifications and other supporting documents required for a thermal performance assessment, and enter this information into a Na</w:t>
            </w:r>
            <w:r w:rsidRPr="00B408D2">
              <w:t>tHERS software tool in regulator mode</w:t>
            </w:r>
          </w:p>
          <w:p w:rsidR="00000000" w:rsidRPr="00B408D2" w:rsidP="00B408D2">
            <w:pPr>
              <w:pStyle w:val="ListBullet"/>
            </w:pPr>
            <w:r w:rsidRPr="00B408D2">
              <w:t>conduct thermal performance assessment of a planned residential building using a NatHERS software tool</w:t>
            </w:r>
          </w:p>
          <w:p w:rsidR="00000000" w:rsidRPr="00B408D2" w:rsidP="00B408D2">
            <w:pPr>
              <w:pStyle w:val="ListBullet"/>
            </w:pPr>
            <w:r w:rsidRPr="00B408D2">
              <w:t>identify and analyse the outputs of a thermal performance assessment tool</w:t>
            </w:r>
          </w:p>
          <w:p w:rsidR="00000000" w:rsidRPr="00B408D2" w:rsidP="00B408D2">
            <w:pPr>
              <w:pStyle w:val="ListBullet"/>
            </w:pPr>
            <w:r w:rsidRPr="00B408D2">
              <w:t xml:space="preserve">identify the limitations of the software </w:t>
            </w:r>
            <w:r w:rsidRPr="00B408D2">
              <w:t>and items that cannot be assessed</w:t>
            </w:r>
          </w:p>
          <w:p w:rsidR="00000000" w:rsidP="00B408D2">
            <w:pPr>
              <w:pStyle w:val="ListBullet"/>
              <w:rPr>
                <w:lang w:val="en-NZ"/>
              </w:rPr>
            </w:pPr>
            <w:r w:rsidRPr="00B408D2">
              <w:t>make recommendations to improve the thermal performance of a planned residential building to meet relevant regulatory and client requirements.</w:t>
            </w:r>
          </w:p>
        </w:tc>
      </w:tr>
      <w:tr w:rsidTr="00B408D2">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SpecialBold"/>
              </w:rPr>
              <w:t>Context of and specific resources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BodyText"/>
            </w:pPr>
            <w:r w:rsidRPr="00B408D2">
              <w:t>Assessment of this unit:</w:t>
            </w:r>
          </w:p>
          <w:p w:rsidR="00000000" w:rsidRPr="00B408D2" w:rsidP="00B408D2">
            <w:pPr>
              <w:pStyle w:val="ListBullet"/>
            </w:pPr>
            <w:r w:rsidRPr="00B408D2">
              <w:t>must</w:t>
            </w:r>
            <w:r w:rsidRPr="00B408D2">
              <w:t xml:space="preserve"> be in the context of the work environment</w:t>
            </w:r>
          </w:p>
          <w:p w:rsidR="00000000" w:rsidRPr="00B408D2" w:rsidP="00B408D2">
            <w:pPr>
              <w:pStyle w:val="ListBullet"/>
            </w:pPr>
            <w:r w:rsidRPr="00B408D2">
              <w:t>may be conducted in an off-site context, provided it is realistic and sufficiently rigorous to cover all aspects of workplace performance, including task skills, task management skills, contingency management skil</w:t>
            </w:r>
            <w:r w:rsidRPr="00B408D2">
              <w:t>ls and job role environment skills</w:t>
            </w:r>
          </w:p>
          <w:p w:rsidR="00000000" w:rsidRPr="00B408D2" w:rsidP="00B408D2">
            <w:pPr>
              <w:pStyle w:val="ListBullet"/>
            </w:pPr>
            <w:r w:rsidRPr="00B408D2">
              <w:t>must meet relevant compliance requirements.</w:t>
            </w:r>
          </w:p>
          <w:p w:rsidR="00000000" w:rsidRPr="00B408D2" w:rsidP="00B408D2">
            <w:pPr>
              <w:pStyle w:val="BodyText"/>
            </w:pPr>
            <w:r w:rsidRPr="00B408D2">
              <w:t>Resource implications for assessment include:</w:t>
            </w:r>
          </w:p>
          <w:p w:rsidR="00000000" w:rsidRPr="00B408D2" w:rsidP="00B408D2">
            <w:pPr>
              <w:pStyle w:val="ListBullet"/>
            </w:pPr>
            <w:r w:rsidRPr="00B408D2">
              <w:t>NatHERS software tools</w:t>
            </w:r>
          </w:p>
          <w:p w:rsidR="00000000" w:rsidRPr="00B408D2" w:rsidP="00B408D2">
            <w:pPr>
              <w:pStyle w:val="ListBullet"/>
            </w:pPr>
            <w:r w:rsidRPr="00B408D2">
              <w:t>relevant codes, standards and government regulations</w:t>
            </w:r>
          </w:p>
          <w:p w:rsidR="00000000" w:rsidRPr="00B408D2" w:rsidP="00B408D2">
            <w:pPr>
              <w:pStyle w:val="ListBullet"/>
            </w:pPr>
            <w:r w:rsidRPr="00B408D2">
              <w:t>building plans and specifications for residential build</w:t>
            </w:r>
            <w:r w:rsidRPr="00B408D2">
              <w:t>ings to be assessed</w:t>
            </w:r>
          </w:p>
          <w:p w:rsidR="00000000" w:rsidRPr="00B408D2" w:rsidP="00B408D2">
            <w:pPr>
              <w:pStyle w:val="ListBullet"/>
            </w:pPr>
            <w:r w:rsidRPr="00B408D2">
              <w:t>computer equipment suitable for using NatHERS software tools and generating printed copies of reports</w:t>
            </w:r>
          </w:p>
          <w:p w:rsidR="00000000" w:rsidRPr="00B408D2" w:rsidP="00B408D2">
            <w:pPr>
              <w:pStyle w:val="ListBullet"/>
            </w:pPr>
            <w:r w:rsidRPr="00B408D2">
              <w:t>technical reference library with current publications on:</w:t>
            </w:r>
          </w:p>
          <w:p w:rsidR="00000000" w:rsidRPr="00B408D2" w:rsidP="00B408D2">
            <w:pPr>
              <w:pStyle w:val="ListBullet2"/>
            </w:pPr>
            <w:r w:rsidRPr="00B408D2">
              <w:t>Australian climatic zones</w:t>
            </w:r>
          </w:p>
          <w:p w:rsidR="00000000" w:rsidRPr="00B408D2" w:rsidP="00B408D2">
            <w:pPr>
              <w:pStyle w:val="ListBullet2"/>
            </w:pPr>
            <w:r w:rsidRPr="00B408D2">
              <w:t>building design and materials</w:t>
            </w:r>
          </w:p>
          <w:p w:rsidR="00000000" w:rsidRPr="00B408D2" w:rsidP="00B408D2">
            <w:pPr>
              <w:pStyle w:val="ListBullet2"/>
            </w:pPr>
            <w:r w:rsidRPr="00B408D2">
              <w:t>home energy rating system (HERS)</w:t>
            </w:r>
          </w:p>
          <w:p w:rsidR="00000000" w:rsidRPr="00B408D2" w:rsidP="00B408D2">
            <w:pPr>
              <w:pStyle w:val="ListBullet2"/>
            </w:pPr>
            <w:r w:rsidRPr="00B408D2">
              <w:t>building thermal performance for planned buildings</w:t>
            </w:r>
          </w:p>
          <w:p w:rsidR="00000000" w:rsidRPr="00B408D2" w:rsidP="00B408D2">
            <w:pPr>
              <w:pStyle w:val="ListBullet2"/>
            </w:pPr>
            <w:r w:rsidRPr="00B408D2">
              <w:t>manufacturer product information on building products and materials</w:t>
            </w:r>
          </w:p>
          <w:p w:rsidR="00000000" w:rsidP="00B408D2">
            <w:pPr>
              <w:pStyle w:val="ListBullet2"/>
              <w:rPr>
                <w:lang w:val="en-NZ"/>
              </w:rPr>
            </w:pPr>
            <w:r w:rsidRPr="00B408D2">
              <w:t>NatHERS.</w:t>
            </w:r>
          </w:p>
        </w:tc>
      </w:tr>
      <w:tr w:rsidTr="00B408D2">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SpecialBold"/>
              </w:rPr>
              <w:t>Method of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BodyText"/>
            </w:pPr>
            <w:r w:rsidRPr="00B408D2">
              <w:t>Assessment for this unit must verify the practical application of the req</w:t>
            </w:r>
            <w:r w:rsidRPr="00B408D2">
              <w:t>uired skills and knowledge, using one or more of the following methods:</w:t>
            </w:r>
          </w:p>
          <w:p w:rsidR="00000000" w:rsidRPr="00B408D2" w:rsidP="00B408D2">
            <w:pPr>
              <w:pStyle w:val="ListBullet"/>
            </w:pPr>
            <w:r w:rsidRPr="00B408D2">
              <w:t>written and/or oral assessment</w:t>
            </w:r>
          </w:p>
          <w:p w:rsidR="00000000" w:rsidP="00B408D2">
            <w:pPr>
              <w:pStyle w:val="ListBullet"/>
              <w:rPr>
                <w:lang w:val="en-NZ"/>
              </w:rPr>
            </w:pPr>
            <w:r w:rsidRPr="00B408D2">
              <w:t>observed, documented and/or first-hand testimonial evidence of the candidate undertaking thermal performance assessments.</w:t>
            </w:r>
          </w:p>
        </w:tc>
      </w:tr>
      <w:tr w:rsidTr="00B408D2">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SpecialBold"/>
              </w:rPr>
              <w:t>Guidance information for assessment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BodyText"/>
            </w:pPr>
            <w:r w:rsidRPr="00B408D2">
              <w:t>This unit could be assessed on its own or in combination with other units relevant to the job function.</w:t>
            </w:r>
          </w:p>
          <w:p w:rsidR="00000000" w:rsidRPr="00B408D2" w:rsidP="00B408D2">
            <w:pPr>
              <w:pStyle w:val="BodyText"/>
            </w:pPr>
            <w:r w:rsidRPr="00B408D2">
              <w:t xml:space="preserve">Reasonable adjustments for people with disabilities must be made to assessment processes where required. This could </w:t>
            </w:r>
            <w:r w:rsidRPr="00B408D2">
              <w:t>include access to modified equipment and other physical resources, and the provision of appropriate assessment support.</w:t>
            </w:r>
          </w:p>
          <w:p w:rsidR="00000000" w:rsidRPr="00B408D2" w:rsidP="00B408D2">
            <w:pPr>
              <w:pStyle w:val="BodyText"/>
            </w:pPr>
            <w:r w:rsidRPr="00B408D2">
              <w:t xml:space="preserve">Assessment processes and techniques should, as far as is practical, take into account the language, literacy and numeracy capacity of </w:t>
            </w:r>
            <w:r w:rsidRPr="00B408D2">
              <w:t>th</w:t>
            </w:r>
            <w:r w:rsidRPr="00B408D2">
              <w:t>e candidate in relation to the competency being assessed.</w:t>
            </w:r>
          </w:p>
        </w:tc>
      </w:tr>
    </w:tbl>
    <w:p w:rsidR="000F4A70" w:rsidP="00B408D2">
      <w:pPr>
        <w:pStyle w:val="BodyText"/>
      </w:pPr>
    </w:p>
    <w:p w:rsidR="000F4A70" w:rsidP="00B408D2">
      <w:pPr>
        <w:pStyle w:val="BodyText"/>
      </w:pPr>
    </w:p>
    <w:p w:rsidR="00000000" w:rsidRPr="00B408D2" w:rsidP="00B408D2">
      <w:pPr>
        <w:pStyle w:val="Heading1"/>
      </w:pPr>
      <w:bookmarkStart w:id="11" w:name="O_489496"/>
      <w:bookmarkEnd w:id="11"/>
      <w:r w:rsidRPr="00B408D2">
        <w:t>Range Statement</w:t>
      </w:r>
    </w:p>
    <w:tbl>
      <w:tblPr>
        <w:tblW w:w="0" w:type="auto"/>
        <w:tblLayout w:type="fixed"/>
        <w:tblCellMar>
          <w:left w:w="62" w:type="dxa"/>
          <w:right w:w="62" w:type="dxa"/>
        </w:tblCellMar>
        <w:tblLook w:val="0000"/>
      </w:tblPr>
      <w:tblGrid>
        <w:gridCol w:w="2663"/>
        <w:gridCol w:w="6515"/>
      </w:tblGrid>
      <w:tr w:rsidTr="00B408D2">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408D2">
            <w:pPr>
              <w:pStyle w:val="BodyText"/>
              <w:rPr>
                <w:lang w:val="en-NZ"/>
              </w:rPr>
            </w:pPr>
            <w:r w:rsidRPr="00B408D2">
              <w:t>The range statement relates to the unit of competency as a whole. It allows for different work environments and situations that may affect performance. Bold itali</w:t>
            </w:r>
            <w:r w:rsidRPr="00B408D2">
              <w:t>cised wording, if used in the performance criteria, is detailed below. Essential operating conditions that may be present with training and assessment (depending on the work situation, needs of the candidate, accessibility of the item, and local industry a</w:t>
            </w:r>
            <w:r w:rsidRPr="00B408D2">
              <w:t>nd regional contexts) may also be included.</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Need </w:t>
            </w:r>
            <w:r w:rsidRPr="00B408D2">
              <w:t>may include assessment for:</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building design advice purposes</w:t>
            </w:r>
          </w:p>
          <w:p w:rsidR="00000000" w:rsidP="00B408D2">
            <w:pPr>
              <w:pStyle w:val="ListBullet"/>
              <w:rPr>
                <w:lang w:val="en-NZ"/>
              </w:rPr>
            </w:pPr>
            <w:r w:rsidRPr="00B408D2">
              <w:t>legislative, regulatory and compliance purposes.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Residential building </w:t>
            </w:r>
            <w:r w:rsidRPr="00B408D2">
              <w:t>refers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any building categorised as Class 1, 2, 4 and 10a of the National Construction Code or in accordance with jurisdictional requirements</w:t>
            </w:r>
          </w:p>
          <w:p w:rsidR="00000000" w:rsidP="00B408D2">
            <w:pPr>
              <w:pStyle w:val="ListBullet"/>
              <w:rPr>
                <w:lang w:val="en-NZ"/>
              </w:rPr>
            </w:pPr>
            <w:r w:rsidRPr="00B408D2">
              <w:t>part of building, including additions and alterations.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Client</w:t>
            </w:r>
            <w:r w:rsidRPr="00B408D2">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architect</w:t>
            </w:r>
          </w:p>
          <w:p w:rsidR="00000000" w:rsidRPr="00B408D2" w:rsidP="00B408D2">
            <w:pPr>
              <w:pStyle w:val="ListBullet"/>
            </w:pPr>
            <w:r w:rsidRPr="00B408D2">
              <w:t>builder</w:t>
            </w:r>
          </w:p>
          <w:p w:rsidR="00000000" w:rsidRPr="00B408D2" w:rsidP="00B408D2">
            <w:pPr>
              <w:pStyle w:val="ListBullet"/>
            </w:pPr>
            <w:r w:rsidRPr="00B408D2">
              <w:t>construction manager</w:t>
            </w:r>
          </w:p>
          <w:p w:rsidR="00000000" w:rsidRPr="00B408D2" w:rsidP="00B408D2">
            <w:pPr>
              <w:pStyle w:val="ListBullet"/>
            </w:pPr>
            <w:r w:rsidRPr="00B408D2">
              <w:t>governm</w:t>
            </w:r>
            <w:r w:rsidRPr="00B408D2">
              <w:t>ent agency</w:t>
            </w:r>
          </w:p>
          <w:p w:rsidR="00000000" w:rsidRPr="00B408D2" w:rsidP="00B408D2">
            <w:pPr>
              <w:pStyle w:val="ListBullet"/>
            </w:pPr>
            <w:r w:rsidRPr="00B408D2">
              <w:t>owner</w:t>
            </w:r>
          </w:p>
          <w:p w:rsidR="00000000" w:rsidP="00B408D2">
            <w:pPr>
              <w:pStyle w:val="ListBullet"/>
              <w:rPr>
                <w:lang w:val="en-NZ"/>
              </w:rPr>
            </w:pPr>
            <w:r w:rsidRPr="00B408D2">
              <w:t>property developer.</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Effective communication strategies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active listening</w:t>
            </w:r>
          </w:p>
          <w:p w:rsidR="00000000" w:rsidRPr="00B408D2" w:rsidP="00B408D2">
            <w:pPr>
              <w:pStyle w:val="ListBullet"/>
            </w:pPr>
            <w:r w:rsidRPr="00B408D2">
              <w:t>being non-judgemental</w:t>
            </w:r>
          </w:p>
          <w:p w:rsidR="00000000" w:rsidRPr="00B408D2" w:rsidP="00B408D2">
            <w:pPr>
              <w:pStyle w:val="ListBullet"/>
            </w:pPr>
            <w:r w:rsidRPr="00B408D2">
              <w:t>exploring problems</w:t>
            </w:r>
          </w:p>
          <w:p w:rsidR="00000000" w:rsidRPr="00B408D2" w:rsidP="00B408D2">
            <w:pPr>
              <w:pStyle w:val="ListBullet"/>
            </w:pPr>
            <w:r w:rsidRPr="00B408D2">
              <w:t>expressing an individual perspective</w:t>
            </w:r>
          </w:p>
          <w:p w:rsidR="00000000" w:rsidRPr="00B408D2" w:rsidP="00B408D2">
            <w:pPr>
              <w:pStyle w:val="ListBullet"/>
            </w:pPr>
            <w:r w:rsidRPr="00B408D2">
              <w:t>providing sufficient time for questions and responses</w:t>
            </w:r>
          </w:p>
          <w:p w:rsidR="00000000" w:rsidRPr="00B408D2" w:rsidP="00B408D2">
            <w:pPr>
              <w:pStyle w:val="ListBullet"/>
            </w:pPr>
            <w:r w:rsidRPr="00B408D2">
              <w:t>providing summarising and reflective responses in conflict situations</w:t>
            </w:r>
          </w:p>
          <w:p w:rsidR="00000000" w:rsidRPr="00B408D2" w:rsidP="00B408D2">
            <w:pPr>
              <w:pStyle w:val="ListBullet"/>
            </w:pPr>
            <w:r w:rsidRPr="00B408D2">
              <w:t>using appropriate words, behaviour and posture</w:t>
            </w:r>
          </w:p>
          <w:p w:rsidR="00000000" w:rsidRPr="00B408D2" w:rsidP="00B408D2">
            <w:pPr>
              <w:pStyle w:val="ListBullet"/>
            </w:pPr>
            <w:r w:rsidRPr="00B408D2">
              <w:t>using clarifying and summarising questions</w:t>
            </w:r>
          </w:p>
          <w:p w:rsidR="00000000" w:rsidRPr="00B408D2" w:rsidP="00B408D2">
            <w:pPr>
              <w:pStyle w:val="ListBullet"/>
            </w:pPr>
            <w:r w:rsidRPr="00B408D2">
              <w:t>using clear and concise language</w:t>
            </w:r>
          </w:p>
          <w:p w:rsidR="00000000" w:rsidRPr="00B408D2" w:rsidP="00B408D2">
            <w:pPr>
              <w:pStyle w:val="ListBullet"/>
            </w:pPr>
            <w:r w:rsidRPr="00B408D2">
              <w:t>using culturally appropriate communication</w:t>
            </w:r>
          </w:p>
          <w:p w:rsidR="00000000" w:rsidRPr="00B408D2" w:rsidP="00B408D2">
            <w:pPr>
              <w:pStyle w:val="ListBullet"/>
            </w:pPr>
            <w:r w:rsidRPr="00B408D2">
              <w:t>using plain English</w:t>
            </w:r>
          </w:p>
          <w:p w:rsidR="00000000" w:rsidP="00B408D2">
            <w:pPr>
              <w:pStyle w:val="ListBullet"/>
              <w:rPr>
                <w:lang w:val="en-NZ"/>
              </w:rPr>
            </w:pPr>
            <w:r w:rsidRPr="00B408D2">
              <w:t>using verbal and non-verbal communication.</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Risks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awareness of current legislative and regulatory requirements</w:t>
            </w:r>
          </w:p>
          <w:p w:rsidR="00000000" w:rsidRPr="00B408D2" w:rsidP="00B408D2">
            <w:pPr>
              <w:pStyle w:val="ListBullet"/>
            </w:pPr>
            <w:r w:rsidRPr="00B408D2">
              <w:t>confidentiality</w:t>
            </w:r>
          </w:p>
          <w:p w:rsidR="00000000" w:rsidRPr="00B408D2" w:rsidP="00B408D2">
            <w:pPr>
              <w:pStyle w:val="ListBullet"/>
            </w:pPr>
            <w:r w:rsidRPr="00B408D2">
              <w:t>data accuracy</w:t>
            </w:r>
          </w:p>
          <w:p w:rsidR="00000000" w:rsidRPr="00B408D2" w:rsidP="00B408D2">
            <w:pPr>
              <w:pStyle w:val="ListBullet"/>
            </w:pPr>
            <w:r w:rsidRPr="00B408D2">
              <w:t>data integrity</w:t>
            </w:r>
          </w:p>
          <w:p w:rsidR="00000000" w:rsidRPr="00B408D2" w:rsidP="00B408D2">
            <w:pPr>
              <w:pStyle w:val="ListBullet"/>
            </w:pPr>
            <w:r w:rsidRPr="00B408D2">
              <w:t>data loss</w:t>
            </w:r>
          </w:p>
          <w:p w:rsidR="00000000" w:rsidRPr="00B408D2" w:rsidP="00B408D2">
            <w:pPr>
              <w:pStyle w:val="ListBullet"/>
            </w:pPr>
            <w:r w:rsidRPr="00B408D2">
              <w:t>insurance</w:t>
            </w:r>
          </w:p>
          <w:p w:rsidR="00000000" w:rsidRPr="00B408D2" w:rsidP="00B408D2">
            <w:pPr>
              <w:pStyle w:val="ListBullet"/>
            </w:pPr>
            <w:r w:rsidRPr="00B408D2">
              <w:t>privacy</w:t>
            </w:r>
          </w:p>
          <w:p w:rsidR="00000000" w:rsidRPr="00B408D2" w:rsidP="00B408D2">
            <w:pPr>
              <w:pStyle w:val="ListBullet"/>
            </w:pPr>
            <w:r w:rsidRPr="00B408D2">
              <w:t>professional indemnity</w:t>
            </w:r>
          </w:p>
          <w:p w:rsidR="00000000" w:rsidP="00B408D2">
            <w:pPr>
              <w:pStyle w:val="ListBullet"/>
              <w:rPr>
                <w:lang w:val="en-NZ"/>
              </w:rPr>
            </w:pPr>
            <w:r w:rsidRPr="00B408D2">
              <w:t>work health and safety.</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Documentation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building details</w:t>
            </w:r>
          </w:p>
          <w:p w:rsidR="00000000" w:rsidRPr="00B408D2" w:rsidP="00B408D2">
            <w:pPr>
              <w:pStyle w:val="ListBullet"/>
            </w:pPr>
            <w:r w:rsidRPr="00B408D2">
              <w:t>building drawings and specifications</w:t>
            </w:r>
          </w:p>
          <w:p w:rsidR="00000000" w:rsidRPr="00B408D2" w:rsidP="00B408D2">
            <w:pPr>
              <w:pStyle w:val="ListBullet"/>
            </w:pPr>
            <w:r w:rsidRPr="00B408D2">
              <w:t>checklists</w:t>
            </w:r>
          </w:p>
          <w:p w:rsidR="00000000" w:rsidRPr="00B408D2" w:rsidP="00B408D2">
            <w:pPr>
              <w:pStyle w:val="ListBullet"/>
            </w:pPr>
            <w:r w:rsidRPr="00B408D2">
              <w:t>client details</w:t>
            </w:r>
          </w:p>
          <w:p w:rsidR="00000000" w:rsidRPr="00B408D2" w:rsidP="00B408D2">
            <w:pPr>
              <w:pStyle w:val="ListBullet"/>
            </w:pPr>
            <w:r w:rsidRPr="00B408D2">
              <w:t>risk assessment</w:t>
            </w:r>
          </w:p>
          <w:p w:rsidR="00000000" w:rsidP="00B408D2">
            <w:pPr>
              <w:pStyle w:val="ListBullet"/>
              <w:rPr>
                <w:lang w:val="en-NZ"/>
              </w:rPr>
            </w:pPr>
            <w:r w:rsidRPr="00B408D2">
              <w:t>site details.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Information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air leakage features:</w:t>
            </w:r>
          </w:p>
          <w:p w:rsidR="00000000" w:rsidRPr="00B408D2" w:rsidP="00B408D2">
            <w:pPr>
              <w:pStyle w:val="ListBullet2"/>
            </w:pPr>
            <w:r w:rsidRPr="00B408D2">
              <w:t>fans</w:t>
            </w:r>
          </w:p>
          <w:p w:rsidR="00000000" w:rsidRPr="00B408D2" w:rsidP="00B408D2">
            <w:pPr>
              <w:pStyle w:val="ListBullet2"/>
            </w:pPr>
            <w:r w:rsidRPr="00B408D2">
              <w:t>wall vents</w:t>
            </w:r>
          </w:p>
          <w:p w:rsidR="00000000" w:rsidRPr="00B408D2" w:rsidP="00B408D2">
            <w:pPr>
              <w:pStyle w:val="ListBullet"/>
            </w:pPr>
            <w:r w:rsidRPr="00B408D2">
              <w:t>attachments to other buildings externally</w:t>
            </w:r>
          </w:p>
          <w:p w:rsidR="00000000" w:rsidRPr="00B408D2" w:rsidP="00B408D2">
            <w:pPr>
              <w:pStyle w:val="ListBullet"/>
            </w:pPr>
            <w:r w:rsidRPr="00B408D2">
              <w:t>building sealing</w:t>
            </w:r>
          </w:p>
          <w:p w:rsidR="00000000" w:rsidRPr="00B408D2" w:rsidP="00B408D2">
            <w:pPr>
              <w:pStyle w:val="ListBullet"/>
            </w:pPr>
            <w:r w:rsidRPr="00B408D2">
              <w:t>construction materials</w:t>
            </w:r>
          </w:p>
          <w:p w:rsidR="00000000" w:rsidRPr="00B408D2" w:rsidP="00B408D2">
            <w:pPr>
              <w:pStyle w:val="ListBullet"/>
            </w:pPr>
            <w:r w:rsidRPr="00B408D2">
              <w:t>dimensions</w:t>
            </w:r>
          </w:p>
          <w:p w:rsidR="00000000" w:rsidRPr="00B408D2" w:rsidP="00B408D2">
            <w:pPr>
              <w:pStyle w:val="ListBullet"/>
            </w:pPr>
            <w:r w:rsidRPr="00B408D2">
              <w:t>electrical fittings:</w:t>
            </w:r>
          </w:p>
          <w:p w:rsidR="00000000" w:rsidRPr="00B408D2" w:rsidP="00B408D2">
            <w:pPr>
              <w:pStyle w:val="ListBullet2"/>
            </w:pPr>
            <w:r w:rsidRPr="00B408D2">
              <w:t>ceiling fans</w:t>
            </w:r>
          </w:p>
          <w:p w:rsidR="00000000" w:rsidRPr="00B408D2" w:rsidP="00B408D2">
            <w:pPr>
              <w:pStyle w:val="ListBullet2"/>
            </w:pPr>
            <w:r w:rsidRPr="00B408D2">
              <w:t>down lights</w:t>
            </w:r>
          </w:p>
          <w:p w:rsidR="00000000" w:rsidRPr="00B408D2" w:rsidP="00B408D2">
            <w:pPr>
              <w:pStyle w:val="ListBullet2"/>
            </w:pPr>
            <w:r w:rsidRPr="00B408D2">
              <w:t>exhaust fans</w:t>
            </w:r>
          </w:p>
          <w:p w:rsidR="00000000" w:rsidRPr="00B408D2" w:rsidP="00B408D2">
            <w:pPr>
              <w:pStyle w:val="ListBullet"/>
            </w:pPr>
            <w:r w:rsidRPr="00B408D2">
              <w:t>floor coverings</w:t>
            </w:r>
          </w:p>
          <w:p w:rsidR="00000000" w:rsidRPr="00B408D2" w:rsidP="00B408D2">
            <w:pPr>
              <w:pStyle w:val="ListBullet"/>
            </w:pPr>
            <w:r w:rsidRPr="00B408D2">
              <w:t>glazing</w:t>
            </w:r>
          </w:p>
          <w:p w:rsidR="00000000" w:rsidRPr="00B408D2" w:rsidP="00B408D2">
            <w:pPr>
              <w:pStyle w:val="ListBullet"/>
            </w:pPr>
            <w:r w:rsidRPr="00B408D2">
              <w:t>insulation levels:</w:t>
            </w:r>
          </w:p>
          <w:p w:rsidR="00000000" w:rsidRPr="00B408D2" w:rsidP="00B408D2">
            <w:pPr>
              <w:pStyle w:val="ListBullet2"/>
            </w:pPr>
            <w:r w:rsidRPr="00B408D2">
              <w:t>ceiling</w:t>
            </w:r>
          </w:p>
          <w:p w:rsidR="00000000" w:rsidRPr="00B408D2" w:rsidP="00B408D2">
            <w:pPr>
              <w:pStyle w:val="ListBullet2"/>
            </w:pPr>
            <w:r w:rsidRPr="00B408D2">
              <w:t>floors</w:t>
            </w:r>
          </w:p>
          <w:p w:rsidR="00000000" w:rsidRPr="00B408D2" w:rsidP="00B408D2">
            <w:pPr>
              <w:pStyle w:val="ListBullet2"/>
            </w:pPr>
            <w:r w:rsidRPr="00B408D2">
              <w:t>walls</w:t>
            </w:r>
          </w:p>
          <w:p w:rsidR="00000000" w:rsidRPr="00B408D2" w:rsidP="00B408D2">
            <w:pPr>
              <w:pStyle w:val="ListBullet"/>
            </w:pPr>
            <w:r w:rsidRPr="00B408D2">
              <w:t>orientation</w:t>
            </w:r>
          </w:p>
          <w:p w:rsidR="00000000" w:rsidRPr="00B408D2" w:rsidP="00B408D2">
            <w:pPr>
              <w:pStyle w:val="ListBullet"/>
            </w:pPr>
            <w:r w:rsidRPr="00B408D2">
              <w:t>overshadowing</w:t>
            </w:r>
          </w:p>
          <w:p w:rsidR="00000000" w:rsidRPr="00B408D2" w:rsidP="00B408D2">
            <w:pPr>
              <w:pStyle w:val="ListBullet"/>
            </w:pPr>
            <w:r w:rsidRPr="00B408D2">
              <w:t>shading</w:t>
            </w:r>
          </w:p>
          <w:p w:rsidR="00000000" w:rsidRPr="00B408D2" w:rsidP="00B408D2">
            <w:pPr>
              <w:pStyle w:val="ListBullet"/>
            </w:pPr>
            <w:r w:rsidRPr="00B408D2">
              <w:t>thermal mass</w:t>
            </w:r>
          </w:p>
          <w:p w:rsidR="00000000" w:rsidRPr="00B408D2" w:rsidP="00B408D2">
            <w:pPr>
              <w:pStyle w:val="ListBullet"/>
            </w:pPr>
            <w:r w:rsidRPr="00B408D2">
              <w:t>ventilation</w:t>
            </w:r>
          </w:p>
          <w:p w:rsidR="00000000" w:rsidRPr="00B408D2" w:rsidP="00B408D2">
            <w:pPr>
              <w:pStyle w:val="ListBullet"/>
            </w:pPr>
            <w:r w:rsidRPr="00B408D2">
              <w:t>windows:</w:t>
            </w:r>
          </w:p>
          <w:p w:rsidR="00000000" w:rsidRPr="00B408D2" w:rsidP="00B408D2">
            <w:pPr>
              <w:pStyle w:val="ListBullet2"/>
            </w:pPr>
            <w:r w:rsidRPr="00B408D2">
              <w:t>coverings</w:t>
            </w:r>
          </w:p>
          <w:p w:rsidR="00000000" w:rsidRPr="00B408D2" w:rsidP="00B408D2">
            <w:pPr>
              <w:pStyle w:val="ListBullet2"/>
            </w:pPr>
            <w:r w:rsidRPr="00B408D2">
              <w:t>size</w:t>
            </w:r>
          </w:p>
          <w:p w:rsidR="00000000" w:rsidRPr="00B408D2" w:rsidP="00B408D2">
            <w:pPr>
              <w:pStyle w:val="ListBullet2"/>
            </w:pPr>
            <w:r w:rsidRPr="00B408D2">
              <w:t>style</w:t>
            </w:r>
          </w:p>
          <w:p w:rsidR="00000000" w:rsidRPr="00B408D2" w:rsidP="00B408D2">
            <w:pPr>
              <w:pStyle w:val="ListBullet2"/>
            </w:pPr>
            <w:r w:rsidRPr="00B408D2">
              <w:t>type of frame</w:t>
            </w:r>
          </w:p>
          <w:p w:rsidR="00000000" w:rsidRPr="00B408D2" w:rsidP="00B408D2">
            <w:pPr>
              <w:pStyle w:val="ListBullet2"/>
            </w:pPr>
            <w:r w:rsidRPr="00B408D2">
              <w:t>type of glass:</w:t>
            </w:r>
          </w:p>
          <w:p w:rsidR="00000000" w:rsidRPr="00B408D2" w:rsidP="00B408D2">
            <w:pPr>
              <w:pStyle w:val="ListBullet3"/>
            </w:pPr>
            <w:r w:rsidRPr="00B408D2">
              <w:t>clear</w:t>
            </w:r>
          </w:p>
          <w:p w:rsidR="00000000" w:rsidRPr="00B408D2" w:rsidP="00B408D2">
            <w:pPr>
              <w:pStyle w:val="ListBullet3"/>
            </w:pPr>
            <w:r w:rsidRPr="00B408D2">
              <w:t>tinted</w:t>
            </w:r>
          </w:p>
          <w:p w:rsidR="00000000" w:rsidP="00B408D2">
            <w:pPr>
              <w:pStyle w:val="ListBullet"/>
              <w:rPr>
                <w:lang w:val="en-NZ"/>
              </w:rPr>
            </w:pPr>
            <w:r w:rsidRPr="00B408D2">
              <w:t>zoning and layout.</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Sources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building appraisal and measurement</w:t>
            </w:r>
          </w:p>
          <w:p w:rsidR="00000000" w:rsidRPr="00B408D2" w:rsidP="00B408D2">
            <w:pPr>
              <w:pStyle w:val="ListBullet"/>
            </w:pPr>
            <w:r w:rsidRPr="00B408D2">
              <w:t>building plans and specifications</w:t>
            </w:r>
          </w:p>
          <w:p w:rsidR="00000000" w:rsidRPr="00B408D2" w:rsidP="00B408D2">
            <w:pPr>
              <w:pStyle w:val="ListBullet"/>
            </w:pPr>
            <w:r w:rsidRPr="00B408D2">
              <w:t>client</w:t>
            </w:r>
          </w:p>
          <w:p w:rsidR="00000000" w:rsidP="00B408D2">
            <w:pPr>
              <w:pStyle w:val="ListBullet"/>
              <w:rPr>
                <w:lang w:val="en-NZ"/>
              </w:rPr>
            </w:pPr>
            <w:r w:rsidRPr="00B408D2">
              <w:t>other building professionals.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Outputs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cooling loads</w:t>
            </w:r>
          </w:p>
          <w:p w:rsidR="00000000" w:rsidRPr="00B408D2" w:rsidP="00B408D2">
            <w:pPr>
              <w:pStyle w:val="ListBullet"/>
            </w:pPr>
            <w:r w:rsidRPr="00B408D2">
              <w:t>heating loads</w:t>
            </w:r>
          </w:p>
          <w:p w:rsidR="00000000" w:rsidRPr="00B408D2" w:rsidP="00B408D2">
            <w:pPr>
              <w:pStyle w:val="ListBullet"/>
            </w:pPr>
            <w:r w:rsidRPr="00B408D2">
              <w:t>information on building properties</w:t>
            </w:r>
          </w:p>
          <w:p w:rsidR="00000000" w:rsidRPr="00B408D2" w:rsidP="00B408D2">
            <w:pPr>
              <w:pStyle w:val="ListBullet"/>
            </w:pPr>
            <w:r w:rsidRPr="00B408D2">
              <w:t>latent cooling</w:t>
            </w:r>
          </w:p>
          <w:p w:rsidR="00000000" w:rsidRPr="00B408D2" w:rsidP="00B408D2">
            <w:pPr>
              <w:pStyle w:val="ListBullet"/>
            </w:pPr>
            <w:r w:rsidRPr="00B408D2">
              <w:t>rating</w:t>
            </w:r>
          </w:p>
          <w:p w:rsidR="00000000" w:rsidP="00B408D2">
            <w:pPr>
              <w:pStyle w:val="ListBullet"/>
              <w:rPr>
                <w:lang w:val="en-NZ"/>
              </w:rPr>
            </w:pPr>
            <w:r w:rsidRPr="00B408D2">
              <w:t>temperature graphs.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Sources of technical advice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architects</w:t>
            </w:r>
          </w:p>
          <w:p w:rsidR="00000000" w:rsidRPr="00B408D2" w:rsidP="00B408D2">
            <w:pPr>
              <w:pStyle w:val="ListBullet"/>
            </w:pPr>
            <w:r w:rsidRPr="00B408D2">
              <w:t>building designers</w:t>
            </w:r>
          </w:p>
          <w:p w:rsidR="00000000" w:rsidRPr="00B408D2" w:rsidP="00B408D2">
            <w:pPr>
              <w:pStyle w:val="ListBullet"/>
            </w:pPr>
            <w:r w:rsidRPr="00B408D2">
              <w:t>building thermal performance assessors</w:t>
            </w:r>
          </w:p>
          <w:p w:rsidR="00000000" w:rsidRPr="00B408D2" w:rsidP="00B408D2">
            <w:pPr>
              <w:pStyle w:val="ListBullet"/>
            </w:pPr>
            <w:r w:rsidRPr="00B408D2">
              <w:t>colleagues</w:t>
            </w:r>
          </w:p>
          <w:p w:rsidR="00000000" w:rsidRPr="00B408D2" w:rsidP="00B408D2">
            <w:pPr>
              <w:pStyle w:val="ListBullet"/>
            </w:pPr>
            <w:r w:rsidRPr="00B408D2">
              <w:t>consultants</w:t>
            </w:r>
          </w:p>
          <w:p w:rsidR="00000000" w:rsidRPr="00B408D2" w:rsidP="00B408D2">
            <w:pPr>
              <w:pStyle w:val="ListBullet"/>
            </w:pPr>
            <w:r w:rsidRPr="00B408D2">
              <w:t>government agencies</w:t>
            </w:r>
          </w:p>
          <w:p w:rsidR="00000000" w:rsidRPr="00B408D2" w:rsidP="00B408D2">
            <w:pPr>
              <w:pStyle w:val="ListBullet"/>
            </w:pPr>
            <w:r w:rsidRPr="00B408D2">
              <w:t>professional associations</w:t>
            </w:r>
          </w:p>
          <w:p w:rsidR="00000000" w:rsidRPr="00B408D2" w:rsidP="00B408D2">
            <w:pPr>
              <w:pStyle w:val="ListBullet"/>
            </w:pPr>
            <w:r w:rsidRPr="00B408D2">
              <w:t>research bodies</w:t>
            </w:r>
          </w:p>
          <w:p w:rsidR="00000000" w:rsidRPr="00B408D2" w:rsidP="00B408D2">
            <w:pPr>
              <w:pStyle w:val="ListBullet"/>
            </w:pPr>
            <w:r w:rsidRPr="00B408D2">
              <w:t>supervisors</w:t>
            </w:r>
          </w:p>
          <w:p w:rsidR="00000000" w:rsidP="00B408D2">
            <w:pPr>
              <w:pStyle w:val="ListBullet"/>
              <w:rPr>
                <w:lang w:val="en-NZ"/>
              </w:rPr>
            </w:pPr>
            <w:r w:rsidRPr="00B408D2">
              <w:t>suppliers of products relating to building thermal performance.</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Assumptions</w:t>
            </w:r>
            <w:r w:rsidRPr="00B408D2">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climate data</w:t>
            </w:r>
          </w:p>
          <w:p w:rsidR="00000000" w:rsidRPr="00B408D2" w:rsidP="00B408D2">
            <w:pPr>
              <w:pStyle w:val="ListBullet"/>
            </w:pPr>
            <w:r w:rsidRPr="00B408D2">
              <w:t>comfort</w:t>
            </w:r>
          </w:p>
          <w:p w:rsidR="00000000" w:rsidRPr="00B408D2" w:rsidP="00B408D2">
            <w:pPr>
              <w:pStyle w:val="ListBullet"/>
            </w:pPr>
            <w:r w:rsidRPr="00B408D2">
              <w:t>material properties</w:t>
            </w:r>
          </w:p>
          <w:p w:rsidR="00000000" w:rsidRPr="00B408D2" w:rsidP="00B408D2">
            <w:pPr>
              <w:pStyle w:val="ListBullet"/>
            </w:pPr>
            <w:r w:rsidRPr="00B408D2">
              <w:t>occupancy profiles</w:t>
            </w:r>
          </w:p>
          <w:p w:rsidR="00000000" w:rsidRPr="00B408D2" w:rsidP="00B408D2">
            <w:pPr>
              <w:pStyle w:val="ListBullet"/>
            </w:pPr>
            <w:r w:rsidRPr="00B408D2">
              <w:t>thermostat settings</w:t>
            </w:r>
          </w:p>
          <w:p w:rsidR="00000000" w:rsidP="00B408D2">
            <w:pPr>
              <w:pStyle w:val="ListBullet"/>
              <w:rPr>
                <w:lang w:val="en-NZ"/>
              </w:rPr>
            </w:pPr>
            <w:r w:rsidRPr="00B408D2">
              <w:t>uses of windows, doors, curtains and blinds.</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Options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construction materials</w:t>
            </w:r>
          </w:p>
          <w:p w:rsidR="00000000" w:rsidRPr="00B408D2" w:rsidP="00B408D2">
            <w:pPr>
              <w:pStyle w:val="ListBullet"/>
            </w:pPr>
            <w:r w:rsidRPr="00B408D2">
              <w:t>glazing</w:t>
            </w:r>
          </w:p>
          <w:p w:rsidR="00000000" w:rsidRPr="00B408D2" w:rsidP="00B408D2">
            <w:pPr>
              <w:pStyle w:val="ListBullet"/>
            </w:pPr>
            <w:r w:rsidRPr="00B408D2">
              <w:t>insulation levels</w:t>
            </w:r>
          </w:p>
          <w:p w:rsidR="00000000" w:rsidRPr="00B408D2" w:rsidP="00B408D2">
            <w:pPr>
              <w:pStyle w:val="ListBullet"/>
            </w:pPr>
            <w:r w:rsidRPr="00B408D2">
              <w:t>landscaping and planting</w:t>
            </w:r>
          </w:p>
          <w:p w:rsidR="00000000" w:rsidRPr="00B408D2" w:rsidP="00B408D2">
            <w:pPr>
              <w:pStyle w:val="ListBullet"/>
            </w:pPr>
            <w:r w:rsidRPr="00B408D2">
              <w:t>orientation</w:t>
            </w:r>
          </w:p>
          <w:p w:rsidR="00000000" w:rsidRPr="00B408D2" w:rsidP="00B408D2">
            <w:pPr>
              <w:pStyle w:val="ListBullet"/>
            </w:pPr>
            <w:r w:rsidRPr="00B408D2">
              <w:t>overshadowing</w:t>
            </w:r>
          </w:p>
          <w:p w:rsidR="00000000" w:rsidRPr="00B408D2" w:rsidP="00B408D2">
            <w:pPr>
              <w:pStyle w:val="ListBullet"/>
            </w:pPr>
            <w:r w:rsidRPr="00B408D2">
              <w:t>passive heating and cooling</w:t>
            </w:r>
          </w:p>
          <w:p w:rsidR="00000000" w:rsidRPr="00B408D2" w:rsidP="00B408D2">
            <w:pPr>
              <w:pStyle w:val="ListBullet"/>
            </w:pPr>
            <w:r w:rsidRPr="00B408D2">
              <w:t>size</w:t>
            </w:r>
          </w:p>
          <w:p w:rsidR="00000000" w:rsidRPr="00B408D2" w:rsidP="00B408D2">
            <w:pPr>
              <w:pStyle w:val="ListBullet"/>
            </w:pPr>
            <w:r w:rsidRPr="00B408D2">
              <w:t>style</w:t>
            </w:r>
          </w:p>
          <w:p w:rsidR="00000000" w:rsidRPr="00B408D2" w:rsidP="00B408D2">
            <w:pPr>
              <w:pStyle w:val="ListBullet"/>
            </w:pPr>
            <w:r w:rsidRPr="00B408D2">
              <w:t>thermal mass</w:t>
            </w:r>
          </w:p>
          <w:p w:rsidR="00000000" w:rsidRPr="00B408D2" w:rsidP="00B408D2">
            <w:pPr>
              <w:pStyle w:val="ListBullet"/>
            </w:pPr>
            <w:r w:rsidRPr="00B408D2">
              <w:t>type of glazing</w:t>
            </w:r>
          </w:p>
          <w:p w:rsidR="00000000" w:rsidRPr="00B408D2" w:rsidP="00B408D2">
            <w:pPr>
              <w:pStyle w:val="ListBullet"/>
            </w:pPr>
            <w:r w:rsidRPr="00B408D2">
              <w:t>ventilation</w:t>
            </w:r>
          </w:p>
          <w:p w:rsidR="00000000" w:rsidRPr="00B408D2" w:rsidP="00B408D2">
            <w:pPr>
              <w:pStyle w:val="ListBullet"/>
            </w:pPr>
            <w:r w:rsidRPr="00B408D2">
              <w:t>window</w:t>
            </w:r>
          </w:p>
          <w:p w:rsidR="00000000" w:rsidP="00B408D2">
            <w:pPr>
              <w:pStyle w:val="ListBullet"/>
              <w:rPr>
                <w:lang w:val="en-NZ"/>
              </w:rPr>
            </w:pPr>
            <w:r w:rsidRPr="00B408D2">
              <w:t>zoning and layout.</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 xml:space="preserve">Criteria </w:t>
            </w:r>
            <w:r w:rsidRPr="00B408D2">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cost</w:t>
            </w:r>
          </w:p>
          <w:p w:rsidR="00000000" w:rsidRPr="00B408D2" w:rsidP="00B408D2">
            <w:pPr>
              <w:pStyle w:val="ListBullet"/>
            </w:pPr>
            <w:r w:rsidRPr="00B408D2">
              <w:t>outputs of thermal performance assessment</w:t>
            </w:r>
          </w:p>
          <w:p w:rsidR="00000000" w:rsidRPr="00B408D2" w:rsidP="00B408D2">
            <w:pPr>
              <w:pStyle w:val="ListBullet"/>
            </w:pPr>
            <w:r w:rsidRPr="00B408D2">
              <w:t>prac</w:t>
            </w:r>
            <w:r w:rsidRPr="00B408D2">
              <w:rPr>
                <w:rStyle w:val="SpecialBold"/>
              </w:rPr>
              <w:t>ticality</w:t>
            </w:r>
          </w:p>
          <w:p w:rsidR="00000000" w:rsidRPr="00B408D2" w:rsidP="00B408D2">
            <w:pPr>
              <w:pStyle w:val="ListBullet"/>
            </w:pPr>
            <w:r w:rsidRPr="00B408D2">
              <w:t>thermal performance properties of building elements</w:t>
            </w:r>
          </w:p>
          <w:p w:rsidR="00000000" w:rsidP="00B408D2">
            <w:pPr>
              <w:pStyle w:val="ListBullet"/>
              <w:rPr>
                <w:lang w:val="en-NZ"/>
              </w:rPr>
            </w:pPr>
            <w:r w:rsidRPr="00B408D2">
              <w:t>type of building.</w:t>
            </w:r>
          </w:p>
        </w:tc>
      </w:tr>
      <w:tr w:rsidTr="00B408D2">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8D2">
            <w:pPr>
              <w:pStyle w:val="BodyText"/>
              <w:rPr>
                <w:lang w:val="en-NZ"/>
              </w:rPr>
            </w:pPr>
            <w:r w:rsidRPr="00B408D2">
              <w:rPr>
                <w:rStyle w:val="BoldandItalics"/>
              </w:rPr>
              <w:t>Results and recommendations</w:t>
            </w:r>
            <w:r w:rsidRPr="00B408D2">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8D2" w:rsidP="00B408D2">
            <w:pPr>
              <w:pStyle w:val="ListBullet"/>
            </w:pPr>
            <w:r w:rsidRPr="00B408D2">
              <w:t>compliance with regulatory requirements</w:t>
            </w:r>
          </w:p>
          <w:p w:rsidR="00000000" w:rsidRPr="00B408D2" w:rsidP="00B408D2">
            <w:pPr>
              <w:pStyle w:val="ListBullet"/>
            </w:pPr>
            <w:r w:rsidRPr="00B408D2">
              <w:t>cost implications</w:t>
            </w:r>
          </w:p>
          <w:p w:rsidR="00000000" w:rsidRPr="00B408D2" w:rsidP="00B408D2">
            <w:pPr>
              <w:pStyle w:val="ListBullet"/>
            </w:pPr>
            <w:r w:rsidRPr="00B408D2">
              <w:t>practicalities.</w:t>
            </w:r>
          </w:p>
        </w:tc>
      </w:tr>
    </w:tbl>
    <w:p w:rsidR="000F4A70" w:rsidP="00B408D2">
      <w:pPr>
        <w:pStyle w:val="BodyText"/>
      </w:pPr>
    </w:p>
    <w:p w:rsidR="000F4A70" w:rsidP="00B408D2">
      <w:pPr>
        <w:pStyle w:val="BodyText"/>
      </w:pPr>
    </w:p>
    <w:p w:rsidR="00000000" w:rsidRPr="00B408D2" w:rsidP="00B408D2">
      <w:pPr>
        <w:pStyle w:val="Heading1"/>
      </w:pPr>
      <w:bookmarkStart w:id="12" w:name="O_489497"/>
      <w:bookmarkEnd w:id="12"/>
      <w:r w:rsidRPr="00B408D2">
        <w:t>Unit Sector(s)</w:t>
      </w:r>
    </w:p>
    <w:p w:rsidR="00000000" w:rsidRPr="00B408D2" w:rsidP="00B408D2">
      <w:pPr>
        <w:pStyle w:val="BodyText"/>
      </w:pPr>
      <w:r w:rsidRPr="00B408D2">
        <w:t>Home sustainability assessment</w:t>
      </w:r>
    </w:p>
    <w:p w:rsidR="00000000" w:rsidRPr="00B408D2" w:rsidP="00B408D2">
      <w:pPr>
        <w:pStyle w:val="AllowPageBreak"/>
      </w:pPr>
    </w:p>
    <w:p w:rsidR="00000000" w:rsidRPr="00B408D2" w:rsidP="00B408D2">
      <w:pPr>
        <w:pStyle w:val="Heading1"/>
      </w:pPr>
      <w:bookmarkStart w:id="13" w:name="O_489498"/>
      <w:bookmarkEnd w:id="13"/>
      <w:r w:rsidRPr="00B408D2">
        <w:t>Custom Content Section</w:t>
      </w:r>
    </w:p>
    <w:p w:rsidR="00000000" w:rsidRPr="00B408D2" w:rsidP="00B408D2">
      <w:pPr>
        <w:pStyle w:val="BodyText"/>
      </w:pPr>
      <w:r w:rsidRPr="00B408D2">
        <w:t>Not applicable.</w:t>
      </w:r>
    </w:p>
    <w:p w:rsidR="00000000" w:rsidRPr="00B408D2" w:rsidP="00B408D2"/>
    <w:sectPr w:rsidSect="00B40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A70" w:rsidP="000F4A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0" w:rsidP="00B408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F4A70" w:rsidP="00B40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4A70" w:rsidP="00B40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D2" w:rsidRPr="000F4A70" w:rsidP="000F4A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0" w:rsidRPr="002D2AF8" w:rsidP="00B408D2">
    <w:pPr>
      <w:pStyle w:val="Header"/>
      <w:framePr w:wrap="around"/>
    </w:pPr>
    <w:r>
      <w:fldChar w:fldCharType="begin"/>
    </w:r>
    <w:r>
      <w:instrText xml:space="preserve"> TITLE   \* MERGEFORMAT </w:instrText>
    </w:r>
    <w:r>
      <w:fldChar w:fldCharType="separate"/>
    </w:r>
    <w:r>
      <w:t>CPPHSA4012A Conduct NatHERS assessment of planned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2012</w:t>
    </w:r>
    <w:r>
      <w:fldChar w:fldCharType="end"/>
    </w:r>
  </w:p>
  <w:p w:rsidR="000F4A70" w:rsidP="00B40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C2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86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C2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8D2"/>
    <w:pPr>
      <w:spacing w:before="360" w:after="60"/>
      <w:outlineLvl w:val="0"/>
    </w:pPr>
    <w:rPr>
      <w:sz w:val="32"/>
    </w:rPr>
  </w:style>
  <w:style w:type="paragraph" w:styleId="Heading2">
    <w:name w:val="heading 2"/>
    <w:basedOn w:val="HeadingBase"/>
    <w:next w:val="BodyText"/>
    <w:link w:val="Heading2Char"/>
    <w:qFormat/>
    <w:rsid w:val="00B408D2"/>
    <w:pPr>
      <w:keepLines/>
      <w:spacing w:before="240" w:after="120"/>
      <w:outlineLvl w:val="1"/>
    </w:pPr>
    <w:rPr>
      <w:sz w:val="28"/>
      <w:szCs w:val="40"/>
    </w:rPr>
  </w:style>
  <w:style w:type="paragraph" w:styleId="Heading3">
    <w:name w:val="heading 3"/>
    <w:basedOn w:val="HeadingBase"/>
    <w:next w:val="BodyText"/>
    <w:link w:val="Heading3Char"/>
    <w:qFormat/>
    <w:rsid w:val="00B408D2"/>
    <w:pPr>
      <w:spacing w:before="180" w:after="120"/>
      <w:outlineLvl w:val="2"/>
    </w:pPr>
    <w:rPr>
      <w:spacing w:val="-10"/>
      <w:kern w:val="32"/>
    </w:rPr>
  </w:style>
  <w:style w:type="paragraph" w:styleId="Heading4">
    <w:name w:val="heading 4"/>
    <w:basedOn w:val="HeadingBase"/>
    <w:next w:val="BodyText"/>
    <w:link w:val="Heading4Char"/>
    <w:qFormat/>
    <w:rsid w:val="00B408D2"/>
    <w:pPr>
      <w:spacing w:before="160" w:after="120"/>
      <w:outlineLvl w:val="3"/>
    </w:pPr>
    <w:rPr>
      <w:sz w:val="22"/>
    </w:rPr>
  </w:style>
  <w:style w:type="paragraph" w:styleId="Heading5">
    <w:name w:val="heading 5"/>
    <w:basedOn w:val="HeadingBase"/>
    <w:next w:val="Normal"/>
    <w:link w:val="Heading5Char"/>
    <w:qFormat/>
    <w:rsid w:val="00B408D2"/>
    <w:pPr>
      <w:spacing w:before="80"/>
      <w:outlineLvl w:val="4"/>
    </w:pPr>
    <w:rPr>
      <w:color w:val="918585"/>
      <w:sz w:val="20"/>
    </w:rPr>
  </w:style>
  <w:style w:type="paragraph" w:styleId="Heading6">
    <w:name w:val="heading 6"/>
    <w:basedOn w:val="HeadingBase"/>
    <w:next w:val="Normal"/>
    <w:link w:val="Heading6Char"/>
    <w:qFormat/>
    <w:rsid w:val="00B408D2"/>
    <w:pPr>
      <w:spacing w:before="60"/>
      <w:outlineLvl w:val="5"/>
    </w:pPr>
    <w:rPr>
      <w:color w:val="918585"/>
      <w:sz w:val="20"/>
    </w:rPr>
  </w:style>
  <w:style w:type="paragraph" w:styleId="Heading7">
    <w:name w:val="heading 7"/>
    <w:basedOn w:val="Normal"/>
    <w:next w:val="Normal"/>
    <w:link w:val="Heading7Char"/>
    <w:qFormat/>
    <w:rsid w:val="00B408D2"/>
    <w:pPr>
      <w:ind w:left="720"/>
      <w:outlineLvl w:val="6"/>
    </w:pPr>
    <w:rPr>
      <w:i/>
    </w:rPr>
  </w:style>
  <w:style w:type="paragraph" w:styleId="Heading8">
    <w:name w:val="heading 8"/>
    <w:basedOn w:val="Normal"/>
    <w:next w:val="Normal"/>
    <w:link w:val="Heading8Char"/>
    <w:qFormat/>
    <w:rsid w:val="00B408D2"/>
    <w:pPr>
      <w:ind w:left="720"/>
      <w:outlineLvl w:val="7"/>
    </w:pPr>
    <w:rPr>
      <w:i/>
    </w:rPr>
  </w:style>
  <w:style w:type="paragraph" w:styleId="Heading9">
    <w:name w:val="heading 9"/>
    <w:basedOn w:val="Normal"/>
    <w:next w:val="Normal"/>
    <w:link w:val="Heading9Char"/>
    <w:qFormat/>
    <w:rsid w:val="00B408D2"/>
    <w:pPr>
      <w:ind w:left="720"/>
      <w:outlineLvl w:val="8"/>
    </w:pPr>
    <w:rPr>
      <w:i/>
    </w:rPr>
  </w:style>
  <w:style w:type="character" w:default="1" w:styleId="DefaultParagraphFont">
    <w:name w:val="Default Paragraph Font"/>
    <w:uiPriority w:val="1"/>
    <w:unhideWhenUsed/>
    <w:rsid w:val="00B40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8D2"/>
  </w:style>
  <w:style w:type="character" w:customStyle="1" w:styleId="Heading1Char">
    <w:name w:val="Heading 1 Char"/>
    <w:basedOn w:val="DefaultParagraphFont"/>
    <w:link w:val="Heading1"/>
    <w:rsid w:val="00B408D2"/>
    <w:rPr>
      <w:rFonts w:ascii="Times New Roman" w:eastAsia="Times New Roman" w:hAnsi="Times New Roman" w:cs="Times New Roman"/>
      <w:b/>
      <w:sz w:val="32"/>
      <w:szCs w:val="20"/>
      <w:lang w:eastAsia="en-US"/>
    </w:rPr>
  </w:style>
  <w:style w:type="paragraph" w:styleId="BodyText">
    <w:name w:val="Body Text"/>
    <w:basedOn w:val="Normal"/>
    <w:link w:val="BodyTextChar"/>
    <w:rsid w:val="00B40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8D2"/>
    <w:rPr>
      <w:rFonts w:ascii="Times New Roman" w:eastAsia="Times New Roman" w:hAnsi="Times New Roman" w:cs="Times New Roman"/>
      <w:sz w:val="24"/>
      <w:lang w:eastAsia="en-US"/>
    </w:rPr>
  </w:style>
  <w:style w:type="paragraph" w:styleId="Footer">
    <w:name w:val="footer"/>
    <w:basedOn w:val="Normal"/>
    <w:link w:val="FooterChar"/>
    <w:rsid w:val="00B40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8D2"/>
    <w:rPr>
      <w:rFonts w:ascii="Times New Roman" w:eastAsia="Times New Roman" w:hAnsi="Times New Roman" w:cs="Times New Roman"/>
      <w:sz w:val="16"/>
      <w:lang w:eastAsia="en-US"/>
    </w:rPr>
  </w:style>
  <w:style w:type="paragraph" w:styleId="ListBullet">
    <w:name w:val="List Bullet"/>
    <w:basedOn w:val="List"/>
    <w:rsid w:val="00B408D2"/>
    <w:pPr>
      <w:numPr>
        <w:numId w:val="14"/>
      </w:numPr>
      <w:tabs>
        <w:tab w:val="clear" w:pos="340"/>
      </w:tabs>
      <w:spacing w:before="40" w:after="40"/>
    </w:pPr>
  </w:style>
  <w:style w:type="character" w:customStyle="1" w:styleId="SpecialBold">
    <w:name w:val="Special Bold"/>
    <w:basedOn w:val="DefaultParagraphFont"/>
    <w:rsid w:val="00B408D2"/>
    <w:rPr>
      <w:b/>
      <w:spacing w:val="0"/>
    </w:rPr>
  </w:style>
  <w:style w:type="paragraph" w:styleId="ListBullet2">
    <w:name w:val="List Bullet 2"/>
    <w:basedOn w:val="List2"/>
    <w:rsid w:val="00B408D2"/>
    <w:pPr>
      <w:numPr>
        <w:numId w:val="15"/>
      </w:numPr>
      <w:tabs>
        <w:tab w:val="clear" w:pos="680"/>
      </w:tabs>
    </w:pPr>
  </w:style>
  <w:style w:type="paragraph" w:customStyle="1" w:styleId="SuperHeading">
    <w:name w:val="SuperHeading"/>
    <w:basedOn w:val="Normal"/>
    <w:rsid w:val="00B408D2"/>
    <w:pPr>
      <w:spacing w:before="240" w:after="120"/>
      <w:outlineLvl w:val="0"/>
    </w:pPr>
    <w:rPr>
      <w:rFonts w:ascii="Times New Roman" w:hAnsi="Times New Roman"/>
      <w:b/>
      <w:sz w:val="28"/>
    </w:rPr>
  </w:style>
  <w:style w:type="paragraph" w:customStyle="1" w:styleId="AllowPageBreak">
    <w:name w:val="AllowPageBreak"/>
    <w:rsid w:val="00B408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08D2"/>
    <w:pPr>
      <w:numPr>
        <w:numId w:val="3"/>
      </w:numPr>
      <w:tabs>
        <w:tab w:val="clear" w:pos="1021"/>
      </w:tabs>
      <w:ind w:left="1037" w:hanging="357"/>
    </w:pPr>
  </w:style>
  <w:style w:type="character" w:customStyle="1" w:styleId="BoldandItalics">
    <w:name w:val="Bold and Italics"/>
    <w:qFormat/>
    <w:rsid w:val="00B408D2"/>
    <w:rPr>
      <w:b/>
      <w:i/>
      <w:u w:val="none"/>
    </w:rPr>
  </w:style>
  <w:style w:type="character" w:customStyle="1" w:styleId="Heading2Char">
    <w:name w:val="Heading 2 Char"/>
    <w:basedOn w:val="DefaultParagraphFont"/>
    <w:link w:val="Heading2"/>
    <w:rsid w:val="00B40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8D2"/>
    <w:rPr>
      <w:rFonts w:ascii="Courier New" w:eastAsia="Times New Roman" w:hAnsi="Courier New" w:cs="Times New Roman"/>
      <w:i/>
      <w:szCs w:val="20"/>
      <w:lang w:eastAsia="en-US"/>
    </w:rPr>
  </w:style>
  <w:style w:type="paragraph" w:customStyle="1" w:styleId="HeadingBase">
    <w:name w:val="Heading Base"/>
    <w:rsid w:val="00B40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8D2"/>
    <w:pPr>
      <w:tabs>
        <w:tab w:val="right" w:leader="dot" w:pos="9072"/>
      </w:tabs>
      <w:ind w:left="567"/>
    </w:pPr>
    <w:rPr>
      <w:szCs w:val="22"/>
    </w:rPr>
  </w:style>
  <w:style w:type="paragraph" w:customStyle="1" w:styleId="TOCBase">
    <w:name w:val="TOC Base"/>
    <w:rsid w:val="00B40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8D2"/>
    <w:pPr>
      <w:tabs>
        <w:tab w:val="right" w:leader="dot" w:pos="9072"/>
      </w:tabs>
      <w:spacing w:before="40" w:after="40"/>
      <w:ind w:left="284"/>
    </w:pPr>
    <w:rPr>
      <w:rFonts w:ascii="Times New Roman" w:hAnsi="Times New Roman"/>
    </w:rPr>
  </w:style>
  <w:style w:type="paragraph" w:styleId="TOC1">
    <w:name w:val="toc 1"/>
    <w:basedOn w:val="TOCBase"/>
    <w:next w:val="Normal"/>
    <w:rsid w:val="00B40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8D2"/>
    <w:pPr>
      <w:spacing w:before="5040"/>
      <w:jc w:val="center"/>
    </w:pPr>
    <w:rPr>
      <w:sz w:val="48"/>
      <w:szCs w:val="72"/>
      <w:lang w:val="en-US"/>
    </w:rPr>
  </w:style>
  <w:style w:type="character" w:customStyle="1" w:styleId="TitleChar">
    <w:name w:val="Title Char"/>
    <w:basedOn w:val="DefaultParagraphFont"/>
    <w:link w:val="Title"/>
    <w:rsid w:val="00B40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8D2"/>
    <w:pPr>
      <w:tabs>
        <w:tab w:val="left" w:pos="3600"/>
        <w:tab w:val="left" w:pos="3958"/>
      </w:tabs>
    </w:pPr>
  </w:style>
  <w:style w:type="paragraph" w:styleId="List">
    <w:name w:val="List"/>
    <w:basedOn w:val="BodyText"/>
    <w:next w:val="BodyText"/>
    <w:rsid w:val="00B408D2"/>
    <w:pPr>
      <w:tabs>
        <w:tab w:val="left" w:pos="340"/>
      </w:tabs>
      <w:spacing w:before="60" w:after="60"/>
      <w:ind w:left="340" w:hanging="340"/>
    </w:pPr>
  </w:style>
  <w:style w:type="paragraph" w:customStyle="1" w:styleId="Note">
    <w:name w:val="Note"/>
    <w:basedOn w:val="BodyText"/>
    <w:rsid w:val="00B40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8D2"/>
    <w:pPr>
      <w:framePr w:wrap="auto" w:hAnchor="text" w:y="6049"/>
    </w:pPr>
    <w:rPr>
      <w:color w:val="000000"/>
      <w:sz w:val="40"/>
    </w:rPr>
  </w:style>
  <w:style w:type="paragraph" w:customStyle="1" w:styleId="TOCTitle">
    <w:name w:val="TOCTitle"/>
    <w:basedOn w:val="Heading1"/>
    <w:rsid w:val="00B408D2"/>
    <w:pPr>
      <w:spacing w:after="240"/>
      <w:jc w:val="center"/>
      <w:outlineLvl w:val="9"/>
    </w:pPr>
    <w:rPr>
      <w:caps/>
    </w:rPr>
  </w:style>
  <w:style w:type="paragraph" w:customStyle="1" w:styleId="Version">
    <w:name w:val="Version"/>
    <w:rsid w:val="00B40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8D2"/>
    <w:pPr>
      <w:keepNext w:val="0"/>
      <w:tabs>
        <w:tab w:val="right" w:pos="4176"/>
      </w:tabs>
      <w:ind w:left="198" w:hanging="198"/>
    </w:pPr>
    <w:rPr>
      <w:rFonts w:ascii="Garamond" w:hAnsi="Garamond"/>
    </w:rPr>
  </w:style>
  <w:style w:type="paragraph" w:styleId="IndexHeading">
    <w:name w:val="index heading"/>
    <w:basedOn w:val="Normal"/>
    <w:next w:val="Index1"/>
    <w:semiHidden/>
    <w:rsid w:val="00B408D2"/>
    <w:pPr>
      <w:spacing w:before="120" w:after="120"/>
    </w:pPr>
    <w:rPr>
      <w:rFonts w:ascii="Arial" w:hAnsi="Arial"/>
      <w:b/>
      <w:color w:val="918585"/>
      <w:sz w:val="24"/>
    </w:rPr>
  </w:style>
  <w:style w:type="paragraph" w:styleId="Header">
    <w:name w:val="header"/>
    <w:basedOn w:val="Normal"/>
    <w:link w:val="HeaderChar"/>
    <w:rsid w:val="00B40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8D2"/>
    <w:rPr>
      <w:rFonts w:ascii="Times New Roman" w:eastAsia="Times New Roman" w:hAnsi="Times New Roman" w:cs="Times New Roman"/>
      <w:sz w:val="16"/>
      <w:szCs w:val="20"/>
      <w:lang w:val="en-GB" w:eastAsia="en-US"/>
    </w:rPr>
  </w:style>
  <w:style w:type="paragraph" w:customStyle="1" w:styleId="Chapter">
    <w:name w:val="Chapter"/>
    <w:basedOn w:val="Normal"/>
    <w:rsid w:val="00B408D2"/>
    <w:pPr>
      <w:spacing w:before="240"/>
    </w:pPr>
    <w:rPr>
      <w:rFonts w:ascii="Times New Roman" w:hAnsi="Times New Roman"/>
      <w:smallCaps/>
      <w:spacing w:val="80"/>
      <w:sz w:val="28"/>
    </w:rPr>
  </w:style>
  <w:style w:type="paragraph" w:customStyle="1" w:styleId="InChapter">
    <w:name w:val="InChapter"/>
    <w:basedOn w:val="Heading3"/>
    <w:rsid w:val="00B408D2"/>
    <w:pPr>
      <w:spacing w:after="240"/>
      <w:outlineLvl w:val="9"/>
    </w:pPr>
    <w:rPr>
      <w:noProof/>
    </w:rPr>
  </w:style>
  <w:style w:type="paragraph" w:styleId="Index2">
    <w:name w:val="index 2"/>
    <w:basedOn w:val="Normal"/>
    <w:next w:val="Normal"/>
    <w:semiHidden/>
    <w:rsid w:val="00B408D2"/>
    <w:pPr>
      <w:tabs>
        <w:tab w:val="right" w:pos="4176"/>
      </w:tabs>
      <w:ind w:left="568" w:hanging="284"/>
    </w:pPr>
    <w:rPr>
      <w:rFonts w:ascii="Garamond" w:hAnsi="Garamond"/>
    </w:rPr>
  </w:style>
  <w:style w:type="paragraph" w:customStyle="1" w:styleId="Byline">
    <w:name w:val="Byline"/>
    <w:rsid w:val="00B40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8D2"/>
    <w:pPr>
      <w:tabs>
        <w:tab w:val="clear" w:pos="3600"/>
        <w:tab w:val="clear" w:pos="3958"/>
      </w:tabs>
      <w:jc w:val="right"/>
    </w:pPr>
  </w:style>
  <w:style w:type="character" w:styleId="Emphasis">
    <w:name w:val="Emphasis"/>
    <w:basedOn w:val="DefaultParagraphFont"/>
    <w:qFormat/>
    <w:rsid w:val="00B408D2"/>
    <w:rPr>
      <w:i/>
    </w:rPr>
  </w:style>
  <w:style w:type="paragraph" w:styleId="Caption">
    <w:name w:val="caption"/>
    <w:basedOn w:val="BodyText"/>
    <w:next w:val="Normal"/>
    <w:qFormat/>
    <w:rsid w:val="00B408D2"/>
    <w:pPr>
      <w:framePr w:w="2268" w:hSpace="181" w:vSpace="181" w:wrap="around" w:vAnchor="text" w:hAnchor="page" w:x="1135" w:y="285" w:anchorLock="1"/>
    </w:pPr>
    <w:rPr>
      <w:i/>
    </w:rPr>
  </w:style>
  <w:style w:type="paragraph" w:customStyle="1" w:styleId="MiniTOCTitle">
    <w:name w:val="MiniTOCTitle"/>
    <w:basedOn w:val="Heading4"/>
    <w:rsid w:val="00B408D2"/>
    <w:pPr>
      <w:spacing w:before="240"/>
      <w:outlineLvl w:val="9"/>
    </w:pPr>
    <w:rPr>
      <w:noProof/>
      <w:sz w:val="24"/>
    </w:rPr>
  </w:style>
  <w:style w:type="paragraph" w:customStyle="1" w:styleId="MiniTOCItem">
    <w:name w:val="MiniTOCItem"/>
    <w:basedOn w:val="ListBullet"/>
    <w:rsid w:val="00B408D2"/>
    <w:pPr>
      <w:numPr>
        <w:numId w:val="0"/>
      </w:numPr>
      <w:tabs>
        <w:tab w:val="right" w:leader="dot" w:pos="6521"/>
      </w:tabs>
      <w:spacing w:before="0" w:after="0"/>
    </w:pPr>
  </w:style>
  <w:style w:type="paragraph" w:customStyle="1" w:styleId="TOFTitle">
    <w:name w:val="TOFTitle"/>
    <w:basedOn w:val="TOCTitle"/>
    <w:rsid w:val="00B408D2"/>
  </w:style>
  <w:style w:type="paragraph" w:styleId="TableofFigures">
    <w:name w:val="table of figures"/>
    <w:basedOn w:val="Normal"/>
    <w:next w:val="Normal"/>
    <w:semiHidden/>
    <w:rsid w:val="00B408D2"/>
    <w:pPr>
      <w:tabs>
        <w:tab w:val="right" w:leader="dot" w:pos="9072"/>
      </w:tabs>
      <w:ind w:left="970" w:hanging="403"/>
    </w:pPr>
    <w:rPr>
      <w:rFonts w:ascii="Times New Roman" w:hAnsi="Times New Roman"/>
      <w:b/>
    </w:rPr>
  </w:style>
  <w:style w:type="paragraph" w:styleId="ListNumber">
    <w:name w:val="List Number"/>
    <w:basedOn w:val="List"/>
    <w:rsid w:val="00B408D2"/>
    <w:pPr>
      <w:numPr>
        <w:numId w:val="12"/>
      </w:numPr>
    </w:pPr>
  </w:style>
  <w:style w:type="character" w:customStyle="1" w:styleId="WingdingSymbols">
    <w:name w:val="Wingding Symbols"/>
    <w:rsid w:val="00B408D2"/>
    <w:rPr>
      <w:rFonts w:ascii="Wingdings" w:hAnsi="Wingdings"/>
    </w:rPr>
  </w:style>
  <w:style w:type="paragraph" w:customStyle="1" w:styleId="TableHeading">
    <w:name w:val="Table Heading"/>
    <w:basedOn w:val="HeadingBase"/>
    <w:rsid w:val="00B408D2"/>
    <w:pPr>
      <w:keepLines/>
      <w:pBdr>
        <w:bottom w:val="single" w:sz="6" w:space="1" w:color="918585"/>
      </w:pBdr>
      <w:spacing w:before="240"/>
    </w:pPr>
  </w:style>
  <w:style w:type="character" w:customStyle="1" w:styleId="HotSpot">
    <w:name w:val="HotSpot"/>
    <w:rsid w:val="00B408D2"/>
    <w:rPr>
      <w:color w:val="0033CC"/>
      <w:u w:val="none"/>
    </w:rPr>
  </w:style>
  <w:style w:type="paragraph" w:customStyle="1" w:styleId="BodyTextRight">
    <w:name w:val="Body Text Right"/>
    <w:basedOn w:val="BodyText"/>
    <w:rsid w:val="00B408D2"/>
    <w:pPr>
      <w:spacing w:before="0" w:after="0"/>
      <w:jc w:val="right"/>
    </w:pPr>
  </w:style>
  <w:style w:type="paragraph" w:styleId="Index3">
    <w:name w:val="index 3"/>
    <w:basedOn w:val="ListNumber2"/>
    <w:next w:val="Normal"/>
    <w:semiHidden/>
    <w:rsid w:val="00B408D2"/>
    <w:pPr>
      <w:numPr>
        <w:numId w:val="0"/>
      </w:numPr>
      <w:tabs>
        <w:tab w:val="right" w:leader="dot" w:pos="4176"/>
      </w:tabs>
    </w:pPr>
  </w:style>
  <w:style w:type="paragraph" w:styleId="ListNumber2">
    <w:name w:val="List Number 2"/>
    <w:basedOn w:val="List2"/>
    <w:rsid w:val="00B408D2"/>
    <w:pPr>
      <w:numPr>
        <w:numId w:val="11"/>
      </w:numPr>
      <w:tabs>
        <w:tab w:val="clear" w:pos="1060"/>
      </w:tabs>
    </w:pPr>
  </w:style>
  <w:style w:type="paragraph" w:customStyle="1" w:styleId="MarginNote">
    <w:name w:val="Margin Note"/>
    <w:basedOn w:val="BodyText"/>
    <w:rsid w:val="00B40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8D2"/>
    <w:rPr>
      <w:sz w:val="32"/>
    </w:rPr>
  </w:style>
  <w:style w:type="paragraph" w:customStyle="1" w:styleId="HeadingProcedure">
    <w:name w:val="Heading Procedure"/>
    <w:basedOn w:val="HeadingBase"/>
    <w:next w:val="Normal"/>
    <w:rsid w:val="00B408D2"/>
    <w:pPr>
      <w:tabs>
        <w:tab w:val="left" w:pos="0"/>
      </w:tabs>
      <w:spacing w:before="120" w:after="60"/>
    </w:pPr>
    <w:rPr>
      <w:i/>
      <w:color w:val="918585"/>
      <w:sz w:val="22"/>
    </w:rPr>
  </w:style>
  <w:style w:type="paragraph" w:customStyle="1" w:styleId="TableBodyText">
    <w:name w:val="Table Body Text"/>
    <w:basedOn w:val="BodyText"/>
    <w:rsid w:val="00B408D2"/>
    <w:pPr>
      <w:spacing w:before="60" w:after="60"/>
    </w:pPr>
  </w:style>
  <w:style w:type="paragraph" w:styleId="ListContinue">
    <w:name w:val="List Continue"/>
    <w:basedOn w:val="List"/>
    <w:rsid w:val="00B408D2"/>
    <w:pPr>
      <w:ind w:firstLine="0"/>
    </w:pPr>
  </w:style>
  <w:style w:type="paragraph" w:customStyle="1" w:styleId="ListNote">
    <w:name w:val="List Note"/>
    <w:basedOn w:val="List"/>
    <w:rsid w:val="00B408D2"/>
    <w:pPr>
      <w:pBdr>
        <w:top w:val="single" w:sz="6" w:space="2" w:color="918585"/>
        <w:bottom w:val="single" w:sz="6" w:space="2" w:color="918585"/>
      </w:pBdr>
      <w:tabs>
        <w:tab w:val="left" w:pos="1021"/>
      </w:tabs>
      <w:ind w:firstLine="0"/>
    </w:pPr>
  </w:style>
  <w:style w:type="paragraph" w:customStyle="1" w:styleId="Warning">
    <w:name w:val="Warning"/>
    <w:basedOn w:val="BodyText"/>
    <w:rsid w:val="00B408D2"/>
    <w:pPr>
      <w:shd w:val="clear" w:color="auto" w:fill="D9D9D9"/>
      <w:tabs>
        <w:tab w:val="left" w:pos="992"/>
      </w:tabs>
      <w:ind w:left="119" w:right="119"/>
    </w:pPr>
    <w:rPr>
      <w:sz w:val="20"/>
    </w:rPr>
  </w:style>
  <w:style w:type="paragraph" w:customStyle="1" w:styleId="MarginIcons">
    <w:name w:val="Margin Icons"/>
    <w:basedOn w:val="BodyText"/>
    <w:rsid w:val="00B40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8D2"/>
    <w:rPr>
      <w:rFonts w:ascii="Courier New" w:hAnsi="Courier New"/>
    </w:rPr>
  </w:style>
  <w:style w:type="paragraph" w:customStyle="1" w:styleId="NoteBullet">
    <w:name w:val="Note Bullet"/>
    <w:basedOn w:val="Note"/>
    <w:rsid w:val="00B408D2"/>
    <w:pPr>
      <w:tabs>
        <w:tab w:val="clear" w:pos="680"/>
      </w:tabs>
      <w:spacing w:before="60" w:after="60"/>
    </w:pPr>
  </w:style>
  <w:style w:type="paragraph" w:customStyle="1" w:styleId="SubHeading2">
    <w:name w:val="SubHeading2"/>
    <w:basedOn w:val="HeadingBase"/>
    <w:rsid w:val="00B408D2"/>
    <w:pPr>
      <w:spacing w:before="240" w:after="60"/>
    </w:pPr>
    <w:rPr>
      <w:sz w:val="20"/>
    </w:rPr>
  </w:style>
  <w:style w:type="paragraph" w:customStyle="1" w:styleId="SubHeading1">
    <w:name w:val="SubHeading1"/>
    <w:basedOn w:val="HeadingBase"/>
    <w:rsid w:val="00B408D2"/>
    <w:pPr>
      <w:spacing w:before="240" w:after="60"/>
    </w:pPr>
    <w:rPr>
      <w:color w:val="918585"/>
      <w:sz w:val="22"/>
    </w:rPr>
  </w:style>
  <w:style w:type="paragraph" w:customStyle="1" w:styleId="SideHeading">
    <w:name w:val="Side Heading"/>
    <w:basedOn w:val="HeadingBase"/>
    <w:rsid w:val="00B40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8D2"/>
    <w:pPr>
      <w:numPr>
        <w:numId w:val="13"/>
      </w:numPr>
    </w:pPr>
  </w:style>
  <w:style w:type="paragraph" w:styleId="PlainText">
    <w:name w:val="Plain Text"/>
    <w:basedOn w:val="Normal"/>
    <w:link w:val="PlainTextChar"/>
    <w:rsid w:val="00B408D2"/>
    <w:rPr>
      <w:sz w:val="20"/>
    </w:rPr>
  </w:style>
  <w:style w:type="character" w:customStyle="1" w:styleId="PlainTextChar">
    <w:name w:val="Plain Text Char"/>
    <w:basedOn w:val="DefaultParagraphFont"/>
    <w:link w:val="PlainText"/>
    <w:rsid w:val="00B408D2"/>
    <w:rPr>
      <w:rFonts w:ascii="Courier New" w:eastAsia="Times New Roman" w:hAnsi="Courier New" w:cs="Times New Roman"/>
      <w:sz w:val="20"/>
      <w:szCs w:val="20"/>
      <w:lang w:eastAsia="en-US"/>
    </w:rPr>
  </w:style>
  <w:style w:type="character" w:customStyle="1" w:styleId="MenuOption">
    <w:name w:val="Menu Option"/>
    <w:basedOn w:val="DefaultParagraphFont"/>
    <w:rsid w:val="00B408D2"/>
    <w:rPr>
      <w:b/>
      <w:smallCaps/>
    </w:rPr>
  </w:style>
  <w:style w:type="paragraph" w:customStyle="1" w:styleId="TableListNumber">
    <w:name w:val="Table List Number"/>
    <w:basedOn w:val="ListNumber"/>
    <w:rsid w:val="00B408D2"/>
    <w:pPr>
      <w:numPr>
        <w:numId w:val="0"/>
      </w:numPr>
    </w:pPr>
  </w:style>
  <w:style w:type="paragraph" w:styleId="TOC4">
    <w:name w:val="toc 4"/>
    <w:basedOn w:val="TOCBase"/>
    <w:next w:val="Normal"/>
    <w:semiHidden/>
    <w:rsid w:val="00B408D2"/>
    <w:pPr>
      <w:tabs>
        <w:tab w:val="right" w:leader="dot" w:pos="9071"/>
      </w:tabs>
      <w:ind w:left="1701"/>
    </w:pPr>
  </w:style>
  <w:style w:type="paragraph" w:customStyle="1" w:styleId="ListAlpha">
    <w:name w:val="List Alpha"/>
    <w:basedOn w:val="List"/>
    <w:rsid w:val="00B408D2"/>
    <w:pPr>
      <w:numPr>
        <w:numId w:val="10"/>
      </w:numPr>
    </w:pPr>
  </w:style>
  <w:style w:type="paragraph" w:customStyle="1" w:styleId="ListAlpha2">
    <w:name w:val="List Alpha 2"/>
    <w:basedOn w:val="List2"/>
    <w:rsid w:val="00B408D2"/>
    <w:pPr>
      <w:numPr>
        <w:numId w:val="9"/>
      </w:numPr>
    </w:pPr>
  </w:style>
  <w:style w:type="paragraph" w:styleId="List2">
    <w:name w:val="List 2"/>
    <w:basedOn w:val="BodyText"/>
    <w:rsid w:val="00B408D2"/>
    <w:pPr>
      <w:tabs>
        <w:tab w:val="left" w:pos="680"/>
      </w:tabs>
      <w:spacing w:before="60" w:after="60"/>
      <w:ind w:left="680" w:hanging="340"/>
    </w:pPr>
  </w:style>
  <w:style w:type="paragraph" w:styleId="List3">
    <w:name w:val="List 3"/>
    <w:basedOn w:val="BodyText"/>
    <w:rsid w:val="00B408D2"/>
    <w:pPr>
      <w:tabs>
        <w:tab w:val="left" w:pos="1021"/>
      </w:tabs>
      <w:spacing w:before="60" w:after="60"/>
      <w:ind w:left="1020" w:hanging="340"/>
    </w:pPr>
  </w:style>
  <w:style w:type="paragraph" w:styleId="List4">
    <w:name w:val="List 4"/>
    <w:basedOn w:val="BodyText"/>
    <w:rsid w:val="00B408D2"/>
    <w:pPr>
      <w:tabs>
        <w:tab w:val="left" w:pos="1361"/>
      </w:tabs>
      <w:spacing w:before="60" w:after="60"/>
      <w:ind w:left="1361" w:hanging="340"/>
    </w:pPr>
  </w:style>
  <w:style w:type="paragraph" w:styleId="List5">
    <w:name w:val="List 5"/>
    <w:basedOn w:val="BodyText"/>
    <w:rsid w:val="00B408D2"/>
    <w:pPr>
      <w:tabs>
        <w:tab w:val="left" w:pos="1701"/>
      </w:tabs>
      <w:spacing w:before="60" w:after="60"/>
      <w:ind w:left="1701" w:hanging="340"/>
    </w:pPr>
  </w:style>
  <w:style w:type="paragraph" w:styleId="ListBullet4">
    <w:name w:val="List Bullet 4"/>
    <w:basedOn w:val="List4"/>
    <w:rsid w:val="00B408D2"/>
    <w:pPr>
      <w:numPr>
        <w:numId w:val="4"/>
      </w:numPr>
    </w:pPr>
  </w:style>
  <w:style w:type="paragraph" w:styleId="ListBullet5">
    <w:name w:val="List Bullet 5"/>
    <w:basedOn w:val="List5"/>
    <w:rsid w:val="00B408D2"/>
    <w:pPr>
      <w:numPr>
        <w:numId w:val="5"/>
      </w:numPr>
    </w:pPr>
  </w:style>
  <w:style w:type="paragraph" w:styleId="ListContinue2">
    <w:name w:val="List Continue 2"/>
    <w:basedOn w:val="List2"/>
    <w:rsid w:val="00B408D2"/>
    <w:pPr>
      <w:ind w:firstLine="0"/>
    </w:pPr>
  </w:style>
  <w:style w:type="paragraph" w:styleId="ListContinue3">
    <w:name w:val="List Continue 3"/>
    <w:basedOn w:val="List3"/>
    <w:rsid w:val="00B408D2"/>
    <w:pPr>
      <w:ind w:left="1021" w:firstLine="0"/>
    </w:pPr>
  </w:style>
  <w:style w:type="paragraph" w:styleId="ListContinue4">
    <w:name w:val="List Continue 4"/>
    <w:basedOn w:val="List4"/>
    <w:rsid w:val="00B408D2"/>
    <w:pPr>
      <w:ind w:firstLine="0"/>
    </w:pPr>
  </w:style>
  <w:style w:type="paragraph" w:styleId="ListContinue5">
    <w:name w:val="List Continue 5"/>
    <w:basedOn w:val="List5"/>
    <w:rsid w:val="00B408D2"/>
    <w:pPr>
      <w:ind w:firstLine="0"/>
    </w:pPr>
  </w:style>
  <w:style w:type="paragraph" w:styleId="ListNumber3">
    <w:name w:val="List Number 3"/>
    <w:basedOn w:val="List3"/>
    <w:rsid w:val="00B408D2"/>
    <w:pPr>
      <w:numPr>
        <w:numId w:val="6"/>
      </w:numPr>
    </w:pPr>
  </w:style>
  <w:style w:type="paragraph" w:styleId="ListNumber4">
    <w:name w:val="List Number 4"/>
    <w:basedOn w:val="List4"/>
    <w:rsid w:val="00B408D2"/>
    <w:pPr>
      <w:numPr>
        <w:numId w:val="7"/>
      </w:numPr>
    </w:pPr>
  </w:style>
  <w:style w:type="paragraph" w:styleId="ListNumber5">
    <w:name w:val="List Number 5"/>
    <w:basedOn w:val="List5"/>
    <w:rsid w:val="00B408D2"/>
    <w:pPr>
      <w:numPr>
        <w:numId w:val="8"/>
      </w:numPr>
    </w:pPr>
  </w:style>
  <w:style w:type="paragraph" w:styleId="BlockText">
    <w:name w:val="Block Text"/>
    <w:basedOn w:val="Normal"/>
    <w:rsid w:val="00B408D2"/>
    <w:pPr>
      <w:spacing w:after="120"/>
      <w:ind w:left="1440" w:right="1440"/>
    </w:pPr>
  </w:style>
  <w:style w:type="character" w:customStyle="1" w:styleId="Subscript">
    <w:name w:val="Subscript"/>
    <w:basedOn w:val="DefaultParagraphFont"/>
    <w:rsid w:val="00B408D2"/>
    <w:rPr>
      <w:sz w:val="16"/>
      <w:vertAlign w:val="subscript"/>
    </w:rPr>
  </w:style>
  <w:style w:type="character" w:customStyle="1" w:styleId="Superscript">
    <w:name w:val="Superscript"/>
    <w:basedOn w:val="DefaultParagraphFont"/>
    <w:rsid w:val="00B408D2"/>
    <w:rPr>
      <w:sz w:val="16"/>
      <w:vertAlign w:val="superscript"/>
    </w:rPr>
  </w:style>
  <w:style w:type="character" w:customStyle="1" w:styleId="Symbols">
    <w:name w:val="Symbols"/>
    <w:basedOn w:val="DefaultParagraphFont"/>
    <w:rsid w:val="00B408D2"/>
    <w:rPr>
      <w:rFonts w:ascii="Symbol" w:hAnsi="Symbol"/>
    </w:rPr>
  </w:style>
  <w:style w:type="character" w:customStyle="1" w:styleId="MenuOptions">
    <w:name w:val="Menu Options"/>
    <w:basedOn w:val="DefaultParagraphFont"/>
    <w:rsid w:val="00B408D2"/>
    <w:rPr>
      <w:rFonts w:ascii="Arial Narrow" w:hAnsi="Arial Narrow"/>
      <w:smallCaps/>
    </w:rPr>
  </w:style>
  <w:style w:type="character" w:customStyle="1" w:styleId="Buttons">
    <w:name w:val="Buttons"/>
    <w:basedOn w:val="DefaultParagraphFont"/>
    <w:rsid w:val="00B408D2"/>
    <w:rPr>
      <w:b/>
    </w:rPr>
  </w:style>
  <w:style w:type="character" w:customStyle="1" w:styleId="Underlined">
    <w:name w:val="Underlined"/>
    <w:basedOn w:val="DefaultParagraphFont"/>
    <w:rsid w:val="00B408D2"/>
    <w:rPr>
      <w:u w:val="single"/>
    </w:rPr>
  </w:style>
  <w:style w:type="paragraph" w:customStyle="1" w:styleId="TableBodyTextRight">
    <w:name w:val="Table Body Text Right"/>
    <w:basedOn w:val="TableBodyText"/>
    <w:rsid w:val="00B408D2"/>
    <w:pPr>
      <w:widowControl w:val="0"/>
      <w:autoSpaceDE w:val="0"/>
      <w:autoSpaceDN w:val="0"/>
      <w:adjustRightInd w:val="0"/>
      <w:jc w:val="right"/>
    </w:pPr>
    <w:rPr>
      <w:rFonts w:cs="Arial"/>
      <w:szCs w:val="18"/>
    </w:rPr>
  </w:style>
  <w:style w:type="paragraph" w:customStyle="1" w:styleId="CopyrightText">
    <w:name w:val="Copyright Text"/>
    <w:basedOn w:val="BodyText"/>
    <w:rsid w:val="00B408D2"/>
    <w:rPr>
      <w:sz w:val="18"/>
    </w:rPr>
  </w:style>
  <w:style w:type="paragraph" w:customStyle="1" w:styleId="BodySmallRight">
    <w:name w:val="Body Small Right"/>
    <w:basedOn w:val="BodyTextRight"/>
    <w:rsid w:val="00B408D2"/>
    <w:rPr>
      <w:sz w:val="18"/>
      <w:szCs w:val="18"/>
    </w:rPr>
  </w:style>
  <w:style w:type="paragraph" w:customStyle="1" w:styleId="MarginEdition">
    <w:name w:val="Margin Edition"/>
    <w:basedOn w:val="MarginNote"/>
    <w:rsid w:val="00B408D2"/>
    <w:pPr>
      <w:spacing w:before="0" w:after="0"/>
    </w:pPr>
    <w:rPr>
      <w:rFonts w:ascii="Times New Roman" w:hAnsi="Times New Roman"/>
      <w:color w:val="999999"/>
    </w:rPr>
  </w:style>
  <w:style w:type="paragraph" w:customStyle="1" w:styleId="Spacer">
    <w:name w:val="Spacer"/>
    <w:basedOn w:val="Normal"/>
    <w:rsid w:val="00B408D2"/>
    <w:rPr>
      <w:sz w:val="2"/>
      <w:szCs w:val="2"/>
    </w:rPr>
  </w:style>
  <w:style w:type="character" w:customStyle="1" w:styleId="Small">
    <w:name w:val="Small"/>
    <w:basedOn w:val="DefaultParagraphFont"/>
    <w:rsid w:val="00B408D2"/>
    <w:rPr>
      <w:sz w:val="16"/>
    </w:rPr>
  </w:style>
  <w:style w:type="paragraph" w:customStyle="1" w:styleId="WideTable">
    <w:name w:val="Wide Table"/>
    <w:basedOn w:val="Normal"/>
    <w:rsid w:val="00B408D2"/>
    <w:pPr>
      <w:ind w:left="-1418"/>
    </w:pPr>
    <w:rPr>
      <w:sz w:val="2"/>
      <w:szCs w:val="2"/>
    </w:rPr>
  </w:style>
  <w:style w:type="character" w:styleId="PageNumber">
    <w:name w:val="page number"/>
    <w:basedOn w:val="DefaultParagraphFont"/>
    <w:rsid w:val="00B408D2"/>
  </w:style>
  <w:style w:type="paragraph" w:styleId="Quote">
    <w:name w:val="Quote"/>
    <w:basedOn w:val="Heading1"/>
    <w:link w:val="QuoteChar"/>
    <w:qFormat/>
    <w:rsid w:val="00B408D2"/>
    <w:rPr>
      <w:b w:val="0"/>
      <w:sz w:val="72"/>
      <w:szCs w:val="72"/>
      <w:lang w:val="en-NZ"/>
    </w:rPr>
  </w:style>
  <w:style w:type="character" w:customStyle="1" w:styleId="QuoteChar">
    <w:name w:val="Quote Char"/>
    <w:basedOn w:val="DefaultParagraphFont"/>
    <w:link w:val="Quote"/>
    <w:rsid w:val="00B40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8D2"/>
    <w:pPr>
      <w:pageBreakBefore/>
    </w:pPr>
  </w:style>
  <w:style w:type="paragraph" w:customStyle="1" w:styleId="Border">
    <w:name w:val="Border"/>
    <w:basedOn w:val="Normal"/>
    <w:qFormat/>
    <w:rsid w:val="00B40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8D2"/>
    <w:rPr>
      <w:b/>
      <w:bCs/>
      <w:i/>
      <w:iCs/>
      <w:color w:val="auto"/>
    </w:rPr>
  </w:style>
  <w:style w:type="paragraph" w:styleId="IntenseQuote">
    <w:name w:val="Intense Quote"/>
    <w:basedOn w:val="Normal"/>
    <w:next w:val="Normal"/>
    <w:link w:val="IntenseQuoteChar"/>
    <w:uiPriority w:val="30"/>
    <w:qFormat/>
    <w:rsid w:val="00B40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8D2"/>
    <w:rPr>
      <w:smallCaps/>
      <w:color w:val="auto"/>
      <w:u w:val="single"/>
    </w:rPr>
  </w:style>
  <w:style w:type="character" w:styleId="IntenseReference">
    <w:name w:val="Intense Reference"/>
    <w:basedOn w:val="DefaultParagraphFont"/>
    <w:uiPriority w:val="32"/>
    <w:qFormat/>
    <w:rsid w:val="00B408D2"/>
    <w:rPr>
      <w:b/>
      <w:bCs/>
      <w:smallCaps/>
      <w:color w:val="auto"/>
      <w:spacing w:val="5"/>
      <w:u w:val="single"/>
    </w:rPr>
  </w:style>
  <w:style w:type="paragraph" w:customStyle="1" w:styleId="2ColumnHeading">
    <w:name w:val="2Column Heading"/>
    <w:basedOn w:val="BodyText"/>
    <w:qFormat/>
    <w:rsid w:val="00B408D2"/>
    <w:pPr>
      <w:spacing w:after="60"/>
      <w:ind w:left="-2268"/>
    </w:pPr>
    <w:rPr>
      <w:b/>
    </w:rPr>
  </w:style>
  <w:style w:type="paragraph" w:customStyle="1" w:styleId="Heading1TOC">
    <w:name w:val="Heading1 TOC"/>
    <w:basedOn w:val="Normal"/>
    <w:qFormat/>
    <w:rsid w:val="00B408D2"/>
    <w:pPr>
      <w:spacing w:before="240" w:after="120"/>
    </w:pPr>
    <w:rPr>
      <w:rFonts w:ascii="Times New Roman" w:hAnsi="Times New Roman"/>
      <w:b/>
      <w:sz w:val="32"/>
    </w:rPr>
  </w:style>
  <w:style w:type="paragraph" w:customStyle="1" w:styleId="Heading2TOC">
    <w:name w:val="Heading2 TOC"/>
    <w:basedOn w:val="Normal"/>
    <w:qFormat/>
    <w:rsid w:val="00B408D2"/>
    <w:pPr>
      <w:spacing w:before="240" w:after="60"/>
    </w:pPr>
    <w:rPr>
      <w:rFonts w:ascii="Times New Roman" w:hAnsi="Times New Roman"/>
      <w:b/>
      <w:sz w:val="28"/>
    </w:rPr>
  </w:style>
  <w:style w:type="character" w:customStyle="1" w:styleId="Underline">
    <w:name w:val="Underline"/>
    <w:basedOn w:val="DefaultParagraphFont"/>
    <w:qFormat/>
    <w:rsid w:val="00B408D2"/>
    <w:rPr>
      <w:u w:val="single"/>
    </w:rPr>
  </w:style>
  <w:style w:type="paragraph" w:styleId="BalloonText">
    <w:name w:val="Balloon Text"/>
    <w:basedOn w:val="Normal"/>
    <w:link w:val="BalloonTextChar"/>
    <w:rsid w:val="00B408D2"/>
    <w:rPr>
      <w:rFonts w:ascii="Tahoma" w:hAnsi="Tahoma" w:cs="Tahoma"/>
      <w:sz w:val="16"/>
      <w:szCs w:val="16"/>
    </w:rPr>
  </w:style>
  <w:style w:type="character" w:customStyle="1" w:styleId="BalloonTextChar">
    <w:name w:val="Balloon Text Char"/>
    <w:basedOn w:val="DefaultParagraphFont"/>
    <w:link w:val="BalloonText"/>
    <w:rsid w:val="00B40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8D2"/>
    <w:rPr>
      <w:b/>
      <w:color w:val="660033"/>
      <w:spacing w:val="0"/>
    </w:rPr>
  </w:style>
  <w:style w:type="paragraph" w:customStyle="1" w:styleId="Nameditemlist">
    <w:name w:val="Named item list"/>
    <w:basedOn w:val="BodyText"/>
    <w:qFormat/>
    <w:rsid w:val="00B408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2137</Words>
  <Characters>14265</Characters>
  <Application>Microsoft Office Word</Application>
  <DocSecurity>0</DocSecurity>
  <Lines>570</Lines>
  <Paragraphs>410</Paragraphs>
  <ScaleCrop>false</ScaleCrop>
  <Company>Author-it Software Corporation Ltd.</Company>
  <LinksUpToDate>false</LinksUpToDate>
  <CharactersWithSpaces>15992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CPPHSA4012A Conduct NatHERS assessment of planned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2012-09-29T15:36:00Z</dcterms:created>
  <dcterms:modified xsi:type="dcterms:W3CDTF">2012-09-29T15:37:00Z</dcterms:modified>
</cp:coreProperties>
</file>