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BA9" w:rsidP="00F31BA9">
      <w:pPr>
        <w:pStyle w:val="Title"/>
      </w:pPr>
      <w:bookmarkStart w:id="0" w:name="_GoBack"/>
      <w:bookmarkEnd w:id="0"/>
      <w:r>
        <w:fldChar w:fldCharType="begin"/>
      </w:r>
      <w:r>
        <w:instrText xml:space="preserve"> TITLE   \* MERGEFORMAT </w:instrText>
      </w:r>
      <w:r>
        <w:fldChar w:fldCharType="separate"/>
      </w:r>
      <w:r>
        <w:t>CPPFES3044A Interpret installation requirements for gaseous fire-suppression systems</w:t>
      </w:r>
      <w:r>
        <w:fldChar w:fldCharType="end"/>
      </w:r>
    </w:p>
    <w:p w:rsidR="00F31BA9" w:rsidP="00F31BA9">
      <w:pPr>
        <w:pStyle w:val="Version"/>
        <w:sectPr w:rsidSect="001E36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675" w:rsidP="001E3675">
      <w:pPr>
        <w:pStyle w:val="SuperHeading"/>
      </w:pPr>
      <w:r w:rsidRPr="001E3675">
        <w:t>CPPFES3044A Interpret installation requirements for gaseous fire-suppression systems</w:t>
      </w:r>
    </w:p>
    <w:p w:rsidR="00000000" w:rsidRPr="001E3675" w:rsidP="001E3675">
      <w:pPr>
        <w:pStyle w:val="Heading1"/>
      </w:pPr>
      <w:bookmarkStart w:id="1" w:name="O_365219"/>
      <w:bookmarkEnd w:id="1"/>
      <w:r w:rsidRPr="001E3675">
        <w:t>Modification History</w:t>
      </w:r>
    </w:p>
    <w:p w:rsidR="00000000" w:rsidRPr="001E3675" w:rsidP="001E3675">
      <w:pPr>
        <w:pStyle w:val="BodyText"/>
      </w:pPr>
      <w:r w:rsidRPr="001E3675">
        <w:t>Revised unit</w:t>
      </w:r>
    </w:p>
    <w:p w:rsidR="00F31BA9" w:rsidP="001E3675">
      <w:pPr>
        <w:pStyle w:val="BodyText"/>
      </w:pPr>
      <w:r w:rsidRPr="001E3675">
        <w:t xml:space="preserve">Unit updated and equivalent to </w:t>
      </w:r>
      <w:r w:rsidRPr="001E3675">
        <w:t>PRMPFES44A Interpret installation requirements for gaseous fire suppression systems</w:t>
      </w:r>
    </w:p>
    <w:p w:rsidR="00F31BA9" w:rsidP="001E3675">
      <w:pPr>
        <w:pStyle w:val="BodyText"/>
      </w:pPr>
    </w:p>
    <w:p w:rsidR="00000000" w:rsidRPr="001E3675" w:rsidP="001E3675">
      <w:pPr>
        <w:pStyle w:val="Heading1"/>
      </w:pPr>
      <w:bookmarkStart w:id="2" w:name="O_365220"/>
      <w:bookmarkEnd w:id="2"/>
      <w:r w:rsidRPr="001E3675">
        <w:t>Unit Descriptor</w:t>
      </w:r>
    </w:p>
    <w:p w:rsidR="00000000" w:rsidRPr="001E3675" w:rsidP="001E3675">
      <w:pPr>
        <w:pStyle w:val="BodyText"/>
      </w:pPr>
      <w:r w:rsidRPr="001E3675">
        <w:t>This unit of competency specifies the outcomes required to read and interpret plans, drawings and specifications relevant to the installat</w:t>
      </w:r>
      <w:r w:rsidRPr="001E3675">
        <w:t>ion of gaseous fire-suppression systems. The unit covers the skills and knowledge required to identify plans and drawings and their functions, recognise commonly used symbols and abbreviations, identify key features and specifications on design documentati</w:t>
      </w:r>
      <w:r w:rsidRPr="001E3675">
        <w:t>on and installation drawings, read job specifications and recognise document status and amendment details.</w:t>
      </w:r>
    </w:p>
    <w:p w:rsidR="00F31BA9" w:rsidP="001E3675">
      <w:pPr>
        <w:pStyle w:val="BodyText"/>
      </w:pPr>
      <w:r w:rsidRPr="001E3675">
        <w:t>The unit supports one or more extinguishing agent handling licences prescribed under the Ozone Protection and Synthetic Greenhouse Gas Management Act</w:t>
      </w:r>
      <w:r w:rsidRPr="001E3675">
        <w:t xml:space="preserve"> 1989.</w:t>
      </w:r>
    </w:p>
    <w:p w:rsidR="00F31BA9" w:rsidP="001E3675">
      <w:pPr>
        <w:pStyle w:val="BodyText"/>
      </w:pPr>
    </w:p>
    <w:p w:rsidR="00000000" w:rsidRPr="001E3675" w:rsidP="001E3675">
      <w:pPr>
        <w:pStyle w:val="Heading1"/>
      </w:pPr>
      <w:bookmarkStart w:id="3" w:name="O_365221"/>
      <w:bookmarkEnd w:id="3"/>
      <w:r w:rsidRPr="001E3675">
        <w:t>Application of the Unit</w:t>
      </w:r>
    </w:p>
    <w:p w:rsidR="00000000" w:rsidRPr="001E3675" w:rsidP="001E3675">
      <w:pPr>
        <w:pStyle w:val="BodyText"/>
      </w:pPr>
      <w:r w:rsidRPr="001E3675">
        <w:t>This unit of competency supports fire protection technicians responsible for interpreting installation requirements for gaseous fire-suppression systems.</w:t>
      </w:r>
    </w:p>
    <w:p w:rsidR="00000000" w:rsidRPr="001E3675" w:rsidP="001E3675">
      <w:pPr>
        <w:pStyle w:val="AllowPageBreak"/>
      </w:pPr>
    </w:p>
    <w:p w:rsidR="00000000" w:rsidRPr="001E3675" w:rsidP="001E3675">
      <w:pPr>
        <w:pStyle w:val="Heading1"/>
      </w:pPr>
      <w:bookmarkStart w:id="4" w:name="O_365222"/>
      <w:bookmarkEnd w:id="4"/>
      <w:r w:rsidRPr="001E3675">
        <w:t>Licensing/Regulatory Information</w:t>
      </w:r>
    </w:p>
    <w:p w:rsidR="00000000" w:rsidRPr="001E3675" w:rsidP="001E3675">
      <w:pPr>
        <w:pStyle w:val="BodyText"/>
      </w:pPr>
      <w:r w:rsidRPr="001E3675">
        <w:t>Different states and territories may have regulatory mechanisms that apply to this unit. Candidates are advised to check for regulatory limitations.</w:t>
      </w:r>
    </w:p>
    <w:p w:rsidR="00000000" w:rsidRPr="001E3675" w:rsidP="001E3675">
      <w:pPr>
        <w:pStyle w:val="AllowPageBreak"/>
      </w:pPr>
    </w:p>
    <w:p w:rsidR="00000000" w:rsidRPr="001E3675" w:rsidP="001E3675">
      <w:pPr>
        <w:pStyle w:val="Heading1"/>
      </w:pPr>
      <w:bookmarkStart w:id="5" w:name="O_365223"/>
      <w:bookmarkEnd w:id="5"/>
      <w:r w:rsidRPr="001E3675">
        <w:t>Pre-Requisites</w:t>
      </w:r>
    </w:p>
    <w:p w:rsidR="00000000" w:rsidRPr="001E3675" w:rsidP="001E3675">
      <w:pPr>
        <w:pStyle w:val="BodyText"/>
      </w:pPr>
      <w:r w:rsidRPr="001E3675">
        <w:t>Not applicable.</w:t>
      </w:r>
    </w:p>
    <w:p w:rsidR="00000000" w:rsidRPr="001E3675" w:rsidP="001E3675">
      <w:pPr>
        <w:pStyle w:val="AllowPageBreak"/>
      </w:pPr>
    </w:p>
    <w:p w:rsidR="00000000" w:rsidRPr="001E3675" w:rsidP="001E3675">
      <w:pPr>
        <w:pStyle w:val="Heading1"/>
      </w:pPr>
      <w:bookmarkStart w:id="6" w:name="O_365224"/>
      <w:bookmarkEnd w:id="6"/>
      <w:r w:rsidRPr="001E3675">
        <w:t>Employability Skills Information</w:t>
      </w:r>
    </w:p>
    <w:p w:rsidR="00000000" w:rsidRPr="001E3675" w:rsidP="001E3675">
      <w:pPr>
        <w:pStyle w:val="BodyText"/>
      </w:pPr>
      <w:r w:rsidRPr="001E3675">
        <w:t>This unit</w:t>
      </w:r>
      <w:r w:rsidRPr="001E3675">
        <w:t xml:space="preserve"> contains employability skills.</w:t>
      </w:r>
    </w:p>
    <w:p w:rsidR="00000000" w:rsidRPr="001E3675" w:rsidP="001E3675">
      <w:pPr>
        <w:pStyle w:val="AllowPageBreak"/>
      </w:pPr>
    </w:p>
    <w:p w:rsidR="00000000" w:rsidRPr="001E3675" w:rsidP="001E3675">
      <w:pPr>
        <w:pStyle w:val="Heading1"/>
      </w:pPr>
      <w:bookmarkStart w:id="7" w:name="O_365225"/>
      <w:bookmarkEnd w:id="7"/>
      <w:r w:rsidRPr="001E3675">
        <w:t>Elements and Performance Criteria Pre-Content</w:t>
      </w:r>
    </w:p>
    <w:tbl>
      <w:tblPr>
        <w:tblW w:w="0" w:type="auto"/>
        <w:tblLayout w:type="fixed"/>
        <w:tblCellMar>
          <w:left w:w="62" w:type="dxa"/>
          <w:right w:w="62" w:type="dxa"/>
        </w:tblCellMar>
        <w:tblLook w:val="0000"/>
      </w:tblPr>
      <w:tblGrid>
        <w:gridCol w:w="2640"/>
        <w:gridCol w:w="6380"/>
      </w:tblGrid>
      <w:tr w:rsidTr="001E367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E3675" w:rsidP="001E3675">
            <w:pPr>
              <w:pStyle w:val="BodyText"/>
            </w:pPr>
            <w:r w:rsidRPr="001E3675">
              <w:t>Performance criteria describe the performance needed to demonstrate achievement of the element.</w:t>
            </w:r>
            <w:r w:rsidRPr="001E3675">
              <w:t xml:space="preserve"> Where bold italicised text is used, further information is detailed in the required skills and knowledge section and the range statement. Assessment of performance is to be consistent with the evidence guide.</w:t>
            </w:r>
          </w:p>
        </w:tc>
      </w:tr>
    </w:tbl>
    <w:p w:rsidR="00000000" w:rsidRPr="001E3675" w:rsidP="001E3675">
      <w:pPr>
        <w:pStyle w:val="BodyText"/>
      </w:pPr>
    </w:p>
    <w:p w:rsidR="00000000" w:rsidRPr="001E3675" w:rsidP="001E3675">
      <w:pPr>
        <w:pStyle w:val="AllowPageBreak"/>
      </w:pPr>
    </w:p>
    <w:p w:rsidR="00000000" w:rsidRPr="001E3675" w:rsidP="001E3675">
      <w:pPr>
        <w:pStyle w:val="Heading1"/>
      </w:pPr>
      <w:bookmarkStart w:id="8" w:name="O_365226"/>
      <w:bookmarkEnd w:id="8"/>
      <w:r w:rsidRPr="001E3675">
        <w:t>Elements and Performance Cr</w:t>
      </w:r>
      <w:r w:rsidRPr="001E3675">
        <w:t>iteria</w:t>
      </w:r>
    </w:p>
    <w:tbl>
      <w:tblPr>
        <w:tblW w:w="0" w:type="auto"/>
        <w:tblLayout w:type="fixed"/>
        <w:tblCellMar>
          <w:left w:w="62" w:type="dxa"/>
          <w:right w:w="62" w:type="dxa"/>
        </w:tblCellMar>
        <w:tblLook w:val="0000"/>
      </w:tblPr>
      <w:tblGrid>
        <w:gridCol w:w="678"/>
        <w:gridCol w:w="1962"/>
        <w:gridCol w:w="770"/>
        <w:gridCol w:w="5610"/>
      </w:tblGrid>
      <w:tr w:rsidTr="001E36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1</w:t>
            </w:r>
          </w:p>
        </w:tc>
        <w:tc>
          <w:tcPr>
            <w:tcW w:w="1962" w:type="dxa"/>
            <w:vMerge w:val="restart"/>
            <w:tcBorders>
              <w:top w:val="nil"/>
              <w:left w:val="nil"/>
              <w:bottom w:val="nil"/>
              <w:right w:val="nil"/>
            </w:tcBorders>
            <w:tcMar>
              <w:top w:w="0" w:type="dxa"/>
              <w:left w:w="62" w:type="dxa"/>
              <w:bottom w:w="0" w:type="dxa"/>
              <w:right w:w="62" w:type="dxa"/>
            </w:tcMar>
          </w:tcPr>
          <w:p w:rsidR="00000000" w:rsidRPr="001E3675" w:rsidP="001E3675">
            <w:pPr>
              <w:pStyle w:val="BodyText"/>
            </w:pPr>
            <w:r w:rsidRPr="001E3675">
              <w:t>Interpret installation drawings and check compliance.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1.1</w:t>
            </w:r>
          </w:p>
        </w:tc>
        <w:tc>
          <w:tcPr>
            <w:tcW w:w="561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 xml:space="preserve">Knowledge of </w:t>
            </w:r>
            <w:r w:rsidRPr="001E3675">
              <w:rPr>
                <w:rStyle w:val="BoldandItalics"/>
              </w:rPr>
              <w:t>system design requirements</w:t>
            </w:r>
            <w:r w:rsidRPr="001E3675">
              <w:t xml:space="preserve"> and Australian standards is applied to interpretation of </w:t>
            </w:r>
            <w:r w:rsidRPr="001E3675">
              <w:rPr>
                <w:rStyle w:val="BoldandItalics"/>
              </w:rPr>
              <w:t>installation drawings</w:t>
            </w:r>
            <w:r w:rsidRPr="001E3675">
              <w:t xml:space="preserve"> for gaseous fire-suppression systems.</w:t>
            </w:r>
          </w:p>
        </w:tc>
      </w:tr>
      <w:tr w:rsidTr="001E36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1.2</w:t>
            </w:r>
          </w:p>
        </w:tc>
        <w:tc>
          <w:tcPr>
            <w:tcW w:w="5610" w:type="dxa"/>
            <w:tcBorders>
              <w:top w:val="nil"/>
              <w:left w:val="nil"/>
              <w:bottom w:val="nil"/>
              <w:right w:val="nil"/>
            </w:tcBorders>
            <w:tcMar>
              <w:top w:w="0" w:type="dxa"/>
              <w:left w:w="62" w:type="dxa"/>
              <w:bottom w:w="0" w:type="dxa"/>
              <w:right w:w="62" w:type="dxa"/>
            </w:tcMar>
          </w:tcPr>
          <w:p w:rsidR="00000000" w:rsidRPr="001E3675" w:rsidP="001E3675">
            <w:pPr>
              <w:pStyle w:val="BodyText"/>
            </w:pPr>
            <w:r w:rsidRPr="001E3675">
              <w:t xml:space="preserve">Potential and actual breaches of system design requirements and Australian standards are identified and </w:t>
            </w:r>
            <w:r w:rsidRPr="001E3675">
              <w:rPr>
                <w:rStyle w:val="BoldandItalics"/>
              </w:rPr>
              <w:t>action</w:t>
            </w:r>
            <w:r w:rsidRPr="001E3675">
              <w:t xml:space="preserve"> is taken according to </w:t>
            </w:r>
            <w:r w:rsidRPr="001E3675">
              <w:rPr>
                <w:rStyle w:val="BoldandItalics"/>
              </w:rPr>
              <w:t>organisational requirements</w:t>
            </w:r>
            <w:r w:rsidRPr="001E3675">
              <w:t>.</w:t>
            </w:r>
          </w:p>
        </w:tc>
      </w:tr>
    </w:tbl>
    <w:p w:rsidR="00000000" w:rsidRPr="001E3675" w:rsidP="001E3675">
      <w:pPr>
        <w:pStyle w:val="BodyText"/>
      </w:pPr>
    </w:p>
    <w:tbl>
      <w:tblPr>
        <w:tblW w:w="0" w:type="auto"/>
        <w:tblLayout w:type="fixed"/>
        <w:tblCellMar>
          <w:left w:w="62" w:type="dxa"/>
          <w:right w:w="62" w:type="dxa"/>
        </w:tblCellMar>
        <w:tblLook w:val="0000"/>
      </w:tblPr>
      <w:tblGrid>
        <w:gridCol w:w="678"/>
        <w:gridCol w:w="1962"/>
        <w:gridCol w:w="770"/>
        <w:gridCol w:w="5610"/>
      </w:tblGrid>
      <w:tr w:rsidTr="001E36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2</w:t>
            </w:r>
          </w:p>
        </w:tc>
        <w:tc>
          <w:tcPr>
            <w:tcW w:w="1962" w:type="dxa"/>
            <w:vMerge w:val="restart"/>
            <w:tcBorders>
              <w:top w:val="nil"/>
              <w:left w:val="nil"/>
              <w:bottom w:val="nil"/>
              <w:right w:val="nil"/>
            </w:tcBorders>
            <w:tcMar>
              <w:top w:w="0" w:type="dxa"/>
              <w:left w:w="62" w:type="dxa"/>
              <w:bottom w:w="0" w:type="dxa"/>
              <w:right w:w="62" w:type="dxa"/>
            </w:tcMar>
          </w:tcPr>
          <w:p w:rsidR="00000000" w:rsidRPr="001E3675" w:rsidP="001E3675">
            <w:pPr>
              <w:pStyle w:val="BodyText"/>
            </w:pPr>
            <w:r w:rsidRPr="001E3675">
              <w:t>Identify types of drawings and their functions.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2.1</w:t>
            </w:r>
          </w:p>
        </w:tc>
        <w:tc>
          <w:tcPr>
            <w:tcW w:w="561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 xml:space="preserve">Main </w:t>
            </w:r>
            <w:r w:rsidRPr="001E3675">
              <w:rPr>
                <w:rStyle w:val="BoldandItalics"/>
              </w:rPr>
              <w:t>types of drawings</w:t>
            </w:r>
            <w:r w:rsidRPr="001E3675">
              <w:t xml:space="preserve"> used in fire p</w:t>
            </w:r>
            <w:r w:rsidRPr="001E3675">
              <w:t>rotection industry are identified.</w:t>
            </w:r>
          </w:p>
        </w:tc>
      </w:tr>
      <w:tr w:rsidTr="001E36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E3675" w:rsidP="001E3675">
            <w:pPr>
              <w:pStyle w:val="BodyText"/>
            </w:pPr>
            <w:r w:rsidRPr="001E3675">
              <w:t>2.2</w:t>
            </w:r>
          </w:p>
        </w:tc>
        <w:tc>
          <w:tcPr>
            <w:tcW w:w="561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rPr>
                <w:rStyle w:val="BoldandItalics"/>
              </w:rPr>
              <w:t>Key functions of each drawing type</w:t>
            </w:r>
            <w:r w:rsidRPr="001E3675">
              <w:t xml:space="preserve"> are identified. </w:t>
            </w:r>
          </w:p>
        </w:tc>
      </w:tr>
      <w:tr w:rsidTr="001E36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E3675" w:rsidP="001E3675">
            <w:pPr>
              <w:pStyle w:val="BodyText"/>
            </w:pPr>
            <w:r w:rsidRPr="001E3675">
              <w:t>2.3</w:t>
            </w:r>
          </w:p>
        </w:tc>
        <w:tc>
          <w:tcPr>
            <w:tcW w:w="561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rPr>
                <w:rStyle w:val="BoldandItalics"/>
              </w:rPr>
              <w:t>Key users of each drawing type</w:t>
            </w:r>
            <w:r w:rsidRPr="001E3675">
              <w:t xml:space="preserve"> are identified.</w:t>
            </w:r>
          </w:p>
        </w:tc>
      </w:tr>
      <w:tr w:rsidTr="001E36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2.4</w:t>
            </w:r>
          </w:p>
        </w:tc>
        <w:tc>
          <w:tcPr>
            <w:tcW w:w="5610" w:type="dxa"/>
            <w:tcBorders>
              <w:top w:val="nil"/>
              <w:left w:val="nil"/>
              <w:bottom w:val="nil"/>
              <w:right w:val="nil"/>
            </w:tcBorders>
            <w:tcMar>
              <w:top w:w="0" w:type="dxa"/>
              <w:left w:w="62" w:type="dxa"/>
              <w:bottom w:w="0" w:type="dxa"/>
              <w:right w:w="62" w:type="dxa"/>
            </w:tcMar>
          </w:tcPr>
          <w:p w:rsidR="00000000" w:rsidRPr="001E3675" w:rsidP="001E3675">
            <w:pPr>
              <w:pStyle w:val="BodyText"/>
            </w:pPr>
            <w:r w:rsidRPr="001E3675">
              <w:t xml:space="preserve">Company </w:t>
            </w:r>
            <w:r w:rsidRPr="001E3675">
              <w:rPr>
                <w:rStyle w:val="BoldandItalics"/>
              </w:rPr>
              <w:t>quality requirements</w:t>
            </w:r>
            <w:r w:rsidRPr="001E3675">
              <w:t xml:space="preserve"> are identified and followed.</w:t>
            </w:r>
          </w:p>
        </w:tc>
      </w:tr>
    </w:tbl>
    <w:p w:rsidR="00000000" w:rsidRPr="001E3675" w:rsidP="001E3675">
      <w:pPr>
        <w:pStyle w:val="BodyText"/>
      </w:pPr>
    </w:p>
    <w:tbl>
      <w:tblPr>
        <w:tblW w:w="0" w:type="auto"/>
        <w:tblLayout w:type="fixed"/>
        <w:tblCellMar>
          <w:left w:w="62" w:type="dxa"/>
          <w:right w:w="62" w:type="dxa"/>
        </w:tblCellMar>
        <w:tblLook w:val="0000"/>
      </w:tblPr>
      <w:tblGrid>
        <w:gridCol w:w="678"/>
        <w:gridCol w:w="1962"/>
        <w:gridCol w:w="770"/>
        <w:gridCol w:w="5610"/>
      </w:tblGrid>
      <w:tr w:rsidTr="001E36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3</w:t>
            </w:r>
          </w:p>
        </w:tc>
        <w:tc>
          <w:tcPr>
            <w:tcW w:w="1962" w:type="dxa"/>
            <w:vMerge w:val="restart"/>
            <w:tcBorders>
              <w:top w:val="nil"/>
              <w:left w:val="nil"/>
              <w:bottom w:val="nil"/>
              <w:right w:val="nil"/>
            </w:tcBorders>
            <w:tcMar>
              <w:top w:w="0" w:type="dxa"/>
              <w:left w:w="62" w:type="dxa"/>
              <w:bottom w:w="0" w:type="dxa"/>
              <w:right w:w="62" w:type="dxa"/>
            </w:tcMar>
          </w:tcPr>
          <w:p w:rsidR="00000000" w:rsidRPr="001E3675" w:rsidP="001E3675">
            <w:pPr>
              <w:pStyle w:val="BodyText"/>
            </w:pPr>
            <w:r w:rsidRPr="001E3675">
              <w:t>Recognise commonly used symbols, abbreviations and amendments.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3.1</w:t>
            </w:r>
          </w:p>
        </w:tc>
        <w:tc>
          <w:tcPr>
            <w:tcW w:w="561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 xml:space="preserve">Commonly used </w:t>
            </w:r>
            <w:r w:rsidRPr="001E3675">
              <w:rPr>
                <w:rStyle w:val="BoldandItalics"/>
              </w:rPr>
              <w:t>fire protection symbols and abbreviations</w:t>
            </w:r>
            <w:r w:rsidRPr="001E3675">
              <w:t xml:space="preserve"> are identified.</w:t>
            </w:r>
          </w:p>
        </w:tc>
      </w:tr>
      <w:tr w:rsidTr="001E36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3.2</w:t>
            </w:r>
          </w:p>
        </w:tc>
        <w:tc>
          <w:tcPr>
            <w:tcW w:w="561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Drawing legend is located and symbols and abbreviations are interpreted.</w:t>
            </w:r>
          </w:p>
        </w:tc>
      </w:tr>
      <w:tr w:rsidTr="001E36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3.3</w:t>
            </w:r>
          </w:p>
        </w:tc>
        <w:tc>
          <w:tcPr>
            <w:tcW w:w="561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Amendments to drawings are checked and verified.</w:t>
            </w:r>
          </w:p>
        </w:tc>
      </w:tr>
      <w:tr w:rsidTr="001E36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3.4</w:t>
            </w:r>
          </w:p>
        </w:tc>
        <w:tc>
          <w:tcPr>
            <w:tcW w:w="561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Amendments to specifications and currency of information are checked.</w:t>
            </w:r>
          </w:p>
        </w:tc>
      </w:tr>
      <w:tr w:rsidTr="001E36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3.5</w:t>
            </w:r>
          </w:p>
        </w:tc>
        <w:tc>
          <w:tcPr>
            <w:tcW w:w="5610" w:type="dxa"/>
            <w:tcBorders>
              <w:top w:val="nil"/>
              <w:left w:val="nil"/>
              <w:bottom w:val="nil"/>
              <w:right w:val="nil"/>
            </w:tcBorders>
            <w:tcMar>
              <w:top w:w="0" w:type="dxa"/>
              <w:left w:w="62" w:type="dxa"/>
              <w:bottom w:w="0" w:type="dxa"/>
              <w:right w:w="62" w:type="dxa"/>
            </w:tcMar>
          </w:tcPr>
          <w:p w:rsidR="00000000" w:rsidRPr="001E3675" w:rsidP="001E3675">
            <w:pPr>
              <w:pStyle w:val="BodyText"/>
            </w:pPr>
            <w:r w:rsidRPr="001E3675">
              <w:t>Drawing is checked and verified as latest amendment.</w:t>
            </w:r>
          </w:p>
        </w:tc>
      </w:tr>
    </w:tbl>
    <w:p w:rsidR="00000000" w:rsidRPr="001E3675" w:rsidP="001E3675">
      <w:pPr>
        <w:pStyle w:val="BodyText"/>
      </w:pPr>
    </w:p>
    <w:tbl>
      <w:tblPr>
        <w:tblW w:w="0" w:type="auto"/>
        <w:tblLayout w:type="fixed"/>
        <w:tblCellMar>
          <w:left w:w="62" w:type="dxa"/>
          <w:right w:w="62" w:type="dxa"/>
        </w:tblCellMar>
        <w:tblLook w:val="0000"/>
      </w:tblPr>
      <w:tblGrid>
        <w:gridCol w:w="678"/>
        <w:gridCol w:w="1962"/>
        <w:gridCol w:w="770"/>
        <w:gridCol w:w="5610"/>
      </w:tblGrid>
      <w:tr w:rsidTr="001E36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4</w:t>
            </w:r>
          </w:p>
        </w:tc>
        <w:tc>
          <w:tcPr>
            <w:tcW w:w="1962" w:type="dxa"/>
            <w:vMerge w:val="restart"/>
            <w:tcBorders>
              <w:top w:val="nil"/>
              <w:left w:val="nil"/>
              <w:bottom w:val="nil"/>
              <w:right w:val="nil"/>
            </w:tcBorders>
            <w:tcMar>
              <w:top w:w="0" w:type="dxa"/>
              <w:left w:w="62" w:type="dxa"/>
              <w:bottom w:w="0" w:type="dxa"/>
              <w:right w:w="62" w:type="dxa"/>
            </w:tcMar>
          </w:tcPr>
          <w:p w:rsidR="00000000" w:rsidRPr="001E3675" w:rsidP="001E3675">
            <w:pPr>
              <w:pStyle w:val="BodyText"/>
            </w:pPr>
            <w:r w:rsidRPr="001E3675">
              <w:t>Locate and identify key features on a site installation drawing.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E3675" w:rsidP="001E3675">
            <w:pPr>
              <w:pStyle w:val="BodyText"/>
            </w:pPr>
            <w:r w:rsidRPr="001E3675">
              <w:t>4.1</w:t>
            </w:r>
          </w:p>
        </w:tc>
        <w:tc>
          <w:tcPr>
            <w:tcW w:w="561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rPr>
                <w:rStyle w:val="BoldandItalics"/>
              </w:rPr>
              <w:t>Installation drawing is oriented</w:t>
            </w:r>
            <w:r w:rsidRPr="001E3675">
              <w:t xml:space="preserve"> with site.</w:t>
            </w:r>
          </w:p>
        </w:tc>
      </w:tr>
      <w:tr w:rsidTr="001E36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E3675" w:rsidP="001E3675">
            <w:pPr>
              <w:pStyle w:val="BodyText"/>
            </w:pPr>
            <w:r w:rsidRPr="001E3675">
              <w:t>4.2</w:t>
            </w:r>
          </w:p>
        </w:tc>
        <w:tc>
          <w:tcPr>
            <w:tcW w:w="561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rPr>
                <w:rStyle w:val="BoldandItalics"/>
              </w:rPr>
              <w:t>Key features of installation site</w:t>
            </w:r>
            <w:r w:rsidRPr="001E3675">
              <w:t xml:space="preserve"> are identified and located.</w:t>
            </w:r>
          </w:p>
        </w:tc>
      </w:tr>
      <w:tr w:rsidTr="001E36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4.3</w:t>
            </w:r>
          </w:p>
        </w:tc>
        <w:tc>
          <w:tcPr>
            <w:tcW w:w="561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Installation site is accessed and main installation features and services are identified.</w:t>
            </w:r>
          </w:p>
        </w:tc>
      </w:tr>
      <w:tr w:rsidTr="001E36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4.4</w:t>
            </w:r>
          </w:p>
        </w:tc>
        <w:tc>
          <w:tcPr>
            <w:tcW w:w="5610" w:type="dxa"/>
            <w:tcBorders>
              <w:top w:val="nil"/>
              <w:left w:val="nil"/>
              <w:bottom w:val="nil"/>
              <w:right w:val="nil"/>
            </w:tcBorders>
            <w:tcMar>
              <w:top w:w="0" w:type="dxa"/>
              <w:left w:w="62" w:type="dxa"/>
              <w:bottom w:w="0" w:type="dxa"/>
              <w:right w:w="62" w:type="dxa"/>
            </w:tcMar>
          </w:tcPr>
          <w:p w:rsidR="00000000" w:rsidRPr="001E3675" w:rsidP="001E3675">
            <w:pPr>
              <w:pStyle w:val="BodyText"/>
            </w:pPr>
            <w:r w:rsidRPr="001E3675">
              <w:t>Site measurements are identified on installation drawing and checked against site.</w:t>
            </w:r>
          </w:p>
        </w:tc>
      </w:tr>
    </w:tbl>
    <w:p w:rsidR="00000000" w:rsidRPr="001E3675" w:rsidP="001E3675">
      <w:pPr>
        <w:pStyle w:val="BodyText"/>
      </w:pPr>
    </w:p>
    <w:tbl>
      <w:tblPr>
        <w:tblW w:w="0" w:type="auto"/>
        <w:tblLayout w:type="fixed"/>
        <w:tblCellMar>
          <w:left w:w="62" w:type="dxa"/>
          <w:right w:w="62" w:type="dxa"/>
        </w:tblCellMar>
        <w:tblLook w:val="0000"/>
      </w:tblPr>
      <w:tblGrid>
        <w:gridCol w:w="678"/>
        <w:gridCol w:w="1962"/>
        <w:gridCol w:w="770"/>
        <w:gridCol w:w="5610"/>
      </w:tblGrid>
      <w:tr w:rsidTr="001E36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5</w:t>
            </w:r>
          </w:p>
        </w:tc>
        <w:tc>
          <w:tcPr>
            <w:tcW w:w="1962" w:type="dxa"/>
            <w:vMerge w:val="restart"/>
            <w:tcBorders>
              <w:top w:val="nil"/>
              <w:left w:val="nil"/>
              <w:bottom w:val="nil"/>
              <w:right w:val="nil"/>
            </w:tcBorders>
            <w:tcMar>
              <w:top w:w="0" w:type="dxa"/>
              <w:left w:w="62" w:type="dxa"/>
              <w:bottom w:w="0" w:type="dxa"/>
              <w:right w:w="62" w:type="dxa"/>
            </w:tcMar>
          </w:tcPr>
          <w:p w:rsidR="00000000" w:rsidRPr="001E3675" w:rsidP="001E3675">
            <w:pPr>
              <w:pStyle w:val="BodyText"/>
            </w:pPr>
            <w:r w:rsidRPr="001E3675">
              <w:t>Read and interpret job specifications.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5.1</w:t>
            </w:r>
          </w:p>
        </w:tc>
        <w:tc>
          <w:tcPr>
            <w:tcW w:w="561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Job specifications are identified from design documentation, installation drawings, notes and descriptions.</w:t>
            </w:r>
          </w:p>
        </w:tc>
      </w:tr>
      <w:tr w:rsidTr="001E36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5.2</w:t>
            </w:r>
          </w:p>
        </w:tc>
        <w:tc>
          <w:tcPr>
            <w:tcW w:w="561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Purpose of job specifications is identified.</w:t>
            </w:r>
          </w:p>
        </w:tc>
      </w:tr>
      <w:tr w:rsidTr="001E36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5.3</w:t>
            </w:r>
          </w:p>
        </w:tc>
        <w:tc>
          <w:tcPr>
            <w:tcW w:w="561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Standards of work, finishes and tolerances are identified from design documentation, installation drawings and specifications.</w:t>
            </w:r>
          </w:p>
        </w:tc>
      </w:tr>
      <w:tr w:rsidTr="001E36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5.4</w:t>
            </w:r>
          </w:p>
        </w:tc>
        <w:tc>
          <w:tcPr>
            <w:tcW w:w="5610" w:type="dxa"/>
            <w:tcBorders>
              <w:top w:val="nil"/>
              <w:left w:val="nil"/>
              <w:bottom w:val="nil"/>
              <w:right w:val="nil"/>
            </w:tcBorders>
            <w:tcMar>
              <w:top w:w="0" w:type="dxa"/>
              <w:left w:w="62" w:type="dxa"/>
              <w:bottom w:w="0" w:type="dxa"/>
              <w:right w:w="62" w:type="dxa"/>
            </w:tcMar>
          </w:tcPr>
          <w:p w:rsidR="00000000" w:rsidRPr="001E3675" w:rsidP="001E3675">
            <w:pPr>
              <w:pStyle w:val="BodyText"/>
            </w:pPr>
            <w:r w:rsidRPr="001E3675">
              <w:t>Material attributes are identified from job specifications and drawing</w:t>
            </w:r>
            <w:r w:rsidRPr="001E3675">
              <w:t>s.</w:t>
            </w:r>
          </w:p>
        </w:tc>
      </w:tr>
    </w:tbl>
    <w:p w:rsidR="00F31BA9" w:rsidP="001E3675">
      <w:pPr>
        <w:pStyle w:val="BodyText"/>
      </w:pPr>
    </w:p>
    <w:p w:rsidR="00F31BA9" w:rsidP="001E3675">
      <w:pPr>
        <w:pStyle w:val="BodyText"/>
      </w:pPr>
    </w:p>
    <w:p w:rsidR="00000000" w:rsidRPr="001E3675" w:rsidP="001E3675">
      <w:pPr>
        <w:pStyle w:val="Heading1"/>
      </w:pPr>
      <w:bookmarkStart w:id="9" w:name="O_365227"/>
      <w:bookmarkEnd w:id="9"/>
      <w:r w:rsidRPr="001E3675">
        <w:t>Required Skills and Knowledge</w:t>
      </w:r>
    </w:p>
    <w:tbl>
      <w:tblPr>
        <w:tblW w:w="9462" w:type="dxa"/>
        <w:tblLayout w:type="fixed"/>
        <w:tblCellMar>
          <w:left w:w="62" w:type="dxa"/>
          <w:right w:w="62" w:type="dxa"/>
        </w:tblCellMar>
        <w:tblLook w:val="0000"/>
      </w:tblPr>
      <w:tblGrid>
        <w:gridCol w:w="9462"/>
      </w:tblGrid>
      <w:tr w:rsidTr="001E367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t>This section describes the skills and knowledge required for this unit.</w:t>
            </w:r>
          </w:p>
        </w:tc>
      </w:tr>
      <w:tr w:rsidTr="001E367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rPr>
                <w:rStyle w:val="SpecialBold"/>
              </w:rPr>
              <w:t>Required skills</w:t>
            </w:r>
          </w:p>
        </w:tc>
      </w:tr>
      <w:tr w:rsidTr="001E367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E3675" w:rsidP="001E3675">
            <w:pPr>
              <w:pStyle w:val="ListBullet"/>
            </w:pPr>
            <w:r w:rsidRPr="001E3675">
              <w:t>customer service skills</w:t>
            </w:r>
          </w:p>
          <w:p w:rsidR="00000000" w:rsidRPr="001E3675" w:rsidP="001E3675">
            <w:pPr>
              <w:pStyle w:val="ListBullet"/>
            </w:pPr>
            <w:r w:rsidRPr="001E3675">
              <w:t>language, literacy and numeracy skills to:</w:t>
            </w:r>
          </w:p>
          <w:p w:rsidR="00000000" w:rsidRPr="001E3675" w:rsidP="001E3675">
            <w:pPr>
              <w:pStyle w:val="ListBullet2"/>
            </w:pPr>
            <w:r w:rsidRPr="001E3675">
              <w:t>communicate with others clearly and concisely, verbally and in writing</w:t>
            </w:r>
          </w:p>
          <w:p w:rsidR="00000000" w:rsidRPr="001E3675" w:rsidP="001E3675">
            <w:pPr>
              <w:pStyle w:val="ListBullet2"/>
            </w:pPr>
            <w:r w:rsidRPr="001E3675">
              <w:t>interpret standards, installation plans, drawings and specifications</w:t>
            </w:r>
          </w:p>
          <w:p w:rsidR="00000000" w:rsidRPr="001E3675" w:rsidP="001E3675">
            <w:pPr>
              <w:pStyle w:val="ListBullet2"/>
            </w:pPr>
            <w:r w:rsidRPr="001E3675">
              <w:t>read and record measurements</w:t>
            </w:r>
          </w:p>
          <w:p w:rsidR="00000000" w:rsidRPr="001E3675" w:rsidP="001E3675">
            <w:pPr>
              <w:pStyle w:val="ListBullet2"/>
            </w:pPr>
            <w:r w:rsidRPr="001E3675">
              <w:t>record and report information neatly and legibly</w:t>
            </w:r>
          </w:p>
          <w:p w:rsidR="00000000" w:rsidRPr="001E3675" w:rsidP="001E3675">
            <w:pPr>
              <w:pStyle w:val="ListBullet2"/>
            </w:pPr>
            <w:r w:rsidRPr="001E3675">
              <w:t>understand and comply with work instructions and specifications</w:t>
            </w:r>
          </w:p>
          <w:p w:rsidR="00000000" w:rsidRPr="001E3675" w:rsidP="001E3675">
            <w:pPr>
              <w:pStyle w:val="ListBullet"/>
            </w:pPr>
            <w:r w:rsidRPr="001E3675">
              <w:t>interpersonal skills to relate to people from a range of social, cultural and ethnic backgrounds</w:t>
            </w:r>
          </w:p>
          <w:p w:rsidR="00000000" w:rsidRPr="001E3675" w:rsidP="001E3675">
            <w:pPr>
              <w:pStyle w:val="ListBullet"/>
            </w:pPr>
            <w:r w:rsidRPr="001E3675">
              <w:t>planning and organising skills to:</w:t>
            </w:r>
          </w:p>
          <w:p w:rsidR="00000000" w:rsidRPr="001E3675" w:rsidP="001E3675">
            <w:pPr>
              <w:pStyle w:val="ListBullet2"/>
            </w:pPr>
            <w:r w:rsidRPr="001E3675">
              <w:t>estimate time to complete activities</w:t>
            </w:r>
          </w:p>
          <w:p w:rsidR="00000000" w:rsidRPr="001E3675" w:rsidP="001E3675">
            <w:pPr>
              <w:pStyle w:val="ListBullet2"/>
            </w:pPr>
            <w:r w:rsidRPr="001E3675">
              <w:t>prioritise tasks</w:t>
            </w:r>
          </w:p>
          <w:p w:rsidR="00000000" w:rsidRPr="001E3675" w:rsidP="001E3675">
            <w:pPr>
              <w:pStyle w:val="ListBullet"/>
            </w:pPr>
            <w:r w:rsidRPr="001E3675">
              <w:t>techn</w:t>
            </w:r>
            <w:r w:rsidRPr="001E3675">
              <w:t>ical skills to:</w:t>
            </w:r>
          </w:p>
          <w:p w:rsidR="00000000" w:rsidRPr="001E3675" w:rsidP="001E3675">
            <w:pPr>
              <w:pStyle w:val="ListBullet2"/>
            </w:pPr>
            <w:r w:rsidRPr="001E3675">
              <w:t>check installation drawing measurements and calculations against actual site values</w:t>
            </w:r>
          </w:p>
          <w:p w:rsidR="00000000" w:rsidRPr="001E3675" w:rsidP="001E3675">
            <w:pPr>
              <w:pStyle w:val="ListBullet2"/>
            </w:pPr>
            <w:r w:rsidRPr="001E3675">
              <w:t>use measurement tools accurately</w:t>
            </w:r>
          </w:p>
          <w:p w:rsidR="00000000" w:rsidP="001E3675">
            <w:pPr>
              <w:pStyle w:val="ListBullet2"/>
              <w:rPr>
                <w:lang w:val="en-NZ"/>
              </w:rPr>
            </w:pPr>
            <w:r w:rsidRPr="001E3675">
              <w:t>work effectively and safely with others</w:t>
            </w:r>
          </w:p>
        </w:tc>
      </w:tr>
      <w:tr w:rsidTr="001E367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E3675">
            <w:pPr>
              <w:pStyle w:val="BodyText"/>
              <w:rPr>
                <w:lang w:val="en-NZ"/>
              </w:rPr>
            </w:pPr>
            <w:r w:rsidRPr="001E3675">
              <w:rPr>
                <w:rStyle w:val="SpecialBold"/>
              </w:rPr>
              <w:t>Required knowledge</w:t>
            </w:r>
          </w:p>
        </w:tc>
      </w:tr>
      <w:tr w:rsidTr="001E367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E3675" w:rsidP="001E3675">
            <w:pPr>
              <w:pStyle w:val="ListBullet"/>
            </w:pPr>
            <w:r w:rsidRPr="001E3675">
              <w:t xml:space="preserve">location and application of relevant information, standards and specifications, such as: </w:t>
            </w:r>
          </w:p>
          <w:p w:rsidR="00000000" w:rsidRPr="001E3675" w:rsidP="001E3675">
            <w:pPr>
              <w:pStyle w:val="ListBullet2"/>
            </w:pPr>
            <w:r w:rsidRPr="001E3675">
              <w:t>AS 4214 Gaseous fire extinguishing systems</w:t>
            </w:r>
          </w:p>
          <w:p w:rsidR="00000000" w:rsidRPr="001E3675" w:rsidP="001E3675">
            <w:pPr>
              <w:pStyle w:val="ListBullet2"/>
            </w:pPr>
            <w:r w:rsidRPr="001E3675">
              <w:t>ISO 14520 Gaseous fire-extinguishing systems – Physical properties and system design</w:t>
            </w:r>
          </w:p>
          <w:p w:rsidR="00000000" w:rsidRPr="001E3675" w:rsidP="001E3675">
            <w:pPr>
              <w:pStyle w:val="ListBullet"/>
            </w:pPr>
            <w:r w:rsidRPr="001E3675">
              <w:t>methods used to convert units of meas</w:t>
            </w:r>
            <w:r w:rsidRPr="001E3675">
              <w:t>urement</w:t>
            </w:r>
          </w:p>
          <w:p w:rsidR="00000000" w:rsidRPr="001E3675" w:rsidP="001E3675">
            <w:pPr>
              <w:pStyle w:val="ListBullet"/>
            </w:pPr>
            <w:r w:rsidRPr="001E3675">
              <w:t>occupational health and safety (OHS) regulations</w:t>
            </w:r>
          </w:p>
          <w:p w:rsidR="00000000" w:rsidRPr="001E3675" w:rsidP="001E3675">
            <w:pPr>
              <w:pStyle w:val="ListBullet"/>
            </w:pPr>
            <w:r w:rsidRPr="001E3675">
              <w:t>organisational policies and procedures, including quality requirements</w:t>
            </w:r>
          </w:p>
          <w:p w:rsidR="00000000" w:rsidRPr="001E3675" w:rsidP="001E3675">
            <w:pPr>
              <w:pStyle w:val="ListBullet"/>
            </w:pPr>
            <w:r w:rsidRPr="001E3675">
              <w:t>ozone depleting substance (ODS) and synthetic greenhouse gas (SGG) regulations, where required</w:t>
            </w:r>
          </w:p>
          <w:p w:rsidR="00000000" w:rsidRPr="001E3675" w:rsidP="001E3675">
            <w:pPr>
              <w:pStyle w:val="ListBullet"/>
            </w:pPr>
            <w:r w:rsidRPr="001E3675">
              <w:t>relevant federal, state or territ</w:t>
            </w:r>
            <w:r w:rsidRPr="001E3675">
              <w:t>ory legislation that affects organisational operations, including:</w:t>
            </w:r>
          </w:p>
          <w:p w:rsidR="00000000" w:rsidRPr="001E3675" w:rsidP="001E3675">
            <w:pPr>
              <w:pStyle w:val="ListBullet2"/>
            </w:pPr>
            <w:r w:rsidRPr="001E3675">
              <w:t>anti-discrimination and diversity</w:t>
            </w:r>
          </w:p>
          <w:p w:rsidR="00000000" w:rsidRPr="001E3675" w:rsidP="001E3675">
            <w:pPr>
              <w:pStyle w:val="ListBullet2"/>
            </w:pPr>
            <w:r w:rsidRPr="001E3675">
              <w:t>equal employment opportunity</w:t>
            </w:r>
          </w:p>
          <w:p w:rsidR="00000000" w:rsidRPr="001E3675" w:rsidP="001E3675">
            <w:pPr>
              <w:pStyle w:val="ListBullet"/>
            </w:pPr>
            <w:r w:rsidRPr="001E3675">
              <w:t>site safety plan</w:t>
            </w:r>
          </w:p>
          <w:p w:rsidR="00000000" w:rsidRPr="001E3675" w:rsidP="001E3675">
            <w:pPr>
              <w:pStyle w:val="ListBullet"/>
            </w:pPr>
            <w:r w:rsidRPr="001E3675">
              <w:t>state and territory legislation applicable to workplace operations</w:t>
            </w:r>
          </w:p>
        </w:tc>
      </w:tr>
    </w:tbl>
    <w:p w:rsidR="00000000" w:rsidRPr="001E3675" w:rsidP="001E3675">
      <w:pPr>
        <w:pStyle w:val="BodyText"/>
      </w:pPr>
    </w:p>
    <w:p w:rsidR="00000000" w:rsidRPr="001E3675" w:rsidP="001E3675">
      <w:pPr>
        <w:pStyle w:val="AllowPageBreak"/>
      </w:pPr>
    </w:p>
    <w:p w:rsidR="00000000" w:rsidRPr="001E3675" w:rsidP="001E3675">
      <w:pPr>
        <w:pStyle w:val="Heading1"/>
      </w:pPr>
      <w:bookmarkStart w:id="10" w:name="O_365228"/>
      <w:bookmarkEnd w:id="10"/>
      <w:r w:rsidRPr="001E3675">
        <w:t>Evidence Guide</w:t>
      </w:r>
    </w:p>
    <w:tbl>
      <w:tblPr>
        <w:tblW w:w="9462" w:type="dxa"/>
        <w:tblLayout w:type="fixed"/>
        <w:tblCellMar>
          <w:left w:w="62" w:type="dxa"/>
          <w:right w:w="62" w:type="dxa"/>
        </w:tblCellMar>
        <w:tblLook w:val="0000"/>
      </w:tblPr>
      <w:tblGrid>
        <w:gridCol w:w="2700"/>
        <w:gridCol w:w="6762"/>
      </w:tblGrid>
      <w:tr w:rsidTr="001E367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E3675">
            <w:pPr>
              <w:pStyle w:val="BodyText"/>
              <w:rPr>
                <w:lang w:val="en-NZ"/>
              </w:rPr>
            </w:pPr>
            <w:r w:rsidRPr="001E3675">
              <w:t>The evidence guide provides advice on assessment and must be read in conjunction with the performance criteria, required skills and knowledge, range statement and the Assessment Guidelines for the Training Package.</w:t>
            </w:r>
          </w:p>
        </w:tc>
      </w:tr>
      <w:tr w:rsidTr="001E36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675">
            <w:pPr>
              <w:pStyle w:val="BodyText"/>
              <w:rPr>
                <w:lang w:val="en-NZ"/>
              </w:rPr>
            </w:pPr>
            <w:r w:rsidRPr="001E3675">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675">
            <w:pPr>
              <w:pStyle w:val="BodyText"/>
              <w:rPr>
                <w:lang w:val="en-NZ"/>
              </w:rPr>
            </w:pPr>
            <w:r w:rsidRPr="001E3675">
              <w:t>This unit of competency could be assessed by verbal questioning relating to the interpretation of installation drawings and work specifications for two different gaseous fire-suppression system installation projects.</w:t>
            </w:r>
          </w:p>
        </w:tc>
      </w:tr>
      <w:tr w:rsidTr="001E36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675">
            <w:pPr>
              <w:pStyle w:val="BodyText"/>
              <w:rPr>
                <w:lang w:val="en-NZ"/>
              </w:rPr>
            </w:pPr>
            <w:r w:rsidRPr="001E3675">
              <w:t>Critical aspects for assessment and ev</w:t>
            </w:r>
            <w:r w:rsidRPr="001E3675">
              <w:t>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675" w:rsidP="001E3675">
            <w:pPr>
              <w:pStyle w:val="BodyText"/>
            </w:pPr>
            <w:r w:rsidRPr="001E3675">
              <w:t>A person who demonstrates competency in this unit must be able to provide evidence of the required skills and knowledge specified in this unit.</w:t>
            </w:r>
          </w:p>
          <w:p w:rsidR="00000000" w:rsidRPr="001E3675" w:rsidP="001E3675">
            <w:pPr>
              <w:pStyle w:val="BodyText"/>
            </w:pPr>
            <w:r w:rsidRPr="001E3675">
              <w:t>In particular the person should demonstrate the ability t</w:t>
            </w:r>
            <w:r w:rsidRPr="001E3675">
              <w:t>o:</w:t>
            </w:r>
          </w:p>
          <w:p w:rsidR="00000000" w:rsidRPr="001E3675" w:rsidP="001E3675">
            <w:pPr>
              <w:pStyle w:val="ListBullet"/>
            </w:pPr>
            <w:r w:rsidRPr="001E3675">
              <w:t>locate, interpret and apply relevant information, standards and specifications</w:t>
            </w:r>
          </w:p>
          <w:p w:rsidR="00000000" w:rsidRPr="001E3675" w:rsidP="001E3675">
            <w:pPr>
              <w:pStyle w:val="ListBullet"/>
            </w:pPr>
            <w:r w:rsidRPr="001E3675">
              <w:t>comply with site safety plan, OHS regulations and ODS and SGG regulations (where required) and state and territory legislation applicable to workplace operations</w:t>
            </w:r>
          </w:p>
          <w:p w:rsidR="00000000" w:rsidRPr="001E3675" w:rsidP="001E3675">
            <w:pPr>
              <w:pStyle w:val="ListBullet"/>
            </w:pPr>
            <w:r w:rsidRPr="001E3675">
              <w:t xml:space="preserve">comply with </w:t>
            </w:r>
            <w:r w:rsidRPr="001E3675">
              <w:t>organisational policies and procedures, including quality requirements</w:t>
            </w:r>
          </w:p>
          <w:p w:rsidR="00000000" w:rsidRPr="001E3675" w:rsidP="001E3675">
            <w:pPr>
              <w:pStyle w:val="ListBullet"/>
            </w:pPr>
            <w:r w:rsidRPr="001E3675">
              <w:t>communicate and work effectively and safely with others</w:t>
            </w:r>
          </w:p>
          <w:p w:rsidR="00000000" w:rsidRPr="001E3675" w:rsidP="001E3675">
            <w:pPr>
              <w:pStyle w:val="ListBullet"/>
            </w:pPr>
            <w:r w:rsidRPr="001E3675">
              <w:t>read and interpret installation drawings in two different projects, including:</w:t>
            </w:r>
          </w:p>
          <w:p w:rsidR="00000000" w:rsidRPr="001E3675" w:rsidP="001E3675">
            <w:pPr>
              <w:pStyle w:val="ListBullet2"/>
            </w:pPr>
            <w:r w:rsidRPr="001E3675">
              <w:t>confirming amendment status and currency of drawi</w:t>
            </w:r>
            <w:r w:rsidRPr="001E3675">
              <w:t>ngs</w:t>
            </w:r>
          </w:p>
          <w:p w:rsidR="00000000" w:rsidRPr="001E3675" w:rsidP="001E3675">
            <w:pPr>
              <w:pStyle w:val="ListBullet2"/>
            </w:pPr>
            <w:r w:rsidRPr="001E3675">
              <w:t>confirming orientation of drawings to the ground</w:t>
            </w:r>
          </w:p>
          <w:p w:rsidR="00000000" w:rsidRPr="001E3675" w:rsidP="001E3675">
            <w:pPr>
              <w:pStyle w:val="ListBullet2"/>
            </w:pPr>
            <w:r w:rsidRPr="001E3675">
              <w:t>identifying six key features on a drawing and the actual features at the work site</w:t>
            </w:r>
          </w:p>
          <w:p w:rsidR="00000000" w:rsidRPr="001E3675" w:rsidP="001E3675">
            <w:pPr>
              <w:pStyle w:val="ListBullet2"/>
            </w:pPr>
            <w:r w:rsidRPr="001E3675">
              <w:t>confirming six items of information from the title block of the installation drawings</w:t>
            </w:r>
          </w:p>
          <w:p w:rsidR="00000000" w:rsidRPr="001E3675" w:rsidP="001E3675">
            <w:pPr>
              <w:pStyle w:val="ListBullet2"/>
            </w:pPr>
            <w:r w:rsidRPr="001E3675">
              <w:t>identifying six construction dimensions, levels and locations from the installation drawings</w:t>
            </w:r>
          </w:p>
          <w:p w:rsidR="00000000" w:rsidRPr="001E3675" w:rsidP="001E3675">
            <w:pPr>
              <w:pStyle w:val="ListBullet2"/>
            </w:pPr>
            <w:r w:rsidRPr="001E3675">
              <w:t>identifying six ancillary works dimensions, levels and locations from the installation drawings</w:t>
            </w:r>
          </w:p>
          <w:p w:rsidR="00000000" w:rsidRPr="001E3675" w:rsidP="001E3675">
            <w:pPr>
              <w:pStyle w:val="ListBullet"/>
            </w:pPr>
            <w:r w:rsidRPr="001E3675">
              <w:t>read and interpret two formal specifications, including:</w:t>
            </w:r>
          </w:p>
          <w:p w:rsidR="00000000" w:rsidRPr="001E3675" w:rsidP="001E3675">
            <w:pPr>
              <w:pStyle w:val="ListBullet2"/>
            </w:pPr>
            <w:r w:rsidRPr="001E3675">
              <w:t>identifyi</w:t>
            </w:r>
            <w:r w:rsidRPr="001E3675">
              <w:t>ng dimensions</w:t>
            </w:r>
          </w:p>
          <w:p w:rsidR="00000000" w:rsidP="001E3675">
            <w:pPr>
              <w:pStyle w:val="ListBullet2"/>
              <w:rPr>
                <w:lang w:val="en-NZ"/>
              </w:rPr>
            </w:pPr>
            <w:r w:rsidRPr="001E3675">
              <w:t>material requirements and processes to be followed.</w:t>
            </w:r>
          </w:p>
        </w:tc>
      </w:tr>
      <w:tr w:rsidTr="001E36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675">
            <w:pPr>
              <w:pStyle w:val="BodyText"/>
              <w:rPr>
                <w:lang w:val="en-NZ"/>
              </w:rPr>
            </w:pPr>
            <w:r w:rsidRPr="001E3675">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675" w:rsidP="001E3675">
            <w:pPr>
              <w:pStyle w:val="BodyText"/>
            </w:pPr>
            <w:r w:rsidRPr="001E3675">
              <w:t>Assessment of essential underpinning knowledge may be conducted in an off-site context. It is to comply with relevant regulatory or Australi</w:t>
            </w:r>
            <w:r w:rsidRPr="001E3675">
              <w:t>an standards’ requirements.</w:t>
            </w:r>
          </w:p>
          <w:p w:rsidR="00000000" w:rsidRPr="001E3675" w:rsidP="001E3675">
            <w:pPr>
              <w:pStyle w:val="BodyText"/>
            </w:pPr>
            <w:r w:rsidRPr="001E3675">
              <w:t>Resource implications for assessment include:</w:t>
            </w:r>
          </w:p>
          <w:p w:rsidR="00000000" w:rsidRPr="001E3675" w:rsidP="001E3675">
            <w:pPr>
              <w:pStyle w:val="ListBullet"/>
            </w:pPr>
            <w:r w:rsidRPr="001E3675">
              <w:t>actual or simulated work environment</w:t>
            </w:r>
          </w:p>
          <w:p w:rsidR="00000000" w:rsidRPr="001E3675" w:rsidP="001E3675">
            <w:pPr>
              <w:pStyle w:val="ListBullet"/>
            </w:pPr>
            <w:r w:rsidRPr="001E3675">
              <w:t>assessment documentation, including training and assessment record books</w:t>
            </w:r>
          </w:p>
          <w:p w:rsidR="00000000" w:rsidRPr="001E3675" w:rsidP="001E3675">
            <w:pPr>
              <w:pStyle w:val="ListBullet"/>
            </w:pPr>
            <w:r w:rsidRPr="001E3675">
              <w:t>necessary tools and specialist equipment</w:t>
            </w:r>
          </w:p>
          <w:p w:rsidR="00000000" w:rsidRPr="001E3675" w:rsidP="001E3675">
            <w:pPr>
              <w:pStyle w:val="ListBullet"/>
            </w:pPr>
            <w:r w:rsidRPr="001E3675">
              <w:t xml:space="preserve">range of design documentation, installation drawings, and other </w:t>
            </w:r>
            <w:r w:rsidRPr="001E3675">
              <w:t>related drawings and specifications</w:t>
            </w:r>
          </w:p>
          <w:p w:rsidR="00000000" w:rsidP="001E3675">
            <w:pPr>
              <w:pStyle w:val="ListBullet"/>
              <w:rPr>
                <w:lang w:val="en-NZ"/>
              </w:rPr>
            </w:pPr>
            <w:r w:rsidRPr="001E3675">
              <w:t>relevant manuals and other documentation, including Australian standards.</w:t>
            </w:r>
          </w:p>
        </w:tc>
      </w:tr>
      <w:tr w:rsidTr="001E36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675">
            <w:pPr>
              <w:pStyle w:val="BodyText"/>
              <w:rPr>
                <w:lang w:val="en-NZ"/>
              </w:rPr>
            </w:pPr>
            <w:r w:rsidRPr="001E3675">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675" w:rsidP="001E3675">
            <w:pPr>
              <w:pStyle w:val="BodyText"/>
            </w:pPr>
            <w:r w:rsidRPr="001E3675">
              <w:t>Assessment methods must:</w:t>
            </w:r>
          </w:p>
          <w:p w:rsidR="00000000" w:rsidRPr="001E3675" w:rsidP="001E3675">
            <w:pPr>
              <w:pStyle w:val="ListBullet"/>
            </w:pPr>
            <w:r w:rsidRPr="001E3675">
              <w:t>satisfy the endorsed Assessment Gui</w:t>
            </w:r>
            <w:r w:rsidRPr="001E3675">
              <w:t>delines of the Property Services Training Package</w:t>
            </w:r>
          </w:p>
          <w:p w:rsidR="00000000" w:rsidRPr="001E3675" w:rsidP="001E3675">
            <w:pPr>
              <w:pStyle w:val="ListBullet"/>
            </w:pPr>
            <w:r w:rsidRPr="001E3675">
              <w:t>include direct observation of tasks in real or simulated work conditions, with questioning to confirm the ability to consistently identify and correctly interpret the essential underpinning knowledge requir</w:t>
            </w:r>
            <w:r w:rsidRPr="001E3675">
              <w:t>ed for practical application</w:t>
            </w:r>
          </w:p>
          <w:p w:rsidR="00000000" w:rsidRPr="001E3675" w:rsidP="001E3675">
            <w:pPr>
              <w:pStyle w:val="ListBullet"/>
            </w:pPr>
            <w:r w:rsidRPr="001E3675">
              <w:t>reinforce the integration of employability skills with workplace tasks and job roles</w:t>
            </w:r>
          </w:p>
          <w:p w:rsidR="00000000" w:rsidP="001E3675">
            <w:pPr>
              <w:pStyle w:val="ListBullet"/>
              <w:rPr>
                <w:lang w:val="en-NZ"/>
              </w:rPr>
            </w:pPr>
            <w:r w:rsidRPr="001E3675">
              <w:t>confirm that competency is verified and able to be transferred to other circumstances and environments.</w:t>
            </w:r>
          </w:p>
        </w:tc>
      </w:tr>
      <w:tr w:rsidTr="001E36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675">
            <w:pPr>
              <w:pStyle w:val="BodyText"/>
              <w:rPr>
                <w:lang w:val="en-NZ"/>
              </w:rPr>
            </w:pPr>
            <w:r w:rsidRPr="001E3675">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675" w:rsidP="001E3675">
            <w:pPr>
              <w:pStyle w:val="BodyText"/>
            </w:pPr>
            <w:r w:rsidRPr="001E3675">
              <w:t>R</w:t>
            </w:r>
            <w:r w:rsidRPr="001E3675">
              <w:t>easonable adjustments for people with disabilities must be made to assessment processes where required. This could include access to modified equipment and other physical resources, and the provision of appropriate assessment support.</w:t>
            </w:r>
          </w:p>
          <w:p w:rsidR="00000000" w:rsidRPr="001E3675" w:rsidP="001E3675">
            <w:pPr>
              <w:pStyle w:val="BodyText"/>
            </w:pPr>
            <w:r w:rsidRPr="001E3675">
              <w:t xml:space="preserve">Assessment processes </w:t>
            </w:r>
            <w:r w:rsidRPr="001E3675">
              <w:t>and techniques should as far as is practical take into account the language, literacy and numeracy capacity of the candidate in relation to the competency being assessed.</w:t>
            </w:r>
          </w:p>
          <w:p w:rsidR="00000000" w:rsidRPr="001E3675" w:rsidP="001E3675">
            <w:pPr>
              <w:pStyle w:val="BodyText"/>
            </w:pPr>
            <w:r w:rsidRPr="001E3675">
              <w:t>This unit could be assessed on its own or in combination with other units relevant to</w:t>
            </w:r>
            <w:r w:rsidRPr="001E3675">
              <w:t xml:space="preserve"> the job function.</w:t>
            </w:r>
          </w:p>
        </w:tc>
      </w:tr>
    </w:tbl>
    <w:p w:rsidR="00F31BA9" w:rsidP="001E3675">
      <w:pPr>
        <w:pStyle w:val="BodyText"/>
      </w:pPr>
    </w:p>
    <w:p w:rsidR="00F31BA9" w:rsidP="001E3675">
      <w:pPr>
        <w:pStyle w:val="BodyText"/>
      </w:pPr>
    </w:p>
    <w:p w:rsidR="00000000" w:rsidRPr="001E3675" w:rsidP="001E3675">
      <w:pPr>
        <w:pStyle w:val="Heading1"/>
      </w:pPr>
      <w:bookmarkStart w:id="11" w:name="O_365229"/>
      <w:bookmarkEnd w:id="11"/>
      <w:r w:rsidRPr="001E3675">
        <w:t>Range Statement</w:t>
      </w:r>
    </w:p>
    <w:tbl>
      <w:tblPr>
        <w:tblW w:w="9462" w:type="dxa"/>
        <w:tblLayout w:type="fixed"/>
        <w:tblCellMar>
          <w:left w:w="62" w:type="dxa"/>
          <w:right w:w="62" w:type="dxa"/>
        </w:tblCellMar>
        <w:tblLook w:val="0000"/>
      </w:tblPr>
      <w:tblGrid>
        <w:gridCol w:w="2700"/>
        <w:gridCol w:w="6762"/>
      </w:tblGrid>
      <w:tr w:rsidTr="001E367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E3675">
            <w:pPr>
              <w:pStyle w:val="BodyText"/>
              <w:rPr>
                <w:lang w:val="en-NZ"/>
              </w:rPr>
            </w:pPr>
            <w:r w:rsidRPr="001E3675">
              <w:t>The range statement relates to the unit of competency as a whole. It allows for different work environments and situations that may affect performance. Bold italicised wordi</w:t>
            </w:r>
            <w:r w:rsidRPr="001E3675">
              <w:t>ng, if used in the performance criteria, is detailed below. Essential operating conditions that may be present with training and assessment (depending on the work situation, needs of the candidate, accessibility of the item, and local industry and regional</w:t>
            </w:r>
            <w:r w:rsidRPr="001E3675">
              <w:t xml:space="preserve"> contexts) may also be included.</w:t>
            </w:r>
          </w:p>
        </w:tc>
      </w:tr>
      <w:tr w:rsidTr="001E36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675">
            <w:pPr>
              <w:pStyle w:val="BodyText"/>
              <w:rPr>
                <w:lang w:val="en-NZ"/>
              </w:rPr>
            </w:pPr>
            <w:r w:rsidRPr="001E3675">
              <w:rPr>
                <w:rStyle w:val="BoldandItalics"/>
              </w:rPr>
              <w:t>System design requirements</w:t>
            </w:r>
            <w:r w:rsidRPr="001E367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675" w:rsidP="001E3675">
            <w:pPr>
              <w:pStyle w:val="ListBullet"/>
            </w:pPr>
            <w:r w:rsidRPr="001E3675">
              <w:t>coordination of system equipment location with location of other services, such as water or gas pipes</w:t>
            </w:r>
          </w:p>
          <w:p w:rsidR="00000000" w:rsidRPr="001E3675" w:rsidP="001E3675">
            <w:pPr>
              <w:pStyle w:val="ListBullet"/>
            </w:pPr>
            <w:r w:rsidRPr="001E3675">
              <w:t>hazard level of room contents</w:t>
            </w:r>
          </w:p>
          <w:p w:rsidR="00000000" w:rsidRPr="001E3675" w:rsidP="001E3675">
            <w:pPr>
              <w:pStyle w:val="ListBullet"/>
            </w:pPr>
            <w:r w:rsidRPr="001E3675">
              <w:t xml:space="preserve">need to check the accuracy of drawing dimensions </w:t>
            </w:r>
            <w:r w:rsidRPr="001E3675">
              <w:t>against the ‘as built’ environment</w:t>
            </w:r>
          </w:p>
          <w:p w:rsidR="00000000" w:rsidP="001E3675">
            <w:pPr>
              <w:pStyle w:val="ListBullet"/>
              <w:rPr>
                <w:lang w:val="en-NZ"/>
              </w:rPr>
            </w:pPr>
            <w:r w:rsidRPr="001E3675">
              <w:t>room volume.</w:t>
            </w:r>
          </w:p>
        </w:tc>
      </w:tr>
      <w:tr w:rsidTr="001E36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675">
            <w:pPr>
              <w:pStyle w:val="BodyText"/>
              <w:rPr>
                <w:lang w:val="en-NZ"/>
              </w:rPr>
            </w:pPr>
            <w:r w:rsidRPr="001E3675">
              <w:rPr>
                <w:rStyle w:val="BoldandItalics"/>
              </w:rPr>
              <w:t>Installation drawings</w:t>
            </w:r>
            <w:r w:rsidRPr="001E367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675" w:rsidP="001E3675">
            <w:pPr>
              <w:pStyle w:val="ListBullet"/>
            </w:pPr>
            <w:r w:rsidRPr="001E3675">
              <w:t>amendments</w:t>
            </w:r>
          </w:p>
          <w:p w:rsidR="00000000" w:rsidRPr="001E3675" w:rsidP="001E3675">
            <w:pPr>
              <w:pStyle w:val="ListBullet"/>
            </w:pPr>
            <w:r w:rsidRPr="001E3675">
              <w:t>installation site measurements</w:t>
            </w:r>
          </w:p>
          <w:p w:rsidR="00000000" w:rsidRPr="001E3675" w:rsidP="001E3675">
            <w:pPr>
              <w:pStyle w:val="ListBullet"/>
            </w:pPr>
            <w:r w:rsidRPr="001E3675">
              <w:t>isometric drawings</w:t>
            </w:r>
          </w:p>
          <w:p w:rsidR="00000000" w:rsidRPr="001E3675" w:rsidP="001E3675">
            <w:pPr>
              <w:pStyle w:val="ListBullet"/>
            </w:pPr>
            <w:r w:rsidRPr="001E3675">
              <w:t>isometrics</w:t>
            </w:r>
          </w:p>
          <w:p w:rsidR="00000000" w:rsidRPr="001E3675" w:rsidP="001E3675">
            <w:pPr>
              <w:pStyle w:val="ListBullet"/>
            </w:pPr>
            <w:r w:rsidRPr="001E3675">
              <w:t>key features of installation site</w:t>
            </w:r>
          </w:p>
          <w:p w:rsidR="00000000" w:rsidRPr="001E3675" w:rsidP="001E3675">
            <w:pPr>
              <w:pStyle w:val="ListBullet"/>
            </w:pPr>
            <w:r w:rsidRPr="001E3675">
              <w:t>legends</w:t>
            </w:r>
          </w:p>
          <w:p w:rsidR="00000000" w:rsidRPr="001E3675" w:rsidP="001E3675">
            <w:pPr>
              <w:pStyle w:val="ListBullet"/>
            </w:pPr>
            <w:r w:rsidRPr="001E3675">
              <w:t>material attributes</w:t>
            </w:r>
          </w:p>
          <w:p w:rsidR="00000000" w:rsidRPr="001E3675" w:rsidP="001E3675">
            <w:pPr>
              <w:pStyle w:val="ListBullet"/>
            </w:pPr>
            <w:r w:rsidRPr="001E3675">
              <w:t>notes and descriptions</w:t>
            </w:r>
          </w:p>
          <w:p w:rsidR="00000000" w:rsidRPr="001E3675" w:rsidP="001E3675">
            <w:pPr>
              <w:pStyle w:val="ListBullet"/>
            </w:pPr>
            <w:r w:rsidRPr="001E3675">
              <w:t>orientations</w:t>
            </w:r>
          </w:p>
          <w:p w:rsidR="00000000" w:rsidRPr="001E3675" w:rsidP="001E3675">
            <w:pPr>
              <w:pStyle w:val="ListBullet"/>
            </w:pPr>
            <w:r w:rsidRPr="001E3675">
              <w:t>references to secondary documentation, such as calculations</w:t>
            </w:r>
          </w:p>
          <w:p w:rsidR="00000000" w:rsidRPr="001E3675" w:rsidP="001E3675">
            <w:pPr>
              <w:pStyle w:val="ListBullet"/>
            </w:pPr>
            <w:r w:rsidRPr="001E3675">
              <w:t>standards of work, finishes and tolerances</w:t>
            </w:r>
          </w:p>
          <w:p w:rsidR="00000000" w:rsidP="001E3675">
            <w:pPr>
              <w:pStyle w:val="ListBullet"/>
              <w:rPr>
                <w:lang w:val="en-NZ"/>
              </w:rPr>
            </w:pPr>
            <w:r w:rsidRPr="001E3675">
              <w:t>title panels.</w:t>
            </w:r>
          </w:p>
        </w:tc>
      </w:tr>
      <w:tr w:rsidTr="001E36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675">
            <w:pPr>
              <w:pStyle w:val="BodyText"/>
              <w:rPr>
                <w:lang w:val="en-NZ"/>
              </w:rPr>
            </w:pPr>
            <w:r w:rsidRPr="001E3675">
              <w:rPr>
                <w:rStyle w:val="BoldandItalics"/>
              </w:rPr>
              <w:t xml:space="preserve">Action </w:t>
            </w:r>
            <w:r w:rsidRPr="001E3675">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675" w:rsidP="001E3675">
            <w:pPr>
              <w:pStyle w:val="ListBullet"/>
            </w:pPr>
            <w:r w:rsidRPr="001E3675">
              <w:t>advising customer</w:t>
            </w:r>
          </w:p>
          <w:p w:rsidR="00000000" w:rsidRPr="001E3675" w:rsidP="001E3675">
            <w:pPr>
              <w:pStyle w:val="ListBullet"/>
            </w:pPr>
            <w:r w:rsidRPr="001E3675">
              <w:t>documenting non-compliance</w:t>
            </w:r>
          </w:p>
          <w:p w:rsidR="00000000" w:rsidRPr="001E3675" w:rsidP="001E3675">
            <w:pPr>
              <w:pStyle w:val="ListBullet"/>
            </w:pPr>
            <w:r w:rsidRPr="001E3675">
              <w:t>making equipment safe</w:t>
            </w:r>
          </w:p>
          <w:p w:rsidR="00000000" w:rsidP="001E3675">
            <w:pPr>
              <w:pStyle w:val="ListBullet"/>
              <w:rPr>
                <w:lang w:val="en-NZ"/>
              </w:rPr>
            </w:pPr>
            <w:r w:rsidRPr="001E3675">
              <w:t>reporting, as required.</w:t>
            </w:r>
          </w:p>
        </w:tc>
      </w:tr>
      <w:tr w:rsidTr="001E36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675">
            <w:pPr>
              <w:pStyle w:val="BodyText"/>
              <w:rPr>
                <w:lang w:val="en-NZ"/>
              </w:rPr>
            </w:pPr>
            <w:r w:rsidRPr="001E3675">
              <w:rPr>
                <w:rStyle w:val="BoldandItalics"/>
              </w:rPr>
              <w:t>Organisational requirements</w:t>
            </w:r>
            <w:r w:rsidRPr="001E367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675" w:rsidP="001E3675">
            <w:pPr>
              <w:pStyle w:val="ListBullet"/>
            </w:pPr>
            <w:r w:rsidRPr="001E3675">
              <w:t>documentation and information systems and processes</w:t>
            </w:r>
          </w:p>
          <w:p w:rsidR="00000000" w:rsidRPr="001E3675" w:rsidP="001E3675">
            <w:pPr>
              <w:pStyle w:val="ListBullet"/>
            </w:pPr>
            <w:r w:rsidRPr="001E3675">
              <w:t>insurance requirements</w:t>
            </w:r>
          </w:p>
          <w:p w:rsidR="00000000" w:rsidRPr="001E3675" w:rsidP="001E3675">
            <w:pPr>
              <w:pStyle w:val="ListBullet"/>
            </w:pPr>
            <w:r w:rsidRPr="001E3675">
              <w:t>legal and organisational policies and guidelines, including personnel practices and guidelines outlining work roles, responsibilities and de</w:t>
            </w:r>
            <w:r w:rsidRPr="001E3675">
              <w:t>legations</w:t>
            </w:r>
          </w:p>
          <w:p w:rsidR="00000000" w:rsidRPr="001E3675" w:rsidP="001E3675">
            <w:pPr>
              <w:pStyle w:val="ListBullet"/>
            </w:pPr>
            <w:r w:rsidRPr="001E3675">
              <w:t>legislation relevant to installation operation</w:t>
            </w:r>
          </w:p>
          <w:p w:rsidR="00000000" w:rsidRPr="001E3675" w:rsidP="001E3675">
            <w:pPr>
              <w:pStyle w:val="ListBullet"/>
            </w:pPr>
            <w:r w:rsidRPr="001E3675">
              <w:t>OHS policies, procedures and programs</w:t>
            </w:r>
          </w:p>
          <w:p w:rsidR="00000000" w:rsidRPr="001E3675" w:rsidP="001E3675">
            <w:pPr>
              <w:pStyle w:val="ListBullet"/>
            </w:pPr>
            <w:r w:rsidRPr="001E3675">
              <w:t>procedures and work instructions to prevent emission of ODS and SGG in the workplace</w:t>
            </w:r>
          </w:p>
          <w:p w:rsidR="00000000" w:rsidP="001E3675">
            <w:pPr>
              <w:pStyle w:val="ListBullet"/>
              <w:rPr>
                <w:lang w:val="en-NZ"/>
              </w:rPr>
            </w:pPr>
            <w:r w:rsidRPr="001E3675">
              <w:t>use of electronic job scheduling and communication devices.</w:t>
            </w:r>
          </w:p>
        </w:tc>
      </w:tr>
      <w:tr w:rsidTr="001E36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675">
            <w:pPr>
              <w:pStyle w:val="BodyText"/>
              <w:rPr>
                <w:lang w:val="en-NZ"/>
              </w:rPr>
            </w:pPr>
            <w:r w:rsidRPr="001E3675">
              <w:rPr>
                <w:rStyle w:val="BoldandItalics"/>
              </w:rPr>
              <w:t>Types of drawin</w:t>
            </w:r>
            <w:r w:rsidRPr="001E3675">
              <w:rPr>
                <w:rStyle w:val="BoldandItalics"/>
              </w:rPr>
              <w:t>gs</w:t>
            </w:r>
            <w:r w:rsidRPr="001E367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675" w:rsidP="001E3675">
            <w:pPr>
              <w:pStyle w:val="ListBullet"/>
            </w:pPr>
            <w:r w:rsidRPr="001E3675">
              <w:t>detail and specification drawings providing illustrations and dimensions</w:t>
            </w:r>
          </w:p>
          <w:p w:rsidR="00000000" w:rsidRPr="001E3675" w:rsidP="001E3675">
            <w:pPr>
              <w:pStyle w:val="ListBullet"/>
            </w:pPr>
            <w:r w:rsidRPr="001E3675">
              <w:t>elevation drawings</w:t>
            </w:r>
          </w:p>
          <w:p w:rsidR="00000000" w:rsidRPr="001E3675" w:rsidP="001E3675">
            <w:pPr>
              <w:pStyle w:val="ListBullet"/>
            </w:pPr>
            <w:r w:rsidRPr="001E3675">
              <w:t>installation drawings</w:t>
            </w:r>
          </w:p>
          <w:p w:rsidR="00000000" w:rsidRPr="001E3675" w:rsidP="001E3675">
            <w:pPr>
              <w:pStyle w:val="ListBullet"/>
            </w:pPr>
            <w:r w:rsidRPr="001E3675">
              <w:t>sectional drawings and elevations</w:t>
            </w:r>
          </w:p>
          <w:p w:rsidR="00000000" w:rsidP="001E3675">
            <w:pPr>
              <w:pStyle w:val="ListBullet"/>
              <w:rPr>
                <w:lang w:val="en-NZ"/>
              </w:rPr>
            </w:pPr>
            <w:r w:rsidRPr="001E3675">
              <w:t>site drawings.</w:t>
            </w:r>
          </w:p>
        </w:tc>
      </w:tr>
      <w:tr w:rsidTr="001E36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675">
            <w:pPr>
              <w:pStyle w:val="BodyText"/>
              <w:rPr>
                <w:lang w:val="en-NZ"/>
              </w:rPr>
            </w:pPr>
            <w:r w:rsidRPr="001E3675">
              <w:rPr>
                <w:rStyle w:val="BoldandItalics"/>
              </w:rPr>
              <w:t>Key functions of each drawing type</w:t>
            </w:r>
            <w:r w:rsidRPr="001E367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675" w:rsidP="001E3675">
            <w:pPr>
              <w:pStyle w:val="ListBullet"/>
            </w:pPr>
            <w:r w:rsidRPr="001E3675">
              <w:t>details of hazard, including</w:t>
            </w:r>
            <w:r w:rsidRPr="001E3675">
              <w:t>:</w:t>
            </w:r>
          </w:p>
          <w:p w:rsidR="00000000" w:rsidRPr="001E3675" w:rsidP="001E3675">
            <w:pPr>
              <w:pStyle w:val="ListBullet2"/>
            </w:pPr>
            <w:r w:rsidRPr="001E3675">
              <w:t>dimensions</w:t>
            </w:r>
          </w:p>
          <w:p w:rsidR="00000000" w:rsidRPr="001E3675" w:rsidP="001E3675">
            <w:pPr>
              <w:pStyle w:val="ListBullet2"/>
            </w:pPr>
            <w:r w:rsidRPr="001E3675">
              <w:t>number of exits</w:t>
            </w:r>
          </w:p>
          <w:p w:rsidR="00000000" w:rsidRPr="001E3675" w:rsidP="001E3675">
            <w:pPr>
              <w:pStyle w:val="ListBullet2"/>
            </w:pPr>
            <w:r w:rsidRPr="001E3675">
              <w:t>volumes</w:t>
            </w:r>
          </w:p>
          <w:p w:rsidR="00000000" w:rsidRPr="001E3675" w:rsidP="001E3675">
            <w:pPr>
              <w:pStyle w:val="ListBullet"/>
            </w:pPr>
            <w:r w:rsidRPr="001E3675">
              <w:t>details of key equipment, such as:</w:t>
            </w:r>
          </w:p>
          <w:p w:rsidR="00000000" w:rsidRPr="001E3675" w:rsidP="001E3675">
            <w:pPr>
              <w:pStyle w:val="ListBullet2"/>
            </w:pPr>
            <w:r w:rsidRPr="001E3675">
              <w:t>container fill and size</w:t>
            </w:r>
          </w:p>
          <w:p w:rsidR="00000000" w:rsidRPr="001E3675" w:rsidP="001E3675">
            <w:pPr>
              <w:pStyle w:val="ListBullet2"/>
            </w:pPr>
            <w:r w:rsidRPr="001E3675">
              <w:t>manufacturers’ type</w:t>
            </w:r>
          </w:p>
          <w:p w:rsidR="00000000" w:rsidRPr="001E3675" w:rsidP="001E3675">
            <w:pPr>
              <w:pStyle w:val="ListBullet2"/>
            </w:pPr>
            <w:r w:rsidRPr="001E3675">
              <w:t>nozzle size and orifice</w:t>
            </w:r>
          </w:p>
          <w:p w:rsidR="00000000" w:rsidRPr="001E3675" w:rsidP="001E3675">
            <w:pPr>
              <w:pStyle w:val="ListBullet2"/>
            </w:pPr>
            <w:r w:rsidRPr="001E3675">
              <w:t>type of actuator</w:t>
            </w:r>
          </w:p>
          <w:p w:rsidR="00000000" w:rsidRPr="001E3675" w:rsidP="001E3675">
            <w:pPr>
              <w:pStyle w:val="ListBullet"/>
            </w:pPr>
            <w:r w:rsidRPr="001E3675">
              <w:t>general layout of equipment</w:t>
            </w:r>
          </w:p>
          <w:p w:rsidR="00000000" w:rsidRPr="001E3675" w:rsidP="001E3675">
            <w:pPr>
              <w:pStyle w:val="ListBullet"/>
            </w:pPr>
            <w:r w:rsidRPr="001E3675">
              <w:t>location of key equipment, including:</w:t>
            </w:r>
          </w:p>
          <w:p w:rsidR="00000000" w:rsidRPr="001E3675" w:rsidP="001E3675">
            <w:pPr>
              <w:pStyle w:val="ListBullet2"/>
            </w:pPr>
            <w:r w:rsidRPr="001E3675">
              <w:t>containers</w:t>
            </w:r>
          </w:p>
          <w:p w:rsidR="00000000" w:rsidRPr="001E3675" w:rsidP="001E3675">
            <w:pPr>
              <w:pStyle w:val="ListBullet2"/>
            </w:pPr>
            <w:r w:rsidRPr="001E3675">
              <w:t>local control station</w:t>
            </w:r>
          </w:p>
          <w:p w:rsidR="00000000" w:rsidRPr="001E3675" w:rsidP="001E3675">
            <w:pPr>
              <w:pStyle w:val="ListBullet2"/>
            </w:pPr>
            <w:r w:rsidRPr="001E3675">
              <w:t>nozzles</w:t>
            </w:r>
          </w:p>
          <w:p w:rsidR="00000000" w:rsidP="001E3675">
            <w:pPr>
              <w:pStyle w:val="ListBullet2"/>
              <w:rPr>
                <w:lang w:val="en-NZ"/>
              </w:rPr>
            </w:pPr>
            <w:r w:rsidRPr="001E3675">
              <w:t>pipework.</w:t>
            </w:r>
          </w:p>
        </w:tc>
      </w:tr>
      <w:tr w:rsidTr="001E36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675">
            <w:pPr>
              <w:pStyle w:val="BodyText"/>
              <w:rPr>
                <w:lang w:val="en-NZ"/>
              </w:rPr>
            </w:pPr>
            <w:r w:rsidRPr="001E3675">
              <w:rPr>
                <w:rStyle w:val="BoldandItalics"/>
              </w:rPr>
              <w:t>Key users of each drawing type</w:t>
            </w:r>
            <w:r w:rsidRPr="001E367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675" w:rsidP="001E3675">
            <w:pPr>
              <w:pStyle w:val="ListBullet"/>
            </w:pPr>
            <w:r w:rsidRPr="001E3675">
              <w:t>colleagues</w:t>
            </w:r>
          </w:p>
          <w:p w:rsidR="00000000" w:rsidRPr="001E3675" w:rsidP="001E3675">
            <w:pPr>
              <w:pStyle w:val="ListBullet"/>
            </w:pPr>
            <w:r w:rsidRPr="001E3675">
              <w:t>customers and their employees</w:t>
            </w:r>
          </w:p>
          <w:p w:rsidR="00000000" w:rsidRPr="001E3675" w:rsidP="001E3675">
            <w:pPr>
              <w:pStyle w:val="ListBullet"/>
            </w:pPr>
            <w:r w:rsidRPr="001E3675">
              <w:t>fire engineers</w:t>
            </w:r>
          </w:p>
          <w:p w:rsidR="00000000" w:rsidRPr="001E3675" w:rsidP="001E3675">
            <w:pPr>
              <w:pStyle w:val="ListBullet"/>
            </w:pPr>
            <w:r w:rsidRPr="001E3675">
              <w:t>fire system designers</w:t>
            </w:r>
          </w:p>
          <w:p w:rsidR="00000000" w:rsidRPr="001E3675" w:rsidP="001E3675">
            <w:pPr>
              <w:pStyle w:val="ListBullet"/>
            </w:pPr>
            <w:r w:rsidRPr="001E3675">
              <w:t>installation technicians</w:t>
            </w:r>
          </w:p>
          <w:p w:rsidR="00000000" w:rsidRPr="001E3675" w:rsidP="001E3675">
            <w:pPr>
              <w:pStyle w:val="ListBullet"/>
            </w:pPr>
            <w:r w:rsidRPr="001E3675">
              <w:t>insurers</w:t>
            </w:r>
          </w:p>
          <w:p w:rsidR="00000000" w:rsidRPr="001E3675" w:rsidP="001E3675">
            <w:pPr>
              <w:pStyle w:val="ListBullet"/>
            </w:pPr>
            <w:r w:rsidRPr="001E3675">
              <w:t>project managers</w:t>
            </w:r>
          </w:p>
          <w:p w:rsidR="00000000" w:rsidRPr="001E3675" w:rsidP="001E3675">
            <w:pPr>
              <w:pStyle w:val="ListBullet"/>
            </w:pPr>
            <w:r w:rsidRPr="001E3675">
              <w:t>site managers</w:t>
            </w:r>
          </w:p>
          <w:p w:rsidR="00000000" w:rsidRPr="001E3675" w:rsidP="001E3675">
            <w:pPr>
              <w:pStyle w:val="ListBullet"/>
            </w:pPr>
            <w:r w:rsidRPr="001E3675">
              <w:t>team leaders and supervisors</w:t>
            </w:r>
          </w:p>
          <w:p w:rsidR="00000000" w:rsidP="001E3675">
            <w:pPr>
              <w:pStyle w:val="ListBullet"/>
              <w:rPr>
                <w:lang w:val="en-NZ"/>
              </w:rPr>
            </w:pPr>
            <w:r w:rsidRPr="001E3675">
              <w:t>various trade personnel.</w:t>
            </w:r>
          </w:p>
        </w:tc>
      </w:tr>
      <w:tr w:rsidTr="001E36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675">
            <w:pPr>
              <w:pStyle w:val="BodyText"/>
              <w:rPr>
                <w:lang w:val="en-NZ"/>
              </w:rPr>
            </w:pPr>
            <w:r w:rsidRPr="001E3675">
              <w:rPr>
                <w:rStyle w:val="BoldandItalics"/>
              </w:rPr>
              <w:t>Quality requirements</w:t>
            </w:r>
            <w:r w:rsidRPr="001E367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675" w:rsidP="001E3675">
            <w:pPr>
              <w:pStyle w:val="ListBullet"/>
            </w:pPr>
            <w:r w:rsidRPr="001E3675">
              <w:t>internal company quality policies and standards</w:t>
            </w:r>
          </w:p>
          <w:p w:rsidR="00000000" w:rsidRPr="001E3675" w:rsidP="001E3675">
            <w:pPr>
              <w:pStyle w:val="ListBullet"/>
            </w:pPr>
            <w:r w:rsidRPr="001E3675">
              <w:t>manufacturers’ specifications, where specified</w:t>
            </w:r>
          </w:p>
          <w:p w:rsidR="00000000" w:rsidRPr="001E3675" w:rsidP="001E3675">
            <w:pPr>
              <w:pStyle w:val="ListBullet"/>
            </w:pPr>
            <w:r w:rsidRPr="001E3675">
              <w:t>relevant regulations, including Australian standards, such as:</w:t>
            </w:r>
          </w:p>
          <w:p w:rsidR="00000000" w:rsidRPr="001E3675" w:rsidP="001E3675">
            <w:pPr>
              <w:pStyle w:val="ListBullet2"/>
            </w:pPr>
            <w:r w:rsidRPr="001E3675">
              <w:t>AS 4214 Gaseous fire extinguishing s</w:t>
            </w:r>
            <w:r w:rsidRPr="001E3675">
              <w:t>ystems</w:t>
            </w:r>
          </w:p>
          <w:p w:rsidR="00000000" w:rsidRPr="001E3675" w:rsidP="001E3675">
            <w:pPr>
              <w:pStyle w:val="ListBullet2"/>
            </w:pPr>
            <w:r w:rsidRPr="001E3675">
              <w:t>ISO 14520 Gaseous fire-extinguishing systems – Physical properties and system design</w:t>
            </w:r>
          </w:p>
          <w:p w:rsidR="00000000" w:rsidP="001E3675">
            <w:pPr>
              <w:pStyle w:val="ListBullet"/>
              <w:rPr>
                <w:lang w:val="en-NZ"/>
              </w:rPr>
            </w:pPr>
            <w:r w:rsidRPr="001E3675">
              <w:t>workplace operations and procedures.</w:t>
            </w:r>
          </w:p>
        </w:tc>
      </w:tr>
      <w:tr w:rsidTr="001E36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675">
            <w:pPr>
              <w:pStyle w:val="BodyText"/>
              <w:rPr>
                <w:lang w:val="en-NZ"/>
              </w:rPr>
            </w:pPr>
            <w:r w:rsidRPr="001E3675">
              <w:rPr>
                <w:rStyle w:val="BoldandItalics"/>
              </w:rPr>
              <w:t>Fire protection symbols and abbreviations</w:t>
            </w:r>
            <w:r w:rsidRPr="001E3675">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675">
            <w:pPr>
              <w:pStyle w:val="ListBullet"/>
              <w:rPr>
                <w:lang w:val="en-NZ"/>
              </w:rPr>
            </w:pPr>
            <w:r w:rsidRPr="001E3675">
              <w:t>are those described in SAA HB 20 Graphical symbols for fire protection drawings.</w:t>
            </w:r>
          </w:p>
        </w:tc>
      </w:tr>
      <w:tr w:rsidTr="001E36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675">
            <w:pPr>
              <w:pStyle w:val="BodyText"/>
              <w:rPr>
                <w:lang w:val="en-NZ"/>
              </w:rPr>
            </w:pPr>
            <w:r w:rsidRPr="001E3675">
              <w:rPr>
                <w:rStyle w:val="BoldandItalics"/>
              </w:rPr>
              <w:t>Orienting installation drawing</w:t>
            </w:r>
            <w:r w:rsidRPr="001E367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675" w:rsidP="001E3675">
            <w:pPr>
              <w:pStyle w:val="ListBullet"/>
            </w:pPr>
            <w:r w:rsidRPr="001E3675">
              <w:t>currency of drawing</w:t>
            </w:r>
          </w:p>
          <w:p w:rsidR="00000000" w:rsidRPr="001E3675" w:rsidP="001E3675">
            <w:pPr>
              <w:pStyle w:val="ListBullet"/>
            </w:pPr>
            <w:r w:rsidRPr="001E3675">
              <w:t>relationship between drawing and site</w:t>
            </w:r>
          </w:p>
          <w:p w:rsidR="00000000" w:rsidP="001E3675">
            <w:pPr>
              <w:pStyle w:val="ListBullet"/>
              <w:rPr>
                <w:lang w:val="en-NZ"/>
              </w:rPr>
            </w:pPr>
            <w:r w:rsidRPr="001E3675">
              <w:t>relationship to north.</w:t>
            </w:r>
          </w:p>
        </w:tc>
      </w:tr>
      <w:tr w:rsidTr="001E36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675">
            <w:pPr>
              <w:pStyle w:val="BodyText"/>
              <w:rPr>
                <w:lang w:val="en-NZ"/>
              </w:rPr>
            </w:pPr>
            <w:r w:rsidRPr="001E3675">
              <w:rPr>
                <w:rStyle w:val="BoldandItalics"/>
              </w:rPr>
              <w:t>Key features of installation site</w:t>
            </w:r>
            <w:r w:rsidRPr="001E367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675" w:rsidP="001E3675">
            <w:pPr>
              <w:pStyle w:val="ListBullet"/>
            </w:pPr>
            <w:r w:rsidRPr="001E3675">
              <w:t>clearance distance</w:t>
            </w:r>
          </w:p>
          <w:p w:rsidR="00000000" w:rsidRPr="001E3675" w:rsidP="001E3675">
            <w:pPr>
              <w:pStyle w:val="ListBullet"/>
            </w:pPr>
            <w:r w:rsidRPr="001E3675">
              <w:t>dimensions</w:t>
            </w:r>
          </w:p>
          <w:p w:rsidR="00000000" w:rsidRPr="001E3675" w:rsidP="001E3675">
            <w:pPr>
              <w:pStyle w:val="ListBullet"/>
            </w:pPr>
            <w:r w:rsidRPr="001E3675">
              <w:t>easements</w:t>
            </w:r>
          </w:p>
          <w:p w:rsidR="00000000" w:rsidRPr="001E3675" w:rsidP="001E3675">
            <w:pPr>
              <w:pStyle w:val="ListBullet"/>
            </w:pPr>
            <w:r w:rsidRPr="001E3675">
              <w:t>existing buildings and structures</w:t>
            </w:r>
          </w:p>
          <w:p w:rsidR="00000000" w:rsidRPr="001E3675" w:rsidP="001E3675">
            <w:pPr>
              <w:pStyle w:val="ListBullet"/>
            </w:pPr>
            <w:r w:rsidRPr="001E3675">
              <w:t>geographical features</w:t>
            </w:r>
          </w:p>
          <w:p w:rsidR="00000000" w:rsidRPr="001E3675" w:rsidP="001E3675">
            <w:pPr>
              <w:pStyle w:val="ListBullet"/>
            </w:pPr>
            <w:r w:rsidRPr="001E3675">
              <w:t>geological features</w:t>
            </w:r>
          </w:p>
          <w:p w:rsidR="00000000" w:rsidRPr="001E3675" w:rsidP="001E3675">
            <w:pPr>
              <w:pStyle w:val="ListBullet"/>
            </w:pPr>
            <w:r w:rsidRPr="001E3675">
              <w:t>heritage and cultural features</w:t>
            </w:r>
          </w:p>
          <w:p w:rsidR="00000000" w:rsidRPr="001E3675" w:rsidP="001E3675">
            <w:pPr>
              <w:pStyle w:val="ListBullet"/>
            </w:pPr>
            <w:r w:rsidRPr="001E3675">
              <w:t>location of plant and equipment</w:t>
            </w:r>
          </w:p>
          <w:p w:rsidR="00000000" w:rsidRPr="001E3675" w:rsidP="001E3675">
            <w:pPr>
              <w:pStyle w:val="ListBullet"/>
            </w:pPr>
            <w:r w:rsidRPr="001E3675">
              <w:t>powerlines and transmission lines</w:t>
            </w:r>
          </w:p>
          <w:p w:rsidR="00000000" w:rsidRPr="001E3675" w:rsidP="001E3675">
            <w:pPr>
              <w:pStyle w:val="ListBullet"/>
            </w:pPr>
            <w:r w:rsidRPr="001E3675">
              <w:t>proposed buildings</w:t>
            </w:r>
          </w:p>
          <w:p w:rsidR="00000000" w:rsidRPr="001E3675" w:rsidP="001E3675">
            <w:pPr>
              <w:pStyle w:val="ListBullet"/>
            </w:pPr>
            <w:r w:rsidRPr="001E3675">
              <w:t>railways</w:t>
            </w:r>
          </w:p>
          <w:p w:rsidR="00000000" w:rsidRPr="001E3675" w:rsidP="001E3675">
            <w:pPr>
              <w:pStyle w:val="ListBullet"/>
            </w:pPr>
            <w:r w:rsidRPr="001E3675">
              <w:t>roads</w:t>
            </w:r>
          </w:p>
          <w:p w:rsidR="00000000" w:rsidRPr="001E3675" w:rsidP="001E3675">
            <w:pPr>
              <w:pStyle w:val="ListBullet"/>
            </w:pPr>
            <w:r w:rsidRPr="001E3675">
              <w:t>service layouts and requirements</w:t>
            </w:r>
          </w:p>
          <w:p w:rsidR="00000000" w:rsidRPr="001E3675" w:rsidP="001E3675">
            <w:pPr>
              <w:pStyle w:val="ListBullet"/>
            </w:pPr>
            <w:r w:rsidRPr="001E3675">
              <w:t>services</w:t>
            </w:r>
          </w:p>
          <w:p w:rsidR="00000000" w:rsidRPr="001E3675" w:rsidP="001E3675">
            <w:pPr>
              <w:pStyle w:val="ListBullet"/>
            </w:pPr>
            <w:r w:rsidRPr="001E3675">
              <w:t>shape of structure or building</w:t>
            </w:r>
          </w:p>
          <w:p w:rsidR="00000000" w:rsidRPr="001E3675" w:rsidP="001E3675">
            <w:pPr>
              <w:pStyle w:val="ListBullet"/>
            </w:pPr>
            <w:r w:rsidRPr="001E3675">
              <w:t>site shape</w:t>
            </w:r>
            <w:r w:rsidRPr="001E3675">
              <w:t xml:space="preserve"> and orientation</w:t>
            </w:r>
          </w:p>
          <w:p w:rsidR="00000000" w:rsidRPr="001E3675" w:rsidP="001E3675">
            <w:pPr>
              <w:pStyle w:val="ListBullet"/>
            </w:pPr>
            <w:r w:rsidRPr="001E3675">
              <w:t>type of structure</w:t>
            </w:r>
          </w:p>
          <w:p w:rsidR="00000000" w:rsidRPr="001E3675" w:rsidP="001E3675">
            <w:pPr>
              <w:pStyle w:val="ListBullet"/>
            </w:pPr>
            <w:r w:rsidRPr="001E3675">
              <w:t>vertical and horizontal measurements.</w:t>
            </w:r>
          </w:p>
        </w:tc>
      </w:tr>
    </w:tbl>
    <w:p w:rsidR="00F31BA9" w:rsidP="001E3675">
      <w:pPr>
        <w:pStyle w:val="BodyText"/>
      </w:pPr>
    </w:p>
    <w:p w:rsidR="00F31BA9" w:rsidP="001E3675">
      <w:pPr>
        <w:pStyle w:val="BodyText"/>
      </w:pPr>
    </w:p>
    <w:p w:rsidR="00000000" w:rsidRPr="001E3675" w:rsidP="001E3675">
      <w:pPr>
        <w:pStyle w:val="Heading1"/>
      </w:pPr>
      <w:bookmarkStart w:id="12" w:name="O_365230"/>
      <w:bookmarkEnd w:id="12"/>
      <w:r w:rsidRPr="001E3675">
        <w:t>Unit Sector(s)</w:t>
      </w:r>
    </w:p>
    <w:p w:rsidR="00000000" w:rsidRPr="001E3675" w:rsidP="001E3675">
      <w:pPr>
        <w:pStyle w:val="BodyText"/>
      </w:pPr>
      <w:r w:rsidRPr="001E3675">
        <w:t>Fire protection equipment</w:t>
      </w:r>
    </w:p>
    <w:p w:rsidR="00000000" w:rsidRPr="001E3675" w:rsidP="001E3675">
      <w:pPr>
        <w:pStyle w:val="AllowPageBreak"/>
      </w:pPr>
    </w:p>
    <w:p w:rsidR="00000000" w:rsidRPr="001E3675" w:rsidP="001E3675">
      <w:pPr>
        <w:pStyle w:val="Heading1"/>
      </w:pPr>
      <w:bookmarkStart w:id="13" w:name="O_365231"/>
      <w:bookmarkEnd w:id="13"/>
      <w:r w:rsidRPr="001E3675">
        <w:t>Custom Content Section</w:t>
      </w:r>
    </w:p>
    <w:p w:rsidR="00000000" w:rsidRPr="001E3675" w:rsidP="001E3675">
      <w:pPr>
        <w:pStyle w:val="BodyText"/>
      </w:pPr>
      <w:r w:rsidRPr="001E3675">
        <w:t>Not applicable.</w:t>
      </w:r>
    </w:p>
    <w:p w:rsidR="00000000" w:rsidRPr="001E3675" w:rsidP="001E3675"/>
    <w:sectPr w:rsidSect="001E36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6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1BA9" w:rsidP="00F31B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6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BA9" w:rsidP="001E367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31BA9" w:rsidP="001E36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31BA9" w:rsidP="001E36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6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675" w:rsidRPr="00F31BA9" w:rsidP="00F31B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6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BA9" w:rsidRPr="002D2AF8" w:rsidP="001E3675">
    <w:pPr>
      <w:pStyle w:val="Header"/>
      <w:framePr w:wrap="around"/>
    </w:pPr>
    <w:r>
      <w:fldChar w:fldCharType="begin"/>
    </w:r>
    <w:r>
      <w:instrText xml:space="preserve"> TITLE   \* MERGEFORMAT </w:instrText>
    </w:r>
    <w:r>
      <w:fldChar w:fldCharType="separate"/>
    </w:r>
    <w:r>
      <w:t>CPPFES3044A Interpret installation requirements for gaseous fire-suppression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31BA9" w:rsidP="001E36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2E7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6C18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58A3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6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675"/>
    <w:pPr>
      <w:spacing w:before="360" w:after="60"/>
      <w:outlineLvl w:val="0"/>
    </w:pPr>
    <w:rPr>
      <w:sz w:val="32"/>
    </w:rPr>
  </w:style>
  <w:style w:type="paragraph" w:styleId="Heading2">
    <w:name w:val="heading 2"/>
    <w:basedOn w:val="HeadingBase"/>
    <w:next w:val="BodyText"/>
    <w:link w:val="Heading2Char"/>
    <w:qFormat/>
    <w:rsid w:val="001E3675"/>
    <w:pPr>
      <w:keepLines/>
      <w:spacing w:before="240" w:after="120"/>
      <w:outlineLvl w:val="1"/>
    </w:pPr>
    <w:rPr>
      <w:sz w:val="28"/>
      <w:szCs w:val="40"/>
    </w:rPr>
  </w:style>
  <w:style w:type="paragraph" w:styleId="Heading3">
    <w:name w:val="heading 3"/>
    <w:basedOn w:val="HeadingBase"/>
    <w:next w:val="BodyText"/>
    <w:link w:val="Heading3Char"/>
    <w:qFormat/>
    <w:rsid w:val="001E3675"/>
    <w:pPr>
      <w:spacing w:before="180" w:after="120"/>
      <w:outlineLvl w:val="2"/>
    </w:pPr>
    <w:rPr>
      <w:spacing w:val="-10"/>
      <w:kern w:val="32"/>
    </w:rPr>
  </w:style>
  <w:style w:type="paragraph" w:styleId="Heading4">
    <w:name w:val="heading 4"/>
    <w:basedOn w:val="HeadingBase"/>
    <w:next w:val="BodyText"/>
    <w:link w:val="Heading4Char"/>
    <w:qFormat/>
    <w:rsid w:val="001E3675"/>
    <w:pPr>
      <w:spacing w:before="160" w:after="120"/>
      <w:outlineLvl w:val="3"/>
    </w:pPr>
    <w:rPr>
      <w:sz w:val="22"/>
    </w:rPr>
  </w:style>
  <w:style w:type="paragraph" w:styleId="Heading5">
    <w:name w:val="heading 5"/>
    <w:basedOn w:val="HeadingBase"/>
    <w:next w:val="Normal"/>
    <w:link w:val="Heading5Char"/>
    <w:qFormat/>
    <w:rsid w:val="001E3675"/>
    <w:pPr>
      <w:spacing w:before="80"/>
      <w:outlineLvl w:val="4"/>
    </w:pPr>
    <w:rPr>
      <w:color w:val="918585"/>
      <w:sz w:val="20"/>
    </w:rPr>
  </w:style>
  <w:style w:type="paragraph" w:styleId="Heading6">
    <w:name w:val="heading 6"/>
    <w:basedOn w:val="HeadingBase"/>
    <w:next w:val="Normal"/>
    <w:link w:val="Heading6Char"/>
    <w:qFormat/>
    <w:rsid w:val="001E3675"/>
    <w:pPr>
      <w:spacing w:before="60"/>
      <w:outlineLvl w:val="5"/>
    </w:pPr>
    <w:rPr>
      <w:color w:val="918585"/>
      <w:sz w:val="20"/>
    </w:rPr>
  </w:style>
  <w:style w:type="paragraph" w:styleId="Heading7">
    <w:name w:val="heading 7"/>
    <w:basedOn w:val="Normal"/>
    <w:next w:val="Normal"/>
    <w:link w:val="Heading7Char"/>
    <w:qFormat/>
    <w:rsid w:val="001E3675"/>
    <w:pPr>
      <w:ind w:left="720"/>
      <w:outlineLvl w:val="6"/>
    </w:pPr>
    <w:rPr>
      <w:i/>
    </w:rPr>
  </w:style>
  <w:style w:type="paragraph" w:styleId="Heading8">
    <w:name w:val="heading 8"/>
    <w:basedOn w:val="Normal"/>
    <w:next w:val="Normal"/>
    <w:link w:val="Heading8Char"/>
    <w:qFormat/>
    <w:rsid w:val="001E3675"/>
    <w:pPr>
      <w:ind w:left="720"/>
      <w:outlineLvl w:val="7"/>
    </w:pPr>
    <w:rPr>
      <w:i/>
    </w:rPr>
  </w:style>
  <w:style w:type="paragraph" w:styleId="Heading9">
    <w:name w:val="heading 9"/>
    <w:basedOn w:val="Normal"/>
    <w:next w:val="Normal"/>
    <w:link w:val="Heading9Char"/>
    <w:qFormat/>
    <w:rsid w:val="001E3675"/>
    <w:pPr>
      <w:ind w:left="720"/>
      <w:outlineLvl w:val="8"/>
    </w:pPr>
    <w:rPr>
      <w:i/>
    </w:rPr>
  </w:style>
  <w:style w:type="character" w:default="1" w:styleId="DefaultParagraphFont">
    <w:name w:val="Default Paragraph Font"/>
    <w:uiPriority w:val="1"/>
    <w:unhideWhenUsed/>
    <w:rsid w:val="001E36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675"/>
  </w:style>
  <w:style w:type="character" w:customStyle="1" w:styleId="Heading1Char">
    <w:name w:val="Heading 1 Char"/>
    <w:basedOn w:val="DefaultParagraphFont"/>
    <w:link w:val="Heading1"/>
    <w:rsid w:val="001E3675"/>
    <w:rPr>
      <w:rFonts w:ascii="Times New Roman" w:eastAsia="Times New Roman" w:hAnsi="Times New Roman" w:cs="Times New Roman"/>
      <w:b/>
      <w:sz w:val="32"/>
      <w:szCs w:val="20"/>
      <w:lang w:eastAsia="en-US"/>
    </w:rPr>
  </w:style>
  <w:style w:type="paragraph" w:styleId="BodyText">
    <w:name w:val="Body Text"/>
    <w:basedOn w:val="Normal"/>
    <w:link w:val="BodyTextChar"/>
    <w:rsid w:val="001E36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3675"/>
    <w:rPr>
      <w:rFonts w:ascii="Times New Roman" w:eastAsia="Times New Roman" w:hAnsi="Times New Roman" w:cs="Times New Roman"/>
      <w:sz w:val="24"/>
      <w:lang w:eastAsia="en-US"/>
    </w:rPr>
  </w:style>
  <w:style w:type="paragraph" w:styleId="Footer">
    <w:name w:val="footer"/>
    <w:basedOn w:val="Normal"/>
    <w:link w:val="FooterChar"/>
    <w:rsid w:val="001E36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675"/>
    <w:rPr>
      <w:rFonts w:ascii="Times New Roman" w:eastAsia="Times New Roman" w:hAnsi="Times New Roman" w:cs="Times New Roman"/>
      <w:sz w:val="16"/>
      <w:lang w:eastAsia="en-US"/>
    </w:rPr>
  </w:style>
  <w:style w:type="paragraph" w:styleId="ListBullet">
    <w:name w:val="List Bullet"/>
    <w:basedOn w:val="List"/>
    <w:rsid w:val="001E3675"/>
    <w:pPr>
      <w:numPr>
        <w:numId w:val="13"/>
      </w:numPr>
      <w:tabs>
        <w:tab w:val="clear" w:pos="340"/>
      </w:tabs>
      <w:spacing w:before="40" w:after="40"/>
    </w:pPr>
  </w:style>
  <w:style w:type="character" w:customStyle="1" w:styleId="SpecialBold">
    <w:name w:val="Special Bold"/>
    <w:basedOn w:val="DefaultParagraphFont"/>
    <w:rsid w:val="001E3675"/>
    <w:rPr>
      <w:b/>
      <w:spacing w:val="0"/>
    </w:rPr>
  </w:style>
  <w:style w:type="paragraph" w:styleId="ListBullet2">
    <w:name w:val="List Bullet 2"/>
    <w:basedOn w:val="List2"/>
    <w:rsid w:val="001E3675"/>
    <w:pPr>
      <w:numPr>
        <w:numId w:val="14"/>
      </w:numPr>
      <w:tabs>
        <w:tab w:val="clear" w:pos="680"/>
      </w:tabs>
    </w:pPr>
  </w:style>
  <w:style w:type="paragraph" w:customStyle="1" w:styleId="SuperHeading">
    <w:name w:val="SuperHeading"/>
    <w:basedOn w:val="Normal"/>
    <w:rsid w:val="001E3675"/>
    <w:pPr>
      <w:spacing w:before="240" w:after="120"/>
      <w:outlineLvl w:val="0"/>
    </w:pPr>
    <w:rPr>
      <w:rFonts w:ascii="Times New Roman" w:hAnsi="Times New Roman"/>
      <w:b/>
      <w:sz w:val="28"/>
    </w:rPr>
  </w:style>
  <w:style w:type="paragraph" w:customStyle="1" w:styleId="AllowPageBreak">
    <w:name w:val="AllowPageBreak"/>
    <w:rsid w:val="001E36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E3675"/>
    <w:rPr>
      <w:b/>
      <w:i/>
      <w:u w:val="none"/>
    </w:rPr>
  </w:style>
  <w:style w:type="character" w:customStyle="1" w:styleId="Heading2Char">
    <w:name w:val="Heading 2 Char"/>
    <w:basedOn w:val="DefaultParagraphFont"/>
    <w:link w:val="Heading2"/>
    <w:rsid w:val="001E36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6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6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6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6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6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6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675"/>
    <w:rPr>
      <w:rFonts w:ascii="Courier New" w:eastAsia="Times New Roman" w:hAnsi="Courier New" w:cs="Times New Roman"/>
      <w:i/>
      <w:szCs w:val="20"/>
      <w:lang w:eastAsia="en-US"/>
    </w:rPr>
  </w:style>
  <w:style w:type="paragraph" w:customStyle="1" w:styleId="HeadingBase">
    <w:name w:val="Heading Base"/>
    <w:rsid w:val="001E36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675"/>
    <w:pPr>
      <w:tabs>
        <w:tab w:val="right" w:leader="dot" w:pos="9072"/>
      </w:tabs>
      <w:ind w:left="567"/>
    </w:pPr>
    <w:rPr>
      <w:szCs w:val="22"/>
    </w:rPr>
  </w:style>
  <w:style w:type="paragraph" w:customStyle="1" w:styleId="TOCBase">
    <w:name w:val="TOC Base"/>
    <w:rsid w:val="001E36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675"/>
    <w:pPr>
      <w:tabs>
        <w:tab w:val="right" w:leader="dot" w:pos="9072"/>
      </w:tabs>
      <w:spacing w:before="40" w:after="40"/>
      <w:ind w:left="284"/>
    </w:pPr>
    <w:rPr>
      <w:rFonts w:ascii="Times New Roman" w:hAnsi="Times New Roman"/>
    </w:rPr>
  </w:style>
  <w:style w:type="paragraph" w:styleId="TOC1">
    <w:name w:val="toc 1"/>
    <w:basedOn w:val="TOCBase"/>
    <w:next w:val="Normal"/>
    <w:rsid w:val="001E36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3675"/>
    <w:pPr>
      <w:spacing w:before="5040"/>
      <w:jc w:val="center"/>
    </w:pPr>
    <w:rPr>
      <w:sz w:val="48"/>
      <w:szCs w:val="72"/>
      <w:lang w:val="en-US"/>
    </w:rPr>
  </w:style>
  <w:style w:type="character" w:customStyle="1" w:styleId="TitleChar">
    <w:name w:val="Title Char"/>
    <w:basedOn w:val="DefaultParagraphFont"/>
    <w:link w:val="Title"/>
    <w:rsid w:val="001E36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675"/>
    <w:pPr>
      <w:tabs>
        <w:tab w:val="left" w:pos="3600"/>
        <w:tab w:val="left" w:pos="3958"/>
      </w:tabs>
    </w:pPr>
  </w:style>
  <w:style w:type="paragraph" w:styleId="List">
    <w:name w:val="List"/>
    <w:basedOn w:val="BodyText"/>
    <w:next w:val="BodyText"/>
    <w:rsid w:val="001E3675"/>
    <w:pPr>
      <w:tabs>
        <w:tab w:val="left" w:pos="340"/>
      </w:tabs>
      <w:spacing w:before="60" w:after="60"/>
      <w:ind w:left="340" w:hanging="340"/>
    </w:pPr>
  </w:style>
  <w:style w:type="paragraph" w:customStyle="1" w:styleId="Note">
    <w:name w:val="Note"/>
    <w:basedOn w:val="BodyText"/>
    <w:rsid w:val="001E36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675"/>
    <w:pPr>
      <w:framePr w:wrap="auto" w:hAnchor="text" w:y="6049"/>
    </w:pPr>
    <w:rPr>
      <w:color w:val="000000"/>
      <w:sz w:val="40"/>
    </w:rPr>
  </w:style>
  <w:style w:type="paragraph" w:customStyle="1" w:styleId="TOCTitle">
    <w:name w:val="TOCTitle"/>
    <w:basedOn w:val="Heading1"/>
    <w:rsid w:val="001E3675"/>
    <w:pPr>
      <w:spacing w:after="240"/>
      <w:jc w:val="center"/>
      <w:outlineLvl w:val="9"/>
    </w:pPr>
    <w:rPr>
      <w:caps/>
    </w:rPr>
  </w:style>
  <w:style w:type="paragraph" w:customStyle="1" w:styleId="Version">
    <w:name w:val="Version"/>
    <w:rsid w:val="001E36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3675"/>
    <w:pPr>
      <w:keepNext w:val="0"/>
      <w:tabs>
        <w:tab w:val="right" w:pos="4176"/>
      </w:tabs>
      <w:ind w:left="198" w:hanging="198"/>
    </w:pPr>
    <w:rPr>
      <w:rFonts w:ascii="Garamond" w:hAnsi="Garamond"/>
    </w:rPr>
  </w:style>
  <w:style w:type="paragraph" w:styleId="IndexHeading">
    <w:name w:val="index heading"/>
    <w:basedOn w:val="Normal"/>
    <w:next w:val="Index1"/>
    <w:semiHidden/>
    <w:rsid w:val="001E3675"/>
    <w:pPr>
      <w:spacing w:before="120" w:after="120"/>
    </w:pPr>
    <w:rPr>
      <w:rFonts w:ascii="Arial" w:hAnsi="Arial"/>
      <w:b/>
      <w:color w:val="918585"/>
      <w:sz w:val="24"/>
    </w:rPr>
  </w:style>
  <w:style w:type="paragraph" w:styleId="Header">
    <w:name w:val="header"/>
    <w:basedOn w:val="Normal"/>
    <w:link w:val="HeaderChar"/>
    <w:rsid w:val="001E36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675"/>
    <w:rPr>
      <w:rFonts w:ascii="Times New Roman" w:eastAsia="Times New Roman" w:hAnsi="Times New Roman" w:cs="Times New Roman"/>
      <w:sz w:val="16"/>
      <w:szCs w:val="20"/>
      <w:lang w:val="en-GB" w:eastAsia="en-US"/>
    </w:rPr>
  </w:style>
  <w:style w:type="paragraph" w:customStyle="1" w:styleId="Chapter">
    <w:name w:val="Chapter"/>
    <w:basedOn w:val="Normal"/>
    <w:rsid w:val="001E3675"/>
    <w:pPr>
      <w:spacing w:before="240"/>
    </w:pPr>
    <w:rPr>
      <w:rFonts w:ascii="Times New Roman" w:hAnsi="Times New Roman"/>
      <w:smallCaps/>
      <w:spacing w:val="80"/>
      <w:sz w:val="28"/>
    </w:rPr>
  </w:style>
  <w:style w:type="paragraph" w:customStyle="1" w:styleId="InChapter">
    <w:name w:val="InChapter"/>
    <w:basedOn w:val="Heading3"/>
    <w:rsid w:val="001E3675"/>
    <w:pPr>
      <w:spacing w:after="240"/>
      <w:outlineLvl w:val="9"/>
    </w:pPr>
    <w:rPr>
      <w:noProof/>
    </w:rPr>
  </w:style>
  <w:style w:type="paragraph" w:styleId="Index2">
    <w:name w:val="index 2"/>
    <w:basedOn w:val="Normal"/>
    <w:next w:val="Normal"/>
    <w:semiHidden/>
    <w:rsid w:val="001E3675"/>
    <w:pPr>
      <w:tabs>
        <w:tab w:val="right" w:pos="4176"/>
      </w:tabs>
      <w:ind w:left="568" w:hanging="284"/>
    </w:pPr>
    <w:rPr>
      <w:rFonts w:ascii="Garamond" w:hAnsi="Garamond"/>
    </w:rPr>
  </w:style>
  <w:style w:type="paragraph" w:customStyle="1" w:styleId="Byline">
    <w:name w:val="Byline"/>
    <w:rsid w:val="001E36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675"/>
    <w:pPr>
      <w:tabs>
        <w:tab w:val="clear" w:pos="3600"/>
        <w:tab w:val="clear" w:pos="3958"/>
      </w:tabs>
      <w:jc w:val="right"/>
    </w:pPr>
  </w:style>
  <w:style w:type="character" w:styleId="Emphasis">
    <w:name w:val="Emphasis"/>
    <w:basedOn w:val="DefaultParagraphFont"/>
    <w:qFormat/>
    <w:rsid w:val="001E3675"/>
    <w:rPr>
      <w:i/>
    </w:rPr>
  </w:style>
  <w:style w:type="paragraph" w:styleId="Caption">
    <w:name w:val="caption"/>
    <w:basedOn w:val="BodyText"/>
    <w:next w:val="Normal"/>
    <w:qFormat/>
    <w:rsid w:val="001E3675"/>
    <w:pPr>
      <w:framePr w:w="2268" w:hSpace="181" w:vSpace="181" w:wrap="around" w:vAnchor="text" w:hAnchor="page" w:x="1135" w:y="285" w:anchorLock="1"/>
    </w:pPr>
    <w:rPr>
      <w:i/>
    </w:rPr>
  </w:style>
  <w:style w:type="paragraph" w:customStyle="1" w:styleId="MiniTOCTitle">
    <w:name w:val="MiniTOCTitle"/>
    <w:basedOn w:val="Heading4"/>
    <w:rsid w:val="001E3675"/>
    <w:pPr>
      <w:spacing w:before="240"/>
      <w:outlineLvl w:val="9"/>
    </w:pPr>
    <w:rPr>
      <w:noProof/>
      <w:sz w:val="24"/>
    </w:rPr>
  </w:style>
  <w:style w:type="paragraph" w:customStyle="1" w:styleId="MiniTOCItem">
    <w:name w:val="MiniTOCItem"/>
    <w:basedOn w:val="ListBullet"/>
    <w:rsid w:val="001E3675"/>
    <w:pPr>
      <w:numPr>
        <w:numId w:val="0"/>
      </w:numPr>
      <w:tabs>
        <w:tab w:val="right" w:leader="dot" w:pos="6521"/>
      </w:tabs>
      <w:spacing w:before="0" w:after="0"/>
    </w:pPr>
  </w:style>
  <w:style w:type="paragraph" w:customStyle="1" w:styleId="TOFTitle">
    <w:name w:val="TOFTitle"/>
    <w:basedOn w:val="TOCTitle"/>
    <w:rsid w:val="001E3675"/>
  </w:style>
  <w:style w:type="paragraph" w:styleId="TableofFigures">
    <w:name w:val="table of figures"/>
    <w:basedOn w:val="Normal"/>
    <w:next w:val="Normal"/>
    <w:semiHidden/>
    <w:rsid w:val="001E3675"/>
    <w:pPr>
      <w:tabs>
        <w:tab w:val="right" w:leader="dot" w:pos="9072"/>
      </w:tabs>
      <w:ind w:left="970" w:hanging="403"/>
    </w:pPr>
    <w:rPr>
      <w:rFonts w:ascii="Times New Roman" w:hAnsi="Times New Roman"/>
      <w:b/>
    </w:rPr>
  </w:style>
  <w:style w:type="paragraph" w:styleId="ListNumber">
    <w:name w:val="List Number"/>
    <w:basedOn w:val="List"/>
    <w:rsid w:val="001E3675"/>
    <w:pPr>
      <w:numPr>
        <w:numId w:val="11"/>
      </w:numPr>
    </w:pPr>
  </w:style>
  <w:style w:type="character" w:customStyle="1" w:styleId="WingdingSymbols">
    <w:name w:val="Wingding Symbols"/>
    <w:rsid w:val="001E3675"/>
    <w:rPr>
      <w:rFonts w:ascii="Wingdings" w:hAnsi="Wingdings"/>
    </w:rPr>
  </w:style>
  <w:style w:type="paragraph" w:customStyle="1" w:styleId="TableHeading">
    <w:name w:val="Table Heading"/>
    <w:basedOn w:val="HeadingBase"/>
    <w:rsid w:val="001E3675"/>
    <w:pPr>
      <w:keepLines/>
      <w:pBdr>
        <w:bottom w:val="single" w:sz="6" w:space="1" w:color="918585"/>
      </w:pBdr>
      <w:spacing w:before="240"/>
    </w:pPr>
  </w:style>
  <w:style w:type="character" w:customStyle="1" w:styleId="HotSpot">
    <w:name w:val="HotSpot"/>
    <w:rsid w:val="001E3675"/>
    <w:rPr>
      <w:color w:val="0033CC"/>
      <w:u w:val="none"/>
    </w:rPr>
  </w:style>
  <w:style w:type="paragraph" w:customStyle="1" w:styleId="BodyTextRight">
    <w:name w:val="Body Text Right"/>
    <w:basedOn w:val="BodyText"/>
    <w:rsid w:val="001E3675"/>
    <w:pPr>
      <w:spacing w:before="0" w:after="0"/>
      <w:jc w:val="right"/>
    </w:pPr>
  </w:style>
  <w:style w:type="paragraph" w:styleId="Index3">
    <w:name w:val="index 3"/>
    <w:basedOn w:val="ListNumber2"/>
    <w:next w:val="Normal"/>
    <w:semiHidden/>
    <w:rsid w:val="001E3675"/>
    <w:pPr>
      <w:numPr>
        <w:numId w:val="0"/>
      </w:numPr>
      <w:tabs>
        <w:tab w:val="right" w:leader="dot" w:pos="4176"/>
      </w:tabs>
    </w:pPr>
  </w:style>
  <w:style w:type="paragraph" w:styleId="ListNumber2">
    <w:name w:val="List Number 2"/>
    <w:basedOn w:val="List2"/>
    <w:rsid w:val="001E3675"/>
    <w:pPr>
      <w:numPr>
        <w:numId w:val="10"/>
      </w:numPr>
      <w:tabs>
        <w:tab w:val="clear" w:pos="1060"/>
      </w:tabs>
    </w:pPr>
  </w:style>
  <w:style w:type="paragraph" w:customStyle="1" w:styleId="MarginNote">
    <w:name w:val="Margin Note"/>
    <w:basedOn w:val="BodyText"/>
    <w:rsid w:val="001E36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6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6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675"/>
    <w:rPr>
      <w:sz w:val="32"/>
    </w:rPr>
  </w:style>
  <w:style w:type="paragraph" w:customStyle="1" w:styleId="HeadingProcedure">
    <w:name w:val="Heading Procedure"/>
    <w:basedOn w:val="HeadingBase"/>
    <w:next w:val="Normal"/>
    <w:rsid w:val="001E3675"/>
    <w:pPr>
      <w:tabs>
        <w:tab w:val="left" w:pos="0"/>
      </w:tabs>
      <w:spacing w:before="120" w:after="60"/>
    </w:pPr>
    <w:rPr>
      <w:i/>
      <w:color w:val="918585"/>
      <w:sz w:val="22"/>
    </w:rPr>
  </w:style>
  <w:style w:type="paragraph" w:customStyle="1" w:styleId="TableBodyText">
    <w:name w:val="Table Body Text"/>
    <w:basedOn w:val="BodyText"/>
    <w:rsid w:val="001E3675"/>
    <w:pPr>
      <w:spacing w:before="60" w:after="60"/>
    </w:pPr>
  </w:style>
  <w:style w:type="paragraph" w:styleId="ListContinue">
    <w:name w:val="List Continue"/>
    <w:basedOn w:val="List"/>
    <w:rsid w:val="001E3675"/>
    <w:pPr>
      <w:ind w:firstLine="0"/>
    </w:pPr>
  </w:style>
  <w:style w:type="paragraph" w:customStyle="1" w:styleId="ListNote">
    <w:name w:val="List Note"/>
    <w:basedOn w:val="List"/>
    <w:rsid w:val="001E3675"/>
    <w:pPr>
      <w:pBdr>
        <w:top w:val="single" w:sz="6" w:space="2" w:color="918585"/>
        <w:bottom w:val="single" w:sz="6" w:space="2" w:color="918585"/>
      </w:pBdr>
      <w:tabs>
        <w:tab w:val="left" w:pos="1021"/>
      </w:tabs>
      <w:ind w:firstLine="0"/>
    </w:pPr>
  </w:style>
  <w:style w:type="paragraph" w:customStyle="1" w:styleId="Warning">
    <w:name w:val="Warning"/>
    <w:basedOn w:val="BodyText"/>
    <w:rsid w:val="001E3675"/>
    <w:pPr>
      <w:shd w:val="clear" w:color="auto" w:fill="D9D9D9"/>
      <w:tabs>
        <w:tab w:val="left" w:pos="992"/>
      </w:tabs>
      <w:ind w:left="119" w:right="119"/>
    </w:pPr>
    <w:rPr>
      <w:sz w:val="20"/>
    </w:rPr>
  </w:style>
  <w:style w:type="paragraph" w:customStyle="1" w:styleId="MarginIcons">
    <w:name w:val="Margin Icons"/>
    <w:basedOn w:val="BodyText"/>
    <w:rsid w:val="001E36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675"/>
    <w:rPr>
      <w:rFonts w:ascii="Courier New" w:hAnsi="Courier New"/>
    </w:rPr>
  </w:style>
  <w:style w:type="paragraph" w:customStyle="1" w:styleId="NoteBullet">
    <w:name w:val="Note Bullet"/>
    <w:basedOn w:val="Note"/>
    <w:rsid w:val="001E3675"/>
    <w:pPr>
      <w:tabs>
        <w:tab w:val="clear" w:pos="680"/>
      </w:tabs>
      <w:spacing w:before="60" w:after="60"/>
    </w:pPr>
  </w:style>
  <w:style w:type="paragraph" w:customStyle="1" w:styleId="SubHeading2">
    <w:name w:val="SubHeading2"/>
    <w:basedOn w:val="HeadingBase"/>
    <w:rsid w:val="001E3675"/>
    <w:pPr>
      <w:spacing w:before="240" w:after="60"/>
    </w:pPr>
    <w:rPr>
      <w:sz w:val="20"/>
    </w:rPr>
  </w:style>
  <w:style w:type="paragraph" w:customStyle="1" w:styleId="SubHeading1">
    <w:name w:val="SubHeading1"/>
    <w:basedOn w:val="HeadingBase"/>
    <w:rsid w:val="001E3675"/>
    <w:pPr>
      <w:spacing w:before="240" w:after="60"/>
    </w:pPr>
    <w:rPr>
      <w:color w:val="918585"/>
      <w:sz w:val="22"/>
    </w:rPr>
  </w:style>
  <w:style w:type="paragraph" w:customStyle="1" w:styleId="SideHeading">
    <w:name w:val="Side Heading"/>
    <w:basedOn w:val="HeadingBase"/>
    <w:rsid w:val="001E36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675"/>
    <w:pPr>
      <w:numPr>
        <w:numId w:val="12"/>
      </w:numPr>
    </w:pPr>
  </w:style>
  <w:style w:type="paragraph" w:styleId="PlainText">
    <w:name w:val="Plain Text"/>
    <w:basedOn w:val="Normal"/>
    <w:link w:val="PlainTextChar"/>
    <w:rsid w:val="001E3675"/>
    <w:rPr>
      <w:sz w:val="20"/>
    </w:rPr>
  </w:style>
  <w:style w:type="character" w:customStyle="1" w:styleId="PlainTextChar">
    <w:name w:val="Plain Text Char"/>
    <w:basedOn w:val="DefaultParagraphFont"/>
    <w:link w:val="PlainText"/>
    <w:rsid w:val="001E3675"/>
    <w:rPr>
      <w:rFonts w:ascii="Courier New" w:eastAsia="Times New Roman" w:hAnsi="Courier New" w:cs="Times New Roman"/>
      <w:sz w:val="20"/>
      <w:szCs w:val="20"/>
      <w:lang w:eastAsia="en-US"/>
    </w:rPr>
  </w:style>
  <w:style w:type="character" w:customStyle="1" w:styleId="MenuOption">
    <w:name w:val="Menu Option"/>
    <w:basedOn w:val="DefaultParagraphFont"/>
    <w:rsid w:val="001E3675"/>
    <w:rPr>
      <w:b/>
      <w:smallCaps/>
    </w:rPr>
  </w:style>
  <w:style w:type="paragraph" w:customStyle="1" w:styleId="TableListNumber">
    <w:name w:val="Table List Number"/>
    <w:basedOn w:val="ListNumber"/>
    <w:rsid w:val="001E3675"/>
    <w:pPr>
      <w:numPr>
        <w:numId w:val="0"/>
      </w:numPr>
    </w:pPr>
  </w:style>
  <w:style w:type="paragraph" w:styleId="TOC4">
    <w:name w:val="toc 4"/>
    <w:basedOn w:val="TOCBase"/>
    <w:next w:val="Normal"/>
    <w:semiHidden/>
    <w:rsid w:val="001E3675"/>
    <w:pPr>
      <w:tabs>
        <w:tab w:val="right" w:leader="dot" w:pos="9071"/>
      </w:tabs>
      <w:ind w:left="1701"/>
    </w:pPr>
  </w:style>
  <w:style w:type="paragraph" w:customStyle="1" w:styleId="ListAlpha">
    <w:name w:val="List Alpha"/>
    <w:basedOn w:val="List"/>
    <w:rsid w:val="001E3675"/>
    <w:pPr>
      <w:numPr>
        <w:numId w:val="9"/>
      </w:numPr>
    </w:pPr>
  </w:style>
  <w:style w:type="paragraph" w:customStyle="1" w:styleId="ListAlpha2">
    <w:name w:val="List Alpha 2"/>
    <w:basedOn w:val="List2"/>
    <w:rsid w:val="001E3675"/>
    <w:pPr>
      <w:numPr>
        <w:numId w:val="8"/>
      </w:numPr>
    </w:pPr>
  </w:style>
  <w:style w:type="paragraph" w:styleId="List2">
    <w:name w:val="List 2"/>
    <w:basedOn w:val="BodyText"/>
    <w:rsid w:val="001E3675"/>
    <w:pPr>
      <w:tabs>
        <w:tab w:val="left" w:pos="680"/>
      </w:tabs>
      <w:spacing w:before="60" w:after="60"/>
      <w:ind w:left="680" w:hanging="340"/>
    </w:pPr>
  </w:style>
  <w:style w:type="paragraph" w:styleId="List3">
    <w:name w:val="List 3"/>
    <w:basedOn w:val="BodyText"/>
    <w:rsid w:val="001E3675"/>
    <w:pPr>
      <w:tabs>
        <w:tab w:val="left" w:pos="1021"/>
      </w:tabs>
      <w:spacing w:before="60" w:after="60"/>
      <w:ind w:left="1020" w:hanging="340"/>
    </w:pPr>
  </w:style>
  <w:style w:type="paragraph" w:styleId="List4">
    <w:name w:val="List 4"/>
    <w:basedOn w:val="BodyText"/>
    <w:rsid w:val="001E3675"/>
    <w:pPr>
      <w:tabs>
        <w:tab w:val="left" w:pos="1361"/>
      </w:tabs>
      <w:spacing w:before="60" w:after="60"/>
      <w:ind w:left="1361" w:hanging="340"/>
    </w:pPr>
  </w:style>
  <w:style w:type="paragraph" w:styleId="List5">
    <w:name w:val="List 5"/>
    <w:basedOn w:val="BodyText"/>
    <w:rsid w:val="001E3675"/>
    <w:pPr>
      <w:tabs>
        <w:tab w:val="left" w:pos="1701"/>
      </w:tabs>
      <w:spacing w:before="60" w:after="60"/>
      <w:ind w:left="1701" w:hanging="340"/>
    </w:pPr>
  </w:style>
  <w:style w:type="paragraph" w:styleId="ListBullet3">
    <w:name w:val="List Bullet 3"/>
    <w:basedOn w:val="List3"/>
    <w:rsid w:val="001E3675"/>
    <w:pPr>
      <w:numPr>
        <w:numId w:val="15"/>
      </w:numPr>
      <w:tabs>
        <w:tab w:val="clear" w:pos="1021"/>
      </w:tabs>
      <w:ind w:left="1037" w:hanging="357"/>
    </w:pPr>
  </w:style>
  <w:style w:type="paragraph" w:styleId="ListBullet4">
    <w:name w:val="List Bullet 4"/>
    <w:basedOn w:val="List4"/>
    <w:rsid w:val="001E3675"/>
    <w:pPr>
      <w:numPr>
        <w:numId w:val="3"/>
      </w:numPr>
    </w:pPr>
  </w:style>
  <w:style w:type="paragraph" w:styleId="ListBullet5">
    <w:name w:val="List Bullet 5"/>
    <w:basedOn w:val="List5"/>
    <w:rsid w:val="001E3675"/>
    <w:pPr>
      <w:numPr>
        <w:numId w:val="4"/>
      </w:numPr>
    </w:pPr>
  </w:style>
  <w:style w:type="paragraph" w:styleId="ListContinue2">
    <w:name w:val="List Continue 2"/>
    <w:basedOn w:val="List2"/>
    <w:rsid w:val="001E3675"/>
    <w:pPr>
      <w:ind w:firstLine="0"/>
    </w:pPr>
  </w:style>
  <w:style w:type="paragraph" w:styleId="ListContinue3">
    <w:name w:val="List Continue 3"/>
    <w:basedOn w:val="List3"/>
    <w:rsid w:val="001E3675"/>
    <w:pPr>
      <w:ind w:left="1021" w:firstLine="0"/>
    </w:pPr>
  </w:style>
  <w:style w:type="paragraph" w:styleId="ListContinue4">
    <w:name w:val="List Continue 4"/>
    <w:basedOn w:val="List4"/>
    <w:rsid w:val="001E3675"/>
    <w:pPr>
      <w:ind w:firstLine="0"/>
    </w:pPr>
  </w:style>
  <w:style w:type="paragraph" w:styleId="ListContinue5">
    <w:name w:val="List Continue 5"/>
    <w:basedOn w:val="List5"/>
    <w:rsid w:val="001E3675"/>
    <w:pPr>
      <w:ind w:firstLine="0"/>
    </w:pPr>
  </w:style>
  <w:style w:type="paragraph" w:styleId="ListNumber3">
    <w:name w:val="List Number 3"/>
    <w:basedOn w:val="List3"/>
    <w:rsid w:val="001E3675"/>
    <w:pPr>
      <w:numPr>
        <w:numId w:val="5"/>
      </w:numPr>
    </w:pPr>
  </w:style>
  <w:style w:type="paragraph" w:styleId="ListNumber4">
    <w:name w:val="List Number 4"/>
    <w:basedOn w:val="List4"/>
    <w:rsid w:val="001E3675"/>
    <w:pPr>
      <w:numPr>
        <w:numId w:val="6"/>
      </w:numPr>
    </w:pPr>
  </w:style>
  <w:style w:type="paragraph" w:styleId="ListNumber5">
    <w:name w:val="List Number 5"/>
    <w:basedOn w:val="List5"/>
    <w:rsid w:val="001E3675"/>
    <w:pPr>
      <w:numPr>
        <w:numId w:val="7"/>
      </w:numPr>
    </w:pPr>
  </w:style>
  <w:style w:type="paragraph" w:styleId="BlockText">
    <w:name w:val="Block Text"/>
    <w:basedOn w:val="Normal"/>
    <w:rsid w:val="001E3675"/>
    <w:pPr>
      <w:spacing w:after="120"/>
      <w:ind w:left="1440" w:right="1440"/>
    </w:pPr>
  </w:style>
  <w:style w:type="character" w:customStyle="1" w:styleId="Subscript">
    <w:name w:val="Subscript"/>
    <w:basedOn w:val="DefaultParagraphFont"/>
    <w:rsid w:val="001E3675"/>
    <w:rPr>
      <w:sz w:val="16"/>
      <w:vertAlign w:val="subscript"/>
    </w:rPr>
  </w:style>
  <w:style w:type="character" w:customStyle="1" w:styleId="Superscript">
    <w:name w:val="Superscript"/>
    <w:basedOn w:val="DefaultParagraphFont"/>
    <w:rsid w:val="001E3675"/>
    <w:rPr>
      <w:sz w:val="16"/>
      <w:vertAlign w:val="superscript"/>
    </w:rPr>
  </w:style>
  <w:style w:type="character" w:customStyle="1" w:styleId="Symbols">
    <w:name w:val="Symbols"/>
    <w:basedOn w:val="DefaultParagraphFont"/>
    <w:rsid w:val="001E3675"/>
    <w:rPr>
      <w:rFonts w:ascii="Symbol" w:hAnsi="Symbol"/>
    </w:rPr>
  </w:style>
  <w:style w:type="character" w:customStyle="1" w:styleId="MenuOptions">
    <w:name w:val="Menu Options"/>
    <w:basedOn w:val="DefaultParagraphFont"/>
    <w:rsid w:val="001E3675"/>
    <w:rPr>
      <w:rFonts w:ascii="Arial Narrow" w:hAnsi="Arial Narrow"/>
      <w:smallCaps/>
    </w:rPr>
  </w:style>
  <w:style w:type="character" w:customStyle="1" w:styleId="Buttons">
    <w:name w:val="Buttons"/>
    <w:basedOn w:val="DefaultParagraphFont"/>
    <w:rsid w:val="001E3675"/>
    <w:rPr>
      <w:b/>
    </w:rPr>
  </w:style>
  <w:style w:type="character" w:customStyle="1" w:styleId="Underlined">
    <w:name w:val="Underlined"/>
    <w:basedOn w:val="DefaultParagraphFont"/>
    <w:rsid w:val="001E3675"/>
    <w:rPr>
      <w:u w:val="single"/>
    </w:rPr>
  </w:style>
  <w:style w:type="paragraph" w:customStyle="1" w:styleId="TableBodyTextRight">
    <w:name w:val="Table Body Text Right"/>
    <w:basedOn w:val="TableBodyText"/>
    <w:rsid w:val="001E3675"/>
    <w:pPr>
      <w:widowControl w:val="0"/>
      <w:autoSpaceDE w:val="0"/>
      <w:autoSpaceDN w:val="0"/>
      <w:adjustRightInd w:val="0"/>
      <w:jc w:val="right"/>
    </w:pPr>
    <w:rPr>
      <w:rFonts w:cs="Arial"/>
      <w:szCs w:val="18"/>
    </w:rPr>
  </w:style>
  <w:style w:type="paragraph" w:customStyle="1" w:styleId="CopyrightText">
    <w:name w:val="Copyright Text"/>
    <w:basedOn w:val="BodyText"/>
    <w:rsid w:val="001E3675"/>
    <w:rPr>
      <w:sz w:val="18"/>
    </w:rPr>
  </w:style>
  <w:style w:type="paragraph" w:customStyle="1" w:styleId="BodySmallRight">
    <w:name w:val="Body Small Right"/>
    <w:basedOn w:val="BodyTextRight"/>
    <w:rsid w:val="001E3675"/>
    <w:rPr>
      <w:sz w:val="18"/>
      <w:szCs w:val="18"/>
    </w:rPr>
  </w:style>
  <w:style w:type="paragraph" w:customStyle="1" w:styleId="MarginEdition">
    <w:name w:val="Margin Edition"/>
    <w:basedOn w:val="MarginNote"/>
    <w:rsid w:val="001E3675"/>
    <w:pPr>
      <w:spacing w:before="0" w:after="0"/>
    </w:pPr>
    <w:rPr>
      <w:rFonts w:ascii="Times New Roman" w:hAnsi="Times New Roman"/>
      <w:color w:val="999999"/>
    </w:rPr>
  </w:style>
  <w:style w:type="paragraph" w:customStyle="1" w:styleId="Spacer">
    <w:name w:val="Spacer"/>
    <w:basedOn w:val="Normal"/>
    <w:rsid w:val="001E3675"/>
    <w:rPr>
      <w:sz w:val="2"/>
      <w:szCs w:val="2"/>
    </w:rPr>
  </w:style>
  <w:style w:type="character" w:customStyle="1" w:styleId="Small">
    <w:name w:val="Small"/>
    <w:basedOn w:val="DefaultParagraphFont"/>
    <w:rsid w:val="001E3675"/>
    <w:rPr>
      <w:sz w:val="16"/>
    </w:rPr>
  </w:style>
  <w:style w:type="paragraph" w:customStyle="1" w:styleId="WideTable">
    <w:name w:val="Wide Table"/>
    <w:basedOn w:val="Normal"/>
    <w:rsid w:val="001E3675"/>
    <w:pPr>
      <w:ind w:left="-1418"/>
    </w:pPr>
    <w:rPr>
      <w:sz w:val="2"/>
      <w:szCs w:val="2"/>
    </w:rPr>
  </w:style>
  <w:style w:type="character" w:styleId="PageNumber">
    <w:name w:val="page number"/>
    <w:basedOn w:val="DefaultParagraphFont"/>
    <w:rsid w:val="001E3675"/>
  </w:style>
  <w:style w:type="paragraph" w:styleId="Quote">
    <w:name w:val="Quote"/>
    <w:basedOn w:val="Heading1"/>
    <w:link w:val="QuoteChar"/>
    <w:qFormat/>
    <w:rsid w:val="001E3675"/>
    <w:rPr>
      <w:b w:val="0"/>
      <w:sz w:val="72"/>
      <w:szCs w:val="72"/>
      <w:lang w:val="en-NZ"/>
    </w:rPr>
  </w:style>
  <w:style w:type="character" w:customStyle="1" w:styleId="QuoteChar">
    <w:name w:val="Quote Char"/>
    <w:basedOn w:val="DefaultParagraphFont"/>
    <w:link w:val="Quote"/>
    <w:rsid w:val="001E36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675"/>
    <w:pPr>
      <w:pageBreakBefore/>
    </w:pPr>
  </w:style>
  <w:style w:type="paragraph" w:customStyle="1" w:styleId="Border">
    <w:name w:val="Border"/>
    <w:basedOn w:val="Normal"/>
    <w:qFormat/>
    <w:rsid w:val="001E36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675"/>
    <w:rPr>
      <w:b/>
      <w:bCs/>
      <w:i/>
      <w:iCs/>
      <w:color w:val="auto"/>
    </w:rPr>
  </w:style>
  <w:style w:type="paragraph" w:styleId="IntenseQuote">
    <w:name w:val="Intense Quote"/>
    <w:basedOn w:val="Normal"/>
    <w:next w:val="Normal"/>
    <w:link w:val="IntenseQuoteChar"/>
    <w:uiPriority w:val="30"/>
    <w:qFormat/>
    <w:rsid w:val="001E36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6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675"/>
    <w:rPr>
      <w:smallCaps/>
      <w:color w:val="auto"/>
      <w:u w:val="single"/>
    </w:rPr>
  </w:style>
  <w:style w:type="character" w:styleId="IntenseReference">
    <w:name w:val="Intense Reference"/>
    <w:basedOn w:val="DefaultParagraphFont"/>
    <w:uiPriority w:val="32"/>
    <w:qFormat/>
    <w:rsid w:val="001E3675"/>
    <w:rPr>
      <w:b/>
      <w:bCs/>
      <w:smallCaps/>
      <w:color w:val="auto"/>
      <w:spacing w:val="5"/>
      <w:u w:val="single"/>
    </w:rPr>
  </w:style>
  <w:style w:type="paragraph" w:customStyle="1" w:styleId="2ColumnHeading">
    <w:name w:val="2Column Heading"/>
    <w:basedOn w:val="BodyText"/>
    <w:qFormat/>
    <w:rsid w:val="001E3675"/>
    <w:pPr>
      <w:spacing w:after="60"/>
      <w:ind w:left="-2268"/>
    </w:pPr>
    <w:rPr>
      <w:b/>
    </w:rPr>
  </w:style>
  <w:style w:type="paragraph" w:customStyle="1" w:styleId="Heading1TOC">
    <w:name w:val="Heading1 TOC"/>
    <w:basedOn w:val="Normal"/>
    <w:qFormat/>
    <w:rsid w:val="001E3675"/>
    <w:pPr>
      <w:spacing w:before="240" w:after="120"/>
    </w:pPr>
    <w:rPr>
      <w:rFonts w:ascii="Times New Roman" w:hAnsi="Times New Roman"/>
      <w:b/>
      <w:sz w:val="32"/>
    </w:rPr>
  </w:style>
  <w:style w:type="paragraph" w:customStyle="1" w:styleId="Heading2TOC">
    <w:name w:val="Heading2 TOC"/>
    <w:basedOn w:val="Normal"/>
    <w:qFormat/>
    <w:rsid w:val="001E3675"/>
    <w:pPr>
      <w:spacing w:before="240" w:after="60"/>
    </w:pPr>
    <w:rPr>
      <w:rFonts w:ascii="Times New Roman" w:hAnsi="Times New Roman"/>
      <w:b/>
      <w:sz w:val="28"/>
    </w:rPr>
  </w:style>
  <w:style w:type="character" w:customStyle="1" w:styleId="Underline">
    <w:name w:val="Underline"/>
    <w:basedOn w:val="DefaultParagraphFont"/>
    <w:qFormat/>
    <w:rsid w:val="001E3675"/>
    <w:rPr>
      <w:u w:val="single"/>
    </w:rPr>
  </w:style>
  <w:style w:type="paragraph" w:styleId="BalloonText">
    <w:name w:val="Balloon Text"/>
    <w:basedOn w:val="Normal"/>
    <w:link w:val="BalloonTextChar"/>
    <w:rsid w:val="001E3675"/>
    <w:rPr>
      <w:rFonts w:ascii="Tahoma" w:hAnsi="Tahoma" w:cs="Tahoma"/>
      <w:sz w:val="16"/>
      <w:szCs w:val="16"/>
    </w:rPr>
  </w:style>
  <w:style w:type="character" w:customStyle="1" w:styleId="BalloonTextChar">
    <w:name w:val="Balloon Text Char"/>
    <w:basedOn w:val="DefaultParagraphFont"/>
    <w:link w:val="BalloonText"/>
    <w:rsid w:val="001E36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6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36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675"/>
    <w:rPr>
      <w:b/>
      <w:color w:val="660033"/>
      <w:spacing w:val="0"/>
    </w:rPr>
  </w:style>
  <w:style w:type="paragraph" w:customStyle="1" w:styleId="Nameditemlist">
    <w:name w:val="Named item list"/>
    <w:basedOn w:val="BodyText"/>
    <w:qFormat/>
    <w:rsid w:val="001E36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1657</Words>
  <Characters>10946</Characters>
  <Application>Microsoft Office Word</Application>
  <DocSecurity>0</DocSecurity>
  <Lines>413</Lines>
  <Paragraphs>241</Paragraphs>
  <ScaleCrop>false</ScaleCrop>
  <Company>Author-it Software Corporation Ltd.</Company>
  <LinksUpToDate>false</LinksUpToDate>
  <CharactersWithSpaces>12500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CPPFES3044A Interpret installation requirements for gaseous fire-suppression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2012-10-05T11:02:00Z</dcterms:created>
  <dcterms:modified xsi:type="dcterms:W3CDTF">2012-10-05T11:02:00Z</dcterms:modified>
</cp:coreProperties>
</file>