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19C9" w:rsidP="008219C9">
      <w:pPr>
        <w:pStyle w:val="Title"/>
      </w:pPr>
      <w:r>
        <w:fldChar w:fldCharType="begin"/>
      </w:r>
      <w:r>
        <w:instrText xml:space="preserve"> TITLE   \* MERGEFORMAT </w:instrText>
      </w:r>
      <w:r>
        <w:fldChar w:fldCharType="separate"/>
      </w:r>
      <w:r>
        <w:t>CPPFES3032A Conduct enclosure integrity testing</w:t>
      </w:r>
      <w:r>
        <w:fldChar w:fldCharType="end"/>
      </w:r>
    </w:p>
    <w:p w:rsidR="008219C9" w:rsidP="008219C9">
      <w:pPr>
        <w:pStyle w:val="Version"/>
        <w:sectPr w:rsidSect="001025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2539" w:rsidP="00102539">
      <w:pPr>
        <w:pStyle w:val="SuperHeading"/>
      </w:pPr>
      <w:r w:rsidRPr="00102539">
        <w:t>CPPFES3032A Conduct enclosure integrity testing</w:t>
      </w:r>
    </w:p>
    <w:p w:rsidR="00000000" w:rsidRPr="00102539" w:rsidP="00102539">
      <w:pPr>
        <w:pStyle w:val="Heading1"/>
      </w:pPr>
      <w:bookmarkStart w:id="1" w:name="O_361627"/>
      <w:bookmarkEnd w:id="1"/>
      <w:r w:rsidRPr="00102539">
        <w:t>Modification History</w:t>
      </w:r>
    </w:p>
    <w:p w:rsidR="00000000" w:rsidRPr="00102539" w:rsidP="00102539">
      <w:pPr>
        <w:pStyle w:val="BodyText"/>
      </w:pPr>
      <w:r w:rsidRPr="00102539">
        <w:t>New unit</w:t>
      </w:r>
    </w:p>
    <w:p w:rsidR="008219C9" w:rsidP="00102539">
      <w:pPr>
        <w:pStyle w:val="BodyText"/>
      </w:pPr>
      <w:r w:rsidRPr="00102539">
        <w:t>No equivalent unit</w:t>
      </w:r>
    </w:p>
    <w:p w:rsidR="008219C9" w:rsidP="00102539">
      <w:pPr>
        <w:pStyle w:val="BodyText"/>
      </w:pPr>
    </w:p>
    <w:p w:rsidR="00000000" w:rsidRPr="00102539" w:rsidP="00102539">
      <w:pPr>
        <w:pStyle w:val="Heading1"/>
      </w:pPr>
      <w:bookmarkStart w:id="2" w:name="O_361628"/>
      <w:bookmarkEnd w:id="2"/>
      <w:r w:rsidRPr="00102539">
        <w:t>Unit Descriptor</w:t>
      </w:r>
    </w:p>
    <w:p w:rsidR="008219C9" w:rsidP="00102539">
      <w:pPr>
        <w:pStyle w:val="BodyText"/>
      </w:pPr>
      <w:r w:rsidRPr="00102539">
        <w:t xml:space="preserve">This unit of competency specifies the outcomes required to test the integrity of enclosures protected by </w:t>
      </w:r>
      <w:r w:rsidRPr="00102539">
        <w:t>total flooding gaseous suppression systems. The unit covers working safely, conducting compliance tests using appropriate equipment and procedures, and visually inspecting and identifying non-compliance defects. It involves satisfying mandatory reporting r</w:t>
      </w:r>
      <w:r w:rsidRPr="00102539">
        <w:t>equirements as well as general isolations and resetting associated with a gaseous agent fire protection system.</w:t>
      </w:r>
    </w:p>
    <w:p w:rsidR="008219C9" w:rsidP="00102539">
      <w:pPr>
        <w:pStyle w:val="BodyText"/>
      </w:pPr>
    </w:p>
    <w:p w:rsidR="00000000" w:rsidRPr="00102539" w:rsidP="00102539">
      <w:pPr>
        <w:pStyle w:val="Heading1"/>
      </w:pPr>
      <w:bookmarkStart w:id="3" w:name="O_361629"/>
      <w:bookmarkEnd w:id="3"/>
      <w:r w:rsidRPr="00102539">
        <w:t>Application of the Unit</w:t>
      </w:r>
    </w:p>
    <w:p w:rsidR="00000000" w:rsidRPr="00102539" w:rsidP="00102539">
      <w:pPr>
        <w:pStyle w:val="BodyText"/>
      </w:pPr>
      <w:r w:rsidRPr="00102539">
        <w:t>This unit of competency supports fire protection technicians responsible for functional testing of fir</w:t>
      </w:r>
      <w:r w:rsidRPr="00102539">
        <w:t xml:space="preserve">e protection systems. </w:t>
      </w:r>
    </w:p>
    <w:p w:rsidR="008219C9" w:rsidP="00102539">
      <w:pPr>
        <w:pStyle w:val="BodyText"/>
      </w:pPr>
      <w:r w:rsidRPr="00102539">
        <w:t>Individuals operate within the scope of their defined roles and responsibilities and perform the functional tests as part of their work duties and according to work procedures and Australian standards, to verify that equipment functions as intended.</w:t>
      </w:r>
    </w:p>
    <w:p w:rsidR="008219C9" w:rsidP="00102539">
      <w:pPr>
        <w:pStyle w:val="BodyText"/>
      </w:pPr>
    </w:p>
    <w:p w:rsidR="00000000" w:rsidRPr="00102539" w:rsidP="00102539">
      <w:pPr>
        <w:pStyle w:val="Heading1"/>
      </w:pPr>
      <w:bookmarkStart w:id="4" w:name="O_361630"/>
      <w:bookmarkEnd w:id="4"/>
      <w:r w:rsidRPr="00102539">
        <w:t>Licensing/Regulatory Information</w:t>
      </w:r>
    </w:p>
    <w:p w:rsidR="00000000" w:rsidRPr="00102539" w:rsidP="00102539">
      <w:pPr>
        <w:pStyle w:val="BodyText"/>
      </w:pPr>
      <w:r w:rsidRPr="00102539">
        <w:t>The unit must be applied strictly according to relevant state or territory legislative and industry requirements.</w:t>
      </w:r>
    </w:p>
    <w:p w:rsidR="00000000" w:rsidRPr="00102539" w:rsidP="00102539">
      <w:pPr>
        <w:pStyle w:val="BodyText"/>
      </w:pPr>
      <w:r w:rsidRPr="00102539">
        <w:t>Different states and territories may have regulatory mechanisms that apply to this unit. Candidat</w:t>
      </w:r>
      <w:r w:rsidRPr="00102539">
        <w:t>es are advised to check for regulatory limitations.</w:t>
      </w:r>
    </w:p>
    <w:p w:rsidR="00000000" w:rsidRPr="00102539" w:rsidP="00102539">
      <w:pPr>
        <w:pStyle w:val="AllowPageBreak"/>
      </w:pPr>
    </w:p>
    <w:p w:rsidR="00000000" w:rsidRPr="00102539" w:rsidP="00102539">
      <w:pPr>
        <w:pStyle w:val="Heading1"/>
      </w:pPr>
      <w:bookmarkStart w:id="5" w:name="O_361631"/>
      <w:bookmarkEnd w:id="5"/>
      <w:r w:rsidRPr="00102539">
        <w:t>Pre-Requisites</w:t>
      </w:r>
    </w:p>
    <w:p w:rsidR="00000000" w:rsidRPr="00102539" w:rsidP="00102539">
      <w:pPr>
        <w:pStyle w:val="BodyText"/>
      </w:pPr>
      <w:r w:rsidRPr="00102539">
        <w:t>Not applicable.</w:t>
      </w:r>
    </w:p>
    <w:p w:rsidR="00000000" w:rsidRPr="00102539" w:rsidP="00102539">
      <w:pPr>
        <w:pStyle w:val="AllowPageBreak"/>
      </w:pPr>
    </w:p>
    <w:p w:rsidR="00000000" w:rsidRPr="00102539" w:rsidP="00102539">
      <w:pPr>
        <w:pStyle w:val="Heading1"/>
      </w:pPr>
      <w:bookmarkStart w:id="6" w:name="O_361632"/>
      <w:bookmarkEnd w:id="6"/>
      <w:r w:rsidRPr="00102539">
        <w:t>Employability Skills Information</w:t>
      </w:r>
    </w:p>
    <w:p w:rsidR="00000000" w:rsidRPr="00102539" w:rsidP="00102539">
      <w:pPr>
        <w:pStyle w:val="BodyText"/>
      </w:pPr>
      <w:r w:rsidRPr="00102539">
        <w:t>This unit contains employability skills.</w:t>
      </w:r>
    </w:p>
    <w:p w:rsidR="00000000" w:rsidRPr="00102539" w:rsidP="00102539">
      <w:pPr>
        <w:pStyle w:val="AllowPageBreak"/>
      </w:pPr>
    </w:p>
    <w:p w:rsidR="00000000" w:rsidRPr="00102539" w:rsidP="00102539">
      <w:pPr>
        <w:pStyle w:val="Heading1"/>
      </w:pPr>
      <w:bookmarkStart w:id="7" w:name="O_361633"/>
      <w:bookmarkEnd w:id="7"/>
      <w:r w:rsidRPr="00102539">
        <w:t>Elements and Performance Criteria Pre-Content</w:t>
      </w:r>
    </w:p>
    <w:tbl>
      <w:tblPr>
        <w:tblW w:w="0" w:type="auto"/>
        <w:tblLayout w:type="fixed"/>
        <w:tblCellMar>
          <w:left w:w="62" w:type="dxa"/>
          <w:right w:w="62" w:type="dxa"/>
        </w:tblCellMar>
        <w:tblLook w:val="0000"/>
      </w:tblPr>
      <w:tblGrid>
        <w:gridCol w:w="2640"/>
        <w:gridCol w:w="6380"/>
      </w:tblGrid>
      <w:tr w:rsidTr="00102539">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102539">
            <w:pPr>
              <w:pStyle w:val="BodyText"/>
              <w:rPr>
                <w:lang w:val="en-NZ"/>
              </w:rPr>
            </w:pPr>
            <w:r w:rsidRPr="00102539">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102539" w:rsidP="00102539">
            <w:pPr>
              <w:pStyle w:val="BodyText"/>
            </w:pPr>
            <w:r w:rsidRPr="00102539">
              <w:t>Performance criteria describe the performance needed to demonstrate achievement of the element. Where bold italicised text is used, further information is detailed in the required skills and</w:t>
            </w:r>
            <w:r w:rsidRPr="00102539">
              <w:t xml:space="preserve"> knowledge section and the range statement. Assessment of performance is to be consistent with the evidence guide.</w:t>
            </w:r>
          </w:p>
        </w:tc>
      </w:tr>
    </w:tbl>
    <w:p w:rsidR="00000000" w:rsidRPr="00102539" w:rsidP="00102539">
      <w:pPr>
        <w:pStyle w:val="BodyText"/>
      </w:pPr>
    </w:p>
    <w:p w:rsidR="00000000" w:rsidRPr="00102539" w:rsidP="00102539">
      <w:pPr>
        <w:pStyle w:val="AllowPageBreak"/>
      </w:pPr>
    </w:p>
    <w:p w:rsidR="00000000" w:rsidRPr="00102539" w:rsidP="00102539">
      <w:pPr>
        <w:pStyle w:val="Heading1"/>
      </w:pPr>
      <w:bookmarkStart w:id="8" w:name="O_361634"/>
      <w:bookmarkEnd w:id="8"/>
      <w:r w:rsidRPr="0010253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025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02539">
            <w:pPr>
              <w:pStyle w:val="BodyText"/>
              <w:rPr>
                <w:lang w:val="en-NZ"/>
              </w:rPr>
            </w:pPr>
            <w:r w:rsidRPr="00102539">
              <w:t>1</w:t>
            </w:r>
          </w:p>
        </w:tc>
        <w:tc>
          <w:tcPr>
            <w:tcW w:w="1962" w:type="dxa"/>
            <w:vMerge w:val="restart"/>
            <w:tcBorders>
              <w:top w:val="nil"/>
              <w:left w:val="nil"/>
              <w:bottom w:val="nil"/>
              <w:right w:val="nil"/>
            </w:tcBorders>
            <w:tcMar>
              <w:top w:w="0" w:type="dxa"/>
              <w:left w:w="62" w:type="dxa"/>
              <w:bottom w:w="0" w:type="dxa"/>
              <w:right w:w="62" w:type="dxa"/>
            </w:tcMar>
          </w:tcPr>
          <w:p w:rsidR="00000000" w:rsidRPr="00102539" w:rsidP="00102539">
            <w:pPr>
              <w:pStyle w:val="BodyText"/>
            </w:pPr>
            <w:r w:rsidRPr="00102539">
              <w:t>Apply compliance requirements to service operations.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02539" w:rsidP="00102539">
            <w:pPr>
              <w:pStyle w:val="BodyText"/>
            </w:pPr>
            <w:r w:rsidRPr="00102539">
              <w:t>1.1</w:t>
            </w:r>
          </w:p>
        </w:tc>
        <w:tc>
          <w:tcPr>
            <w:tcW w:w="5610" w:type="dxa"/>
            <w:tcBorders>
              <w:top w:val="nil"/>
              <w:left w:val="nil"/>
              <w:bottom w:val="nil"/>
              <w:right w:val="nil"/>
            </w:tcBorders>
            <w:tcMar>
              <w:top w:w="0" w:type="dxa"/>
              <w:left w:w="62" w:type="dxa"/>
              <w:bottom w:w="0" w:type="dxa"/>
              <w:right w:w="62" w:type="dxa"/>
            </w:tcMar>
          </w:tcPr>
          <w:p w:rsidR="00000000" w:rsidP="00102539">
            <w:pPr>
              <w:pStyle w:val="BodyText"/>
              <w:rPr>
                <w:lang w:val="en-NZ"/>
              </w:rPr>
            </w:pPr>
            <w:r w:rsidRPr="00102539">
              <w:rPr>
                <w:rStyle w:val="BoldandItalics"/>
              </w:rPr>
              <w:t>Legislative and industry requirements</w:t>
            </w:r>
            <w:r w:rsidRPr="00102539">
              <w:t xml:space="preserve"> are interpreted, confirmed and applied to </w:t>
            </w:r>
            <w:r w:rsidRPr="00102539">
              <w:rPr>
                <w:rStyle w:val="BoldandItalics"/>
              </w:rPr>
              <w:t>organisational requirements</w:t>
            </w:r>
            <w:r w:rsidRPr="00102539">
              <w:t xml:space="preserve"> and service operations.</w:t>
            </w:r>
          </w:p>
        </w:tc>
      </w:tr>
      <w:tr w:rsidTr="001025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2539">
            <w:pPr>
              <w:pStyle w:val="BodyText"/>
              <w:rPr>
                <w:lang w:val="en-NZ"/>
              </w:rPr>
            </w:pPr>
            <w:r w:rsidRPr="00102539">
              <w:t>1.2</w:t>
            </w:r>
          </w:p>
        </w:tc>
        <w:tc>
          <w:tcPr>
            <w:tcW w:w="5610" w:type="dxa"/>
            <w:tcBorders>
              <w:top w:val="nil"/>
              <w:left w:val="nil"/>
              <w:bottom w:val="nil"/>
              <w:right w:val="nil"/>
            </w:tcBorders>
            <w:tcMar>
              <w:top w:w="0" w:type="dxa"/>
              <w:left w:w="62" w:type="dxa"/>
              <w:bottom w:w="0" w:type="dxa"/>
              <w:right w:w="62" w:type="dxa"/>
            </w:tcMar>
          </w:tcPr>
          <w:p w:rsidR="00000000" w:rsidP="00102539">
            <w:pPr>
              <w:pStyle w:val="BodyText"/>
              <w:rPr>
                <w:lang w:val="en-NZ"/>
              </w:rPr>
            </w:pPr>
            <w:r w:rsidRPr="00102539">
              <w:t xml:space="preserve">Location and equipment are </w:t>
            </w:r>
            <w:r w:rsidRPr="00102539">
              <w:rPr>
                <w:rStyle w:val="BoldandItalics"/>
              </w:rPr>
              <w:t>checked for</w:t>
            </w:r>
            <w:r w:rsidRPr="00102539">
              <w:t xml:space="preserve"> </w:t>
            </w:r>
            <w:r w:rsidRPr="00102539">
              <w:rPr>
                <w:rStyle w:val="BoldandItalics"/>
              </w:rPr>
              <w:t>compliance</w:t>
            </w:r>
            <w:r w:rsidRPr="00102539">
              <w:rPr>
                <w:rStyle w:val="SpecialBold"/>
              </w:rPr>
              <w:t xml:space="preserve"> </w:t>
            </w:r>
            <w:r w:rsidRPr="00102539">
              <w:t xml:space="preserve">with legislative and industry requirements, and </w:t>
            </w:r>
            <w:r w:rsidRPr="00102539">
              <w:rPr>
                <w:rStyle w:val="BoldandItalics"/>
              </w:rPr>
              <w:t>action</w:t>
            </w:r>
            <w:r w:rsidRPr="00102539">
              <w:t xml:space="preserve"> is taken acc</w:t>
            </w:r>
            <w:r w:rsidRPr="00102539">
              <w:t xml:space="preserve">ording to organisational requirements. </w:t>
            </w:r>
          </w:p>
        </w:tc>
      </w:tr>
      <w:tr w:rsidTr="001025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2539">
            <w:pPr>
              <w:pStyle w:val="BodyText"/>
              <w:rPr>
                <w:lang w:val="en-NZ"/>
              </w:rPr>
            </w:pPr>
            <w:r w:rsidRPr="00102539">
              <w:t>1.3</w:t>
            </w:r>
          </w:p>
        </w:tc>
        <w:tc>
          <w:tcPr>
            <w:tcW w:w="5610" w:type="dxa"/>
            <w:tcBorders>
              <w:top w:val="nil"/>
              <w:left w:val="nil"/>
              <w:bottom w:val="nil"/>
              <w:right w:val="nil"/>
            </w:tcBorders>
            <w:tcMar>
              <w:top w:w="0" w:type="dxa"/>
              <w:left w:w="62" w:type="dxa"/>
              <w:bottom w:w="0" w:type="dxa"/>
              <w:right w:w="62" w:type="dxa"/>
            </w:tcMar>
          </w:tcPr>
          <w:p w:rsidR="00000000" w:rsidRPr="00102539" w:rsidP="00102539">
            <w:pPr>
              <w:pStyle w:val="BodyText"/>
            </w:pPr>
            <w:r w:rsidRPr="00102539">
              <w:t>Preparations are made for conducting functional inspection and testing according to organisational requirements.</w:t>
            </w:r>
          </w:p>
        </w:tc>
      </w:tr>
    </w:tbl>
    <w:p w:rsidR="00000000" w:rsidRPr="00102539" w:rsidP="00102539">
      <w:pPr>
        <w:pStyle w:val="BodyText"/>
      </w:pPr>
    </w:p>
    <w:tbl>
      <w:tblPr>
        <w:tblW w:w="0" w:type="auto"/>
        <w:tblLayout w:type="fixed"/>
        <w:tblCellMar>
          <w:left w:w="62" w:type="dxa"/>
          <w:right w:w="62" w:type="dxa"/>
        </w:tblCellMar>
        <w:tblLook w:val="0000"/>
      </w:tblPr>
      <w:tblGrid>
        <w:gridCol w:w="678"/>
        <w:gridCol w:w="1962"/>
        <w:gridCol w:w="770"/>
        <w:gridCol w:w="5610"/>
      </w:tblGrid>
      <w:tr w:rsidTr="001025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02539">
            <w:pPr>
              <w:pStyle w:val="BodyText"/>
              <w:rPr>
                <w:lang w:val="en-NZ"/>
              </w:rPr>
            </w:pPr>
            <w:r w:rsidRPr="00102539">
              <w:t>2</w:t>
            </w:r>
          </w:p>
        </w:tc>
        <w:tc>
          <w:tcPr>
            <w:tcW w:w="1962" w:type="dxa"/>
            <w:vMerge w:val="restart"/>
            <w:tcBorders>
              <w:top w:val="nil"/>
              <w:left w:val="nil"/>
              <w:bottom w:val="nil"/>
              <w:right w:val="nil"/>
            </w:tcBorders>
            <w:tcMar>
              <w:top w:w="0" w:type="dxa"/>
              <w:left w:w="62" w:type="dxa"/>
              <w:bottom w:w="0" w:type="dxa"/>
              <w:right w:w="62" w:type="dxa"/>
            </w:tcMar>
          </w:tcPr>
          <w:p w:rsidR="00000000" w:rsidRPr="00102539" w:rsidP="00102539">
            <w:pPr>
              <w:pStyle w:val="BodyText"/>
            </w:pPr>
            <w:r w:rsidRPr="00102539">
              <w:t>Conduct inspections and isolations.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2539">
            <w:pPr>
              <w:pStyle w:val="BodyText"/>
              <w:rPr>
                <w:lang w:val="en-NZ"/>
              </w:rPr>
            </w:pPr>
            <w:r w:rsidRPr="00102539">
              <w:t>2.1</w:t>
            </w:r>
          </w:p>
        </w:tc>
        <w:tc>
          <w:tcPr>
            <w:tcW w:w="5610" w:type="dxa"/>
            <w:tcBorders>
              <w:top w:val="nil"/>
              <w:left w:val="nil"/>
              <w:bottom w:val="nil"/>
              <w:right w:val="nil"/>
            </w:tcBorders>
            <w:tcMar>
              <w:top w:w="0" w:type="dxa"/>
              <w:left w:w="62" w:type="dxa"/>
              <w:bottom w:w="0" w:type="dxa"/>
              <w:right w:w="62" w:type="dxa"/>
            </w:tcMar>
          </w:tcPr>
          <w:p w:rsidR="00000000" w:rsidP="00102539">
            <w:pPr>
              <w:pStyle w:val="BodyText"/>
              <w:rPr>
                <w:lang w:val="en-NZ"/>
              </w:rPr>
            </w:pPr>
            <w:r w:rsidRPr="00102539">
              <w:t>Wor</w:t>
            </w:r>
            <w:r w:rsidRPr="00102539">
              <w:t xml:space="preserve">kplace procedures are followed and risk control measures applied when inspecting and isolating </w:t>
            </w:r>
            <w:r w:rsidRPr="00102539">
              <w:rPr>
                <w:rStyle w:val="BoldandItalics"/>
              </w:rPr>
              <w:t>gaseous agent fire-suppression system</w:t>
            </w:r>
            <w:r w:rsidRPr="00102539">
              <w:t>.</w:t>
            </w:r>
          </w:p>
        </w:tc>
      </w:tr>
      <w:tr w:rsidTr="001025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2539">
            <w:pPr>
              <w:pStyle w:val="BodyText"/>
              <w:rPr>
                <w:lang w:val="en-NZ"/>
              </w:rPr>
            </w:pPr>
            <w:r w:rsidRPr="00102539">
              <w:t>2.2</w:t>
            </w:r>
          </w:p>
        </w:tc>
        <w:tc>
          <w:tcPr>
            <w:tcW w:w="5610" w:type="dxa"/>
            <w:tcBorders>
              <w:top w:val="nil"/>
              <w:left w:val="nil"/>
              <w:bottom w:val="nil"/>
              <w:right w:val="nil"/>
            </w:tcBorders>
            <w:tcMar>
              <w:top w:w="0" w:type="dxa"/>
              <w:left w:w="62" w:type="dxa"/>
              <w:bottom w:w="0" w:type="dxa"/>
              <w:right w:w="62" w:type="dxa"/>
            </w:tcMar>
          </w:tcPr>
          <w:p w:rsidR="00000000" w:rsidP="00102539">
            <w:pPr>
              <w:pStyle w:val="BodyText"/>
              <w:rPr>
                <w:lang w:val="en-NZ"/>
              </w:rPr>
            </w:pPr>
            <w:r w:rsidRPr="00102539">
              <w:t>Gaseous agent fire-suppression system</w:t>
            </w:r>
            <w:r w:rsidRPr="00102539">
              <w:rPr>
                <w:rStyle w:val="SpecialBold"/>
              </w:rPr>
              <w:t xml:space="preserve"> </w:t>
            </w:r>
            <w:r w:rsidRPr="00102539">
              <w:t>controls are identified and functions determined with reference to manufactur</w:t>
            </w:r>
            <w:r w:rsidRPr="00102539">
              <w:t xml:space="preserve">ers’ instructions in order to conduct </w:t>
            </w:r>
            <w:r w:rsidRPr="00102539">
              <w:rPr>
                <w:rStyle w:val="BoldandItalics"/>
              </w:rPr>
              <w:t>enclosure</w:t>
            </w:r>
            <w:r w:rsidRPr="00102539">
              <w:t xml:space="preserve"> integrity testing according to legislative and industry requirements.</w:t>
            </w:r>
          </w:p>
        </w:tc>
      </w:tr>
      <w:tr w:rsidTr="001025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2539">
            <w:pPr>
              <w:pStyle w:val="BodyText"/>
              <w:rPr>
                <w:lang w:val="en-NZ"/>
              </w:rPr>
            </w:pPr>
            <w:r w:rsidRPr="00102539">
              <w:t>2.3</w:t>
            </w:r>
          </w:p>
        </w:tc>
        <w:tc>
          <w:tcPr>
            <w:tcW w:w="5610" w:type="dxa"/>
            <w:tcBorders>
              <w:top w:val="nil"/>
              <w:left w:val="nil"/>
              <w:bottom w:val="nil"/>
              <w:right w:val="nil"/>
            </w:tcBorders>
            <w:tcMar>
              <w:top w:w="0" w:type="dxa"/>
              <w:left w:w="62" w:type="dxa"/>
              <w:bottom w:w="0" w:type="dxa"/>
              <w:right w:w="62" w:type="dxa"/>
            </w:tcMar>
          </w:tcPr>
          <w:p w:rsidR="00000000" w:rsidP="00102539">
            <w:pPr>
              <w:pStyle w:val="BodyText"/>
              <w:rPr>
                <w:lang w:val="en-NZ"/>
              </w:rPr>
            </w:pPr>
            <w:r w:rsidRPr="00102539">
              <w:t xml:space="preserve">Plant and other </w:t>
            </w:r>
            <w:r w:rsidRPr="00102539">
              <w:rPr>
                <w:rStyle w:val="BoldandItalics"/>
              </w:rPr>
              <w:t xml:space="preserve">system interfaces </w:t>
            </w:r>
            <w:r w:rsidRPr="00102539">
              <w:t>to be isolated are identified.</w:t>
            </w:r>
          </w:p>
        </w:tc>
      </w:tr>
      <w:tr w:rsidTr="001025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2539">
            <w:pPr>
              <w:pStyle w:val="BodyText"/>
              <w:rPr>
                <w:lang w:val="en-NZ"/>
              </w:rPr>
            </w:pPr>
            <w:r w:rsidRPr="00102539">
              <w:t>2.4</w:t>
            </w:r>
          </w:p>
        </w:tc>
        <w:tc>
          <w:tcPr>
            <w:tcW w:w="5610" w:type="dxa"/>
            <w:tcBorders>
              <w:top w:val="nil"/>
              <w:left w:val="nil"/>
              <w:bottom w:val="nil"/>
              <w:right w:val="nil"/>
            </w:tcBorders>
            <w:tcMar>
              <w:top w:w="0" w:type="dxa"/>
              <w:left w:w="62" w:type="dxa"/>
              <w:bottom w:w="0" w:type="dxa"/>
              <w:right w:w="62" w:type="dxa"/>
            </w:tcMar>
          </w:tcPr>
          <w:p w:rsidR="00000000" w:rsidP="00102539">
            <w:pPr>
              <w:pStyle w:val="BodyText"/>
              <w:rPr>
                <w:lang w:val="en-NZ"/>
              </w:rPr>
            </w:pPr>
            <w:r w:rsidRPr="00102539">
              <w:t>Visual inspections and checks are conducted according to organisational requirements.</w:t>
            </w:r>
          </w:p>
        </w:tc>
      </w:tr>
      <w:tr w:rsidTr="001025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02539" w:rsidP="00102539">
            <w:pPr>
              <w:pStyle w:val="BodyText"/>
            </w:pPr>
            <w:r w:rsidRPr="00102539">
              <w:t>2.5</w:t>
            </w:r>
          </w:p>
        </w:tc>
        <w:tc>
          <w:tcPr>
            <w:tcW w:w="5610" w:type="dxa"/>
            <w:tcBorders>
              <w:top w:val="nil"/>
              <w:left w:val="nil"/>
              <w:bottom w:val="nil"/>
              <w:right w:val="nil"/>
            </w:tcBorders>
            <w:tcMar>
              <w:top w:w="0" w:type="dxa"/>
              <w:left w:w="62" w:type="dxa"/>
              <w:bottom w:w="0" w:type="dxa"/>
              <w:right w:w="62" w:type="dxa"/>
            </w:tcMar>
          </w:tcPr>
          <w:p w:rsidR="00000000" w:rsidRPr="00102539" w:rsidP="00102539">
            <w:pPr>
              <w:pStyle w:val="BodyText"/>
            </w:pPr>
            <w:r w:rsidRPr="00102539">
              <w:rPr>
                <w:rStyle w:val="BoldandItalics"/>
              </w:rPr>
              <w:t>Integrity testing equipment</w:t>
            </w:r>
            <w:r w:rsidRPr="00102539">
              <w:t xml:space="preserve"> is set up in readiness to conduct tests according to manufacturers’ procedures and site configuration.</w:t>
            </w:r>
          </w:p>
        </w:tc>
      </w:tr>
    </w:tbl>
    <w:p w:rsidR="00000000" w:rsidRPr="00102539" w:rsidP="00102539">
      <w:pPr>
        <w:pStyle w:val="BodyText"/>
      </w:pPr>
    </w:p>
    <w:tbl>
      <w:tblPr>
        <w:tblW w:w="0" w:type="auto"/>
        <w:tblLayout w:type="fixed"/>
        <w:tblCellMar>
          <w:left w:w="62" w:type="dxa"/>
          <w:right w:w="62" w:type="dxa"/>
        </w:tblCellMar>
        <w:tblLook w:val="0000"/>
      </w:tblPr>
      <w:tblGrid>
        <w:gridCol w:w="678"/>
        <w:gridCol w:w="1962"/>
        <w:gridCol w:w="770"/>
        <w:gridCol w:w="5610"/>
      </w:tblGrid>
      <w:tr w:rsidTr="001025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02539">
            <w:pPr>
              <w:pStyle w:val="BodyText"/>
              <w:rPr>
                <w:lang w:val="en-NZ"/>
              </w:rPr>
            </w:pPr>
            <w:r w:rsidRPr="00102539">
              <w:t>3</w:t>
            </w:r>
          </w:p>
        </w:tc>
        <w:tc>
          <w:tcPr>
            <w:tcW w:w="1962" w:type="dxa"/>
            <w:vMerge w:val="restart"/>
            <w:tcBorders>
              <w:top w:val="nil"/>
              <w:left w:val="nil"/>
              <w:bottom w:val="nil"/>
              <w:right w:val="nil"/>
            </w:tcBorders>
            <w:tcMar>
              <w:top w:w="0" w:type="dxa"/>
              <w:left w:w="62" w:type="dxa"/>
              <w:bottom w:w="0" w:type="dxa"/>
              <w:right w:w="62" w:type="dxa"/>
            </w:tcMar>
          </w:tcPr>
          <w:p w:rsidR="00000000" w:rsidRPr="00102539" w:rsidP="00102539">
            <w:pPr>
              <w:pStyle w:val="BodyText"/>
            </w:pPr>
            <w:r w:rsidRPr="00102539">
              <w:t>Conduct testing and record r</w:t>
            </w:r>
            <w:r w:rsidRPr="00102539">
              <w:t>esults.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02539" w:rsidP="00102539">
            <w:pPr>
              <w:pStyle w:val="BodyText"/>
            </w:pPr>
            <w:r w:rsidRPr="00102539">
              <w:t>3.1</w:t>
            </w:r>
          </w:p>
        </w:tc>
        <w:tc>
          <w:tcPr>
            <w:tcW w:w="5610" w:type="dxa"/>
            <w:tcBorders>
              <w:top w:val="nil"/>
              <w:left w:val="nil"/>
              <w:bottom w:val="nil"/>
              <w:right w:val="nil"/>
            </w:tcBorders>
            <w:tcMar>
              <w:top w:w="0" w:type="dxa"/>
              <w:left w:w="62" w:type="dxa"/>
              <w:bottom w:w="0" w:type="dxa"/>
              <w:right w:w="62" w:type="dxa"/>
            </w:tcMar>
          </w:tcPr>
          <w:p w:rsidR="00000000" w:rsidP="00102539">
            <w:pPr>
              <w:pStyle w:val="BodyText"/>
              <w:rPr>
                <w:lang w:val="en-NZ"/>
              </w:rPr>
            </w:pPr>
            <w:r w:rsidRPr="00102539">
              <w:rPr>
                <w:rStyle w:val="BoldandItalics"/>
              </w:rPr>
              <w:t>Test methods</w:t>
            </w:r>
            <w:r w:rsidRPr="00102539">
              <w:t xml:space="preserve"> are implemented according to legislative and industry requirements.</w:t>
            </w:r>
          </w:p>
        </w:tc>
      </w:tr>
      <w:tr w:rsidTr="001025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2539">
            <w:pPr>
              <w:pStyle w:val="BodyText"/>
              <w:rPr>
                <w:lang w:val="en-NZ"/>
              </w:rPr>
            </w:pPr>
            <w:r w:rsidRPr="00102539">
              <w:t>3.2</w:t>
            </w:r>
          </w:p>
        </w:tc>
        <w:tc>
          <w:tcPr>
            <w:tcW w:w="5610" w:type="dxa"/>
            <w:tcBorders>
              <w:top w:val="nil"/>
              <w:left w:val="nil"/>
              <w:bottom w:val="nil"/>
              <w:right w:val="nil"/>
            </w:tcBorders>
            <w:tcMar>
              <w:top w:w="0" w:type="dxa"/>
              <w:left w:w="62" w:type="dxa"/>
              <w:bottom w:w="0" w:type="dxa"/>
              <w:right w:w="62" w:type="dxa"/>
            </w:tcMar>
          </w:tcPr>
          <w:p w:rsidR="00000000" w:rsidP="00102539">
            <w:pPr>
              <w:pStyle w:val="BodyText"/>
              <w:rPr>
                <w:lang w:val="en-NZ"/>
              </w:rPr>
            </w:pPr>
            <w:r w:rsidRPr="00102539">
              <w:t xml:space="preserve">Enclosure integrity testing procedures are conducted to verify that system functions as intended according to organisational requirements. </w:t>
            </w:r>
          </w:p>
        </w:tc>
      </w:tr>
      <w:tr w:rsidTr="001025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2539">
            <w:pPr>
              <w:pStyle w:val="BodyText"/>
              <w:rPr>
                <w:lang w:val="en-NZ"/>
              </w:rPr>
            </w:pPr>
            <w:r w:rsidRPr="00102539">
              <w:t>3.3</w:t>
            </w:r>
          </w:p>
        </w:tc>
        <w:tc>
          <w:tcPr>
            <w:tcW w:w="5610" w:type="dxa"/>
            <w:tcBorders>
              <w:top w:val="nil"/>
              <w:left w:val="nil"/>
              <w:bottom w:val="nil"/>
              <w:right w:val="nil"/>
            </w:tcBorders>
            <w:tcMar>
              <w:top w:w="0" w:type="dxa"/>
              <w:left w:w="62" w:type="dxa"/>
              <w:bottom w:w="0" w:type="dxa"/>
              <w:right w:w="62" w:type="dxa"/>
            </w:tcMar>
          </w:tcPr>
          <w:p w:rsidR="00000000" w:rsidP="00102539">
            <w:pPr>
              <w:pStyle w:val="BodyText"/>
              <w:rPr>
                <w:lang w:val="en-NZ"/>
              </w:rPr>
            </w:pPr>
            <w:r w:rsidRPr="00102539">
              <w:t>Test results are compared with legislative and industry requirements.</w:t>
            </w:r>
          </w:p>
        </w:tc>
      </w:tr>
      <w:tr w:rsidTr="001025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2539">
            <w:pPr>
              <w:pStyle w:val="BodyText"/>
              <w:rPr>
                <w:lang w:val="en-NZ"/>
              </w:rPr>
            </w:pPr>
            <w:r w:rsidRPr="00102539">
              <w:t>3.4</w:t>
            </w:r>
          </w:p>
        </w:tc>
        <w:tc>
          <w:tcPr>
            <w:tcW w:w="5610" w:type="dxa"/>
            <w:tcBorders>
              <w:top w:val="nil"/>
              <w:left w:val="nil"/>
              <w:bottom w:val="nil"/>
              <w:right w:val="nil"/>
            </w:tcBorders>
            <w:tcMar>
              <w:top w:w="0" w:type="dxa"/>
              <w:left w:w="62" w:type="dxa"/>
              <w:bottom w:w="0" w:type="dxa"/>
              <w:right w:w="62" w:type="dxa"/>
            </w:tcMar>
          </w:tcPr>
          <w:p w:rsidR="00000000" w:rsidP="00102539">
            <w:pPr>
              <w:pStyle w:val="BodyText"/>
              <w:rPr>
                <w:lang w:val="en-NZ"/>
              </w:rPr>
            </w:pPr>
            <w:r w:rsidRPr="00102539">
              <w:t>Results are documented according to legislative and industry requirements.</w:t>
            </w:r>
          </w:p>
        </w:tc>
      </w:tr>
      <w:tr w:rsidTr="001025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2539">
            <w:pPr>
              <w:pStyle w:val="BodyText"/>
              <w:rPr>
                <w:lang w:val="en-NZ"/>
              </w:rPr>
            </w:pPr>
            <w:r w:rsidRPr="00102539">
              <w:t>3.5</w:t>
            </w:r>
          </w:p>
        </w:tc>
        <w:tc>
          <w:tcPr>
            <w:tcW w:w="5610" w:type="dxa"/>
            <w:tcBorders>
              <w:top w:val="nil"/>
              <w:left w:val="nil"/>
              <w:bottom w:val="nil"/>
              <w:right w:val="nil"/>
            </w:tcBorders>
            <w:tcMar>
              <w:top w:w="0" w:type="dxa"/>
              <w:left w:w="62" w:type="dxa"/>
              <w:bottom w:w="0" w:type="dxa"/>
              <w:right w:w="62" w:type="dxa"/>
            </w:tcMar>
          </w:tcPr>
          <w:p w:rsidR="00000000" w:rsidP="00102539">
            <w:pPr>
              <w:pStyle w:val="BodyText"/>
              <w:rPr>
                <w:lang w:val="en-NZ"/>
              </w:rPr>
            </w:pPr>
            <w:r w:rsidRPr="00102539">
              <w:t>Report is forwarded to persons for action according to legislative and industry requirements.</w:t>
            </w:r>
          </w:p>
        </w:tc>
      </w:tr>
      <w:tr w:rsidTr="001025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2539">
            <w:pPr>
              <w:pStyle w:val="BodyText"/>
              <w:rPr>
                <w:lang w:val="en-NZ"/>
              </w:rPr>
            </w:pPr>
            <w:r w:rsidRPr="00102539">
              <w:t>3.6</w:t>
            </w:r>
          </w:p>
        </w:tc>
        <w:tc>
          <w:tcPr>
            <w:tcW w:w="5610" w:type="dxa"/>
            <w:tcBorders>
              <w:top w:val="nil"/>
              <w:left w:val="nil"/>
              <w:bottom w:val="nil"/>
              <w:right w:val="nil"/>
            </w:tcBorders>
            <w:tcMar>
              <w:top w:w="0" w:type="dxa"/>
              <w:left w:w="62" w:type="dxa"/>
              <w:bottom w:w="0" w:type="dxa"/>
              <w:right w:w="62" w:type="dxa"/>
            </w:tcMar>
          </w:tcPr>
          <w:p w:rsidR="00000000" w:rsidRPr="00102539" w:rsidP="00102539">
            <w:pPr>
              <w:pStyle w:val="BodyText"/>
            </w:pPr>
            <w:r w:rsidRPr="00102539">
              <w:t>System is reinstated according to organisational requirements.</w:t>
            </w:r>
          </w:p>
        </w:tc>
      </w:tr>
    </w:tbl>
    <w:p w:rsidR="008219C9" w:rsidP="00102539">
      <w:pPr>
        <w:pStyle w:val="BodyText"/>
      </w:pPr>
    </w:p>
    <w:p w:rsidR="008219C9" w:rsidP="00102539">
      <w:pPr>
        <w:pStyle w:val="BodyText"/>
      </w:pPr>
    </w:p>
    <w:p w:rsidR="00000000" w:rsidRPr="00102539" w:rsidP="00102539">
      <w:pPr>
        <w:pStyle w:val="Heading1"/>
      </w:pPr>
      <w:bookmarkStart w:id="9" w:name="O_361635"/>
      <w:bookmarkEnd w:id="9"/>
      <w:r w:rsidRPr="00102539">
        <w:t>Required Skills and Knowledge</w:t>
      </w:r>
    </w:p>
    <w:tbl>
      <w:tblPr>
        <w:tblW w:w="9462" w:type="dxa"/>
        <w:tblLayout w:type="fixed"/>
        <w:tblCellMar>
          <w:left w:w="62" w:type="dxa"/>
          <w:right w:w="62" w:type="dxa"/>
        </w:tblCellMar>
        <w:tblLook w:val="0000"/>
      </w:tblPr>
      <w:tblGrid>
        <w:gridCol w:w="9462"/>
      </w:tblGrid>
      <w:tr w:rsidTr="0010253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02539">
            <w:pPr>
              <w:pStyle w:val="BodyText"/>
              <w:rPr>
                <w:lang w:val="en-NZ"/>
              </w:rPr>
            </w:pPr>
            <w:r w:rsidRPr="00102539">
              <w:t>This section describes the skills and knowledge required for this unit.</w:t>
            </w:r>
          </w:p>
        </w:tc>
      </w:tr>
      <w:tr w:rsidTr="0010253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02539">
            <w:pPr>
              <w:pStyle w:val="BodyText"/>
              <w:rPr>
                <w:lang w:val="en-NZ"/>
              </w:rPr>
            </w:pPr>
            <w:r w:rsidRPr="00102539">
              <w:rPr>
                <w:rStyle w:val="SpecialBold"/>
              </w:rPr>
              <w:t>Required skills</w:t>
            </w:r>
          </w:p>
        </w:tc>
      </w:tr>
      <w:tr w:rsidTr="0010253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02539" w:rsidP="00102539">
            <w:pPr>
              <w:pStyle w:val="ListBullet"/>
            </w:pPr>
            <w:r w:rsidRPr="00102539">
              <w:t xml:space="preserve">customer service skills </w:t>
            </w:r>
          </w:p>
          <w:p w:rsidR="00000000" w:rsidRPr="00102539" w:rsidP="00102539">
            <w:pPr>
              <w:pStyle w:val="ListBullet"/>
            </w:pPr>
            <w:r w:rsidRPr="00102539">
              <w:t>language, literacy and numeracy skills to:</w:t>
            </w:r>
          </w:p>
          <w:p w:rsidR="00000000" w:rsidRPr="00102539" w:rsidP="00102539">
            <w:pPr>
              <w:pStyle w:val="ListBullet2"/>
            </w:pPr>
            <w:r w:rsidRPr="00102539">
              <w:t>communicate with others clearly and concisely, verbally and in writing</w:t>
            </w:r>
          </w:p>
          <w:p w:rsidR="00000000" w:rsidRPr="00102539" w:rsidP="00102539">
            <w:pPr>
              <w:pStyle w:val="ListBullet2"/>
            </w:pPr>
            <w:r w:rsidRPr="00102539">
              <w:t>read and comply with work instructions and specifications</w:t>
            </w:r>
          </w:p>
          <w:p w:rsidR="00000000" w:rsidRPr="00102539" w:rsidP="00102539">
            <w:pPr>
              <w:pStyle w:val="ListBullet2"/>
            </w:pPr>
            <w:r w:rsidRPr="00102539">
              <w:t>read, calculate and record measurements</w:t>
            </w:r>
          </w:p>
          <w:p w:rsidR="00000000" w:rsidRPr="00102539" w:rsidP="00102539">
            <w:pPr>
              <w:pStyle w:val="ListBullet2"/>
            </w:pPr>
            <w:r w:rsidRPr="00102539">
              <w:t>record and report information neatly and legibly</w:t>
            </w:r>
          </w:p>
          <w:p w:rsidR="00000000" w:rsidRPr="00102539" w:rsidP="00102539">
            <w:pPr>
              <w:pStyle w:val="ListBullet"/>
            </w:pPr>
            <w:r w:rsidRPr="00102539">
              <w:t>technical skills to operate valves, switches and levers to isolate and reset systems to normal operation</w:t>
            </w:r>
          </w:p>
          <w:p w:rsidR="00000000" w:rsidRPr="00102539" w:rsidP="00102539">
            <w:pPr>
              <w:pStyle w:val="ListBullet"/>
            </w:pPr>
            <w:r w:rsidRPr="00102539">
              <w:t>planning and organising skills to:</w:t>
            </w:r>
          </w:p>
          <w:p w:rsidR="00000000" w:rsidRPr="00102539" w:rsidP="00102539">
            <w:pPr>
              <w:pStyle w:val="ListBullet2"/>
            </w:pPr>
            <w:r w:rsidRPr="00102539">
              <w:t>estimate time to complete activities</w:t>
            </w:r>
          </w:p>
          <w:p w:rsidR="00000000" w:rsidRPr="00102539" w:rsidP="00102539">
            <w:pPr>
              <w:pStyle w:val="ListBullet2"/>
            </w:pPr>
            <w:r w:rsidRPr="00102539">
              <w:t>prioritise tasks</w:t>
            </w:r>
          </w:p>
          <w:p w:rsidR="00000000" w:rsidRPr="00102539" w:rsidP="00102539">
            <w:pPr>
              <w:pStyle w:val="ListBullet"/>
            </w:pPr>
            <w:r w:rsidRPr="00102539">
              <w:t>interperso</w:t>
            </w:r>
            <w:r w:rsidRPr="00102539">
              <w:t>nal skills to relate to people from a range of social and cultural backgrounds</w:t>
            </w:r>
          </w:p>
          <w:p w:rsidR="00000000" w:rsidRPr="00102539" w:rsidP="00102539">
            <w:pPr>
              <w:pStyle w:val="ListBullet"/>
            </w:pPr>
            <w:r w:rsidRPr="00102539">
              <w:t>skills to work safely when:</w:t>
            </w:r>
          </w:p>
          <w:p w:rsidR="00000000" w:rsidRPr="00102539" w:rsidP="00102539">
            <w:pPr>
              <w:pStyle w:val="ListBullet2"/>
            </w:pPr>
            <w:r w:rsidRPr="00102539">
              <w:t>applying workplace housekeeping procedures</w:t>
            </w:r>
          </w:p>
          <w:p w:rsidR="00000000" w:rsidP="00102539">
            <w:pPr>
              <w:pStyle w:val="ListBullet2"/>
              <w:rPr>
                <w:lang w:val="en-NZ"/>
              </w:rPr>
            </w:pPr>
            <w:r w:rsidRPr="00102539">
              <w:t>conducting enclosure integrity testing</w:t>
            </w:r>
          </w:p>
        </w:tc>
      </w:tr>
      <w:tr w:rsidTr="0010253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02539">
            <w:pPr>
              <w:pStyle w:val="BodyText"/>
              <w:rPr>
                <w:lang w:val="en-NZ"/>
              </w:rPr>
            </w:pPr>
            <w:r w:rsidRPr="00102539">
              <w:rPr>
                <w:rStyle w:val="SpecialBold"/>
              </w:rPr>
              <w:t>Required knowledge</w:t>
            </w:r>
          </w:p>
        </w:tc>
      </w:tr>
      <w:tr w:rsidTr="0010253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02539" w:rsidP="00102539">
            <w:pPr>
              <w:pStyle w:val="ListBullet"/>
            </w:pPr>
            <w:r w:rsidRPr="00102539">
              <w:t>features of gaseous agent fire-suppression systems, testing equipment and testing parameters, including:</w:t>
            </w:r>
          </w:p>
          <w:p w:rsidR="00000000" w:rsidRPr="00102539" w:rsidP="00102539">
            <w:pPr>
              <w:pStyle w:val="ListBullet2"/>
            </w:pPr>
            <w:r w:rsidRPr="00102539">
              <w:t>gaseous agent hold time</w:t>
            </w:r>
          </w:p>
          <w:p w:rsidR="00000000" w:rsidRPr="00102539" w:rsidP="00102539">
            <w:pPr>
              <w:pStyle w:val="ListBullet2"/>
            </w:pPr>
            <w:r w:rsidRPr="00102539">
              <w:t xml:space="preserve">general operation of a fan test unit </w:t>
            </w:r>
          </w:p>
          <w:p w:rsidR="00000000" w:rsidRPr="00102539" w:rsidP="00102539">
            <w:pPr>
              <w:pStyle w:val="ListBullet2"/>
            </w:pPr>
            <w:r w:rsidRPr="00102539">
              <w:t>installation of equipment</w:t>
            </w:r>
          </w:p>
          <w:p w:rsidR="00000000" w:rsidRPr="00102539" w:rsidP="00102539">
            <w:pPr>
              <w:pStyle w:val="ListBullet2"/>
            </w:pPr>
            <w:r w:rsidRPr="00102539">
              <w:t>operation of equipment</w:t>
            </w:r>
          </w:p>
          <w:p w:rsidR="00000000" w:rsidRPr="00102539" w:rsidP="00102539">
            <w:pPr>
              <w:pStyle w:val="ListBullet2"/>
            </w:pPr>
            <w:r w:rsidRPr="00102539">
              <w:t>pass or fail against AS 4214 Gaseous fire extinguishing systems (10 minute/100mm against highest protected risk)</w:t>
            </w:r>
          </w:p>
          <w:p w:rsidR="00000000" w:rsidRPr="00102539" w:rsidP="00102539">
            <w:pPr>
              <w:pStyle w:val="ListBullet"/>
            </w:pPr>
            <w:r w:rsidRPr="00102539">
              <w:t>key features of legislation, regulations and codes applicable to conducting tests</w:t>
            </w:r>
          </w:p>
          <w:p w:rsidR="00000000" w:rsidRPr="00102539" w:rsidP="00102539">
            <w:pPr>
              <w:pStyle w:val="ListBullet"/>
            </w:pPr>
            <w:r w:rsidRPr="00102539">
              <w:t>terminology used in relation to integrity testing, such as:</w:t>
            </w:r>
          </w:p>
          <w:p w:rsidR="00000000" w:rsidRPr="00102539" w:rsidP="00102539">
            <w:pPr>
              <w:pStyle w:val="ListBullet2"/>
            </w:pPr>
            <w:r w:rsidRPr="00102539">
              <w:t>agent loss</w:t>
            </w:r>
          </w:p>
          <w:p w:rsidR="00000000" w:rsidRPr="00102539" w:rsidP="00102539">
            <w:pPr>
              <w:pStyle w:val="ListBullet2"/>
            </w:pPr>
            <w:r w:rsidRPr="00102539">
              <w:t>agent recirculation</w:t>
            </w:r>
          </w:p>
          <w:p w:rsidR="00000000" w:rsidRPr="00102539" w:rsidP="00102539">
            <w:pPr>
              <w:pStyle w:val="ListBullet2"/>
            </w:pPr>
            <w:r w:rsidRPr="00102539">
              <w:t>descending interface (height)</w:t>
            </w:r>
          </w:p>
          <w:p w:rsidR="00000000" w:rsidRPr="00102539" w:rsidP="00102539">
            <w:pPr>
              <w:pStyle w:val="ListBullet2"/>
            </w:pPr>
            <w:r w:rsidRPr="00102539">
              <w:t>highest protected risk (minimum protected equipment height)</w:t>
            </w:r>
          </w:p>
          <w:p w:rsidR="00000000" w:rsidRPr="00102539" w:rsidP="00102539">
            <w:pPr>
              <w:pStyle w:val="ListBullet2"/>
            </w:pPr>
            <w:r w:rsidRPr="00102539">
              <w:t>retention time</w:t>
            </w:r>
          </w:p>
          <w:p w:rsidR="00000000" w:rsidRPr="00102539" w:rsidP="00102539">
            <w:pPr>
              <w:pStyle w:val="ListBullet2"/>
            </w:pPr>
            <w:r w:rsidRPr="00102539">
              <w:t>total leakage area</w:t>
            </w:r>
          </w:p>
          <w:p w:rsidR="00000000" w:rsidRPr="00102539" w:rsidP="00102539">
            <w:pPr>
              <w:pStyle w:val="ListBullet2"/>
            </w:pPr>
            <w:r w:rsidRPr="00102539">
              <w:t>upper and lower leaks</w:t>
            </w:r>
          </w:p>
        </w:tc>
      </w:tr>
    </w:tbl>
    <w:p w:rsidR="00000000" w:rsidRPr="00102539" w:rsidP="00102539">
      <w:pPr>
        <w:pStyle w:val="BodyText"/>
      </w:pPr>
    </w:p>
    <w:p w:rsidR="00000000" w:rsidRPr="00102539" w:rsidP="00102539">
      <w:pPr>
        <w:pStyle w:val="AllowPageBreak"/>
      </w:pPr>
    </w:p>
    <w:p w:rsidR="00000000" w:rsidRPr="00102539" w:rsidP="00102539">
      <w:pPr>
        <w:pStyle w:val="Heading1"/>
      </w:pPr>
      <w:bookmarkStart w:id="10" w:name="O_361636"/>
      <w:bookmarkEnd w:id="10"/>
      <w:r w:rsidRPr="00102539">
        <w:t>Evidence Guide</w:t>
      </w:r>
    </w:p>
    <w:tbl>
      <w:tblPr>
        <w:tblW w:w="9462" w:type="dxa"/>
        <w:tblLayout w:type="fixed"/>
        <w:tblCellMar>
          <w:left w:w="62" w:type="dxa"/>
          <w:right w:w="62" w:type="dxa"/>
        </w:tblCellMar>
        <w:tblLook w:val="0000"/>
      </w:tblPr>
      <w:tblGrid>
        <w:gridCol w:w="2700"/>
        <w:gridCol w:w="6762"/>
      </w:tblGrid>
      <w:tr w:rsidTr="0010253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102539">
            <w:pPr>
              <w:pStyle w:val="BodyText"/>
              <w:rPr>
                <w:lang w:val="en-NZ"/>
              </w:rPr>
            </w:pPr>
            <w:r w:rsidRPr="00102539">
              <w:t>The evidence guide provides advice on assessment and must be read in conjunction with the performance criteria, required skills and knowledge, range statement and the Assessment Guidelines for the Training Package.</w:t>
            </w:r>
          </w:p>
        </w:tc>
      </w:tr>
      <w:tr w:rsidTr="0010253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539">
            <w:pPr>
              <w:pStyle w:val="BodyText"/>
              <w:rPr>
                <w:lang w:val="en-NZ"/>
              </w:rPr>
            </w:pPr>
            <w:r w:rsidRPr="00102539">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539">
            <w:pPr>
              <w:pStyle w:val="BodyText"/>
              <w:rPr>
                <w:lang w:val="en-NZ"/>
              </w:rPr>
            </w:pPr>
            <w:r w:rsidRPr="00102539">
              <w:t>This unit of com</w:t>
            </w:r>
            <w:r w:rsidRPr="00102539">
              <w:t xml:space="preserve">petency could be assessed by observation of practical demonstration on customer premises or in simulated workplace environment. </w:t>
            </w:r>
          </w:p>
        </w:tc>
      </w:tr>
      <w:tr w:rsidTr="0010253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539">
            <w:pPr>
              <w:pStyle w:val="BodyText"/>
              <w:rPr>
                <w:lang w:val="en-NZ"/>
              </w:rPr>
            </w:pPr>
            <w:r w:rsidRPr="00102539">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539" w:rsidP="00102539">
            <w:pPr>
              <w:pStyle w:val="BodyText"/>
            </w:pPr>
            <w:r w:rsidRPr="00102539">
              <w:t>A person who demonstrates competency in this unit must be able to provide evidence of the required skills and knowledge specified in this unit.</w:t>
            </w:r>
          </w:p>
          <w:p w:rsidR="00000000" w:rsidRPr="00102539" w:rsidP="00102539">
            <w:pPr>
              <w:pStyle w:val="BodyText"/>
            </w:pPr>
            <w:r w:rsidRPr="00102539">
              <w:t>In particular the person should demonstrate the ability to conduct tests on enclosures where total flooding gase</w:t>
            </w:r>
            <w:r w:rsidRPr="00102539">
              <w:t>ous agent protection is installed and a doorway is fitted. Enclosures should include:</w:t>
            </w:r>
          </w:p>
          <w:p w:rsidR="00000000" w:rsidRPr="00102539" w:rsidP="00102539">
            <w:pPr>
              <w:pStyle w:val="ListBullet"/>
            </w:pPr>
            <w:r w:rsidRPr="00102539">
              <w:t>computer room</w:t>
            </w:r>
          </w:p>
          <w:p w:rsidR="00000000" w:rsidRPr="00102539" w:rsidP="00102539">
            <w:pPr>
              <w:pStyle w:val="ListBullet"/>
            </w:pPr>
            <w:r w:rsidRPr="00102539">
              <w:t>electrical switch room</w:t>
            </w:r>
          </w:p>
          <w:p w:rsidR="00000000" w:rsidRPr="00102539" w:rsidP="00102539">
            <w:pPr>
              <w:pStyle w:val="ListBullet"/>
            </w:pPr>
            <w:r w:rsidRPr="00102539">
              <w:t>machinery space in a vessel.</w:t>
            </w:r>
          </w:p>
          <w:p w:rsidR="00000000" w:rsidP="00102539">
            <w:pPr>
              <w:pStyle w:val="BodyText"/>
              <w:rPr>
                <w:lang w:val="en-NZ"/>
              </w:rPr>
            </w:pPr>
            <w:r w:rsidRPr="00102539">
              <w:t>Note: Tests must be conducted according to the current Australian standard relevant to inspection, test</w:t>
            </w:r>
            <w:r w:rsidRPr="00102539">
              <w:t xml:space="preserve"> and preventive maintenance of the gaseous agent fire-suppression system.</w:t>
            </w:r>
          </w:p>
        </w:tc>
      </w:tr>
      <w:tr w:rsidTr="0010253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539">
            <w:pPr>
              <w:pStyle w:val="BodyText"/>
              <w:rPr>
                <w:lang w:val="en-NZ"/>
              </w:rPr>
            </w:pPr>
            <w:r w:rsidRPr="00102539">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539" w:rsidP="00102539">
            <w:pPr>
              <w:pStyle w:val="BodyText"/>
            </w:pPr>
            <w:r w:rsidRPr="00102539">
              <w:t xml:space="preserve">Assessment of essential underpinning knowledge may be conducted in an off-site context. It is to comply with relevant regulatory or </w:t>
            </w:r>
            <w:r w:rsidRPr="00102539">
              <w:t>Australian standards’ requirements.</w:t>
            </w:r>
          </w:p>
          <w:p w:rsidR="00000000" w:rsidRPr="00102539" w:rsidP="00102539">
            <w:pPr>
              <w:pStyle w:val="BodyText"/>
            </w:pPr>
            <w:r w:rsidRPr="00102539">
              <w:t>Resource implications for assessment include:</w:t>
            </w:r>
          </w:p>
          <w:p w:rsidR="00000000" w:rsidRPr="00102539" w:rsidP="00102539">
            <w:pPr>
              <w:pStyle w:val="ListBullet"/>
            </w:pPr>
            <w:r w:rsidRPr="00102539">
              <w:t>fan integrity-testing equipment</w:t>
            </w:r>
          </w:p>
          <w:p w:rsidR="00000000" w:rsidP="00102539">
            <w:pPr>
              <w:pStyle w:val="ListBullet"/>
              <w:rPr>
                <w:lang w:val="en-NZ"/>
              </w:rPr>
            </w:pPr>
            <w:r w:rsidRPr="00102539">
              <w:t>suitable enclosures to demonstrate required test conditions.</w:t>
            </w:r>
          </w:p>
        </w:tc>
      </w:tr>
      <w:tr w:rsidTr="0010253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539">
            <w:pPr>
              <w:pStyle w:val="BodyText"/>
              <w:rPr>
                <w:lang w:val="en-NZ"/>
              </w:rPr>
            </w:pPr>
            <w:r w:rsidRPr="00102539">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539" w:rsidP="00102539">
            <w:pPr>
              <w:pStyle w:val="BodyText"/>
            </w:pPr>
            <w:r w:rsidRPr="00102539">
              <w:t>Assessment methods must:</w:t>
            </w:r>
          </w:p>
          <w:p w:rsidR="00000000" w:rsidRPr="00102539" w:rsidP="00102539">
            <w:pPr>
              <w:pStyle w:val="ListBullet"/>
            </w:pPr>
            <w:r w:rsidRPr="00102539">
              <w:t>satisfy the endorsed Assessment Guidelines of the Property Services Training Package</w:t>
            </w:r>
          </w:p>
          <w:p w:rsidR="00000000" w:rsidRPr="00102539" w:rsidP="00102539">
            <w:pPr>
              <w:pStyle w:val="ListBullet"/>
            </w:pPr>
            <w:r w:rsidRPr="00102539">
              <w:t>include direct observation of tasks in real or simulated work conditions, with questioning to confirm the ability to consistently identify and correctly interpret the esse</w:t>
            </w:r>
            <w:r w:rsidRPr="00102539">
              <w:t>ntial underpinning knowledge required for practical application</w:t>
            </w:r>
          </w:p>
          <w:p w:rsidR="00000000" w:rsidRPr="00102539" w:rsidP="00102539">
            <w:pPr>
              <w:pStyle w:val="ListBullet"/>
            </w:pPr>
            <w:r w:rsidRPr="00102539">
              <w:t>reinforce the integration of employability skills with workplace tasks and job roles</w:t>
            </w:r>
          </w:p>
          <w:p w:rsidR="00000000" w:rsidP="00102539">
            <w:pPr>
              <w:pStyle w:val="ListBullet"/>
              <w:rPr>
                <w:lang w:val="en-NZ"/>
              </w:rPr>
            </w:pPr>
            <w:r w:rsidRPr="00102539">
              <w:t>confirm that competency is verified and able to be transferred to other circumstances and environments.</w:t>
            </w:r>
          </w:p>
        </w:tc>
      </w:tr>
      <w:tr w:rsidTr="0010253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539">
            <w:pPr>
              <w:pStyle w:val="BodyText"/>
              <w:rPr>
                <w:lang w:val="en-NZ"/>
              </w:rPr>
            </w:pPr>
            <w:r w:rsidRPr="00102539">
              <w:t>Gu</w:t>
            </w:r>
            <w:r w:rsidRPr="00102539">
              <w:t>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539" w:rsidP="00102539">
            <w:pPr>
              <w:pStyle w:val="BodyText"/>
            </w:pPr>
            <w:r w:rsidRPr="00102539">
              <w:t>Reasonable adjustments for people with disabilities must be made to assessment processes where required. This could include access to modified equipment and other physical resources, and the provision of appropriate assess</w:t>
            </w:r>
            <w:r w:rsidRPr="00102539">
              <w:t>ment support.</w:t>
            </w:r>
          </w:p>
          <w:p w:rsidR="00000000" w:rsidRPr="00102539" w:rsidP="00102539">
            <w:pPr>
              <w:pStyle w:val="BodyText"/>
            </w:pPr>
            <w:r w:rsidRPr="00102539">
              <w:t>Assessment processes and techniques should as far as is practical take into account the language, literacy and numeracy capacity of the candidate in relation to the competency being assessed.</w:t>
            </w:r>
          </w:p>
          <w:p w:rsidR="00000000" w:rsidRPr="00102539" w:rsidP="00102539">
            <w:pPr>
              <w:pStyle w:val="BodyText"/>
            </w:pPr>
            <w:r w:rsidRPr="00102539">
              <w:t>This unit could be assessed on its own or in combi</w:t>
            </w:r>
            <w:r w:rsidRPr="00102539">
              <w:t>nation with other units relevant to the job function.</w:t>
            </w:r>
          </w:p>
        </w:tc>
      </w:tr>
    </w:tbl>
    <w:p w:rsidR="008219C9" w:rsidP="00102539">
      <w:pPr>
        <w:pStyle w:val="BodyText"/>
      </w:pPr>
    </w:p>
    <w:p w:rsidR="008219C9" w:rsidP="00102539">
      <w:pPr>
        <w:pStyle w:val="BodyText"/>
      </w:pPr>
    </w:p>
    <w:p w:rsidR="00000000" w:rsidRPr="00102539" w:rsidP="00102539">
      <w:pPr>
        <w:pStyle w:val="Heading1"/>
      </w:pPr>
      <w:bookmarkStart w:id="11" w:name="O_361637"/>
      <w:bookmarkEnd w:id="11"/>
      <w:r w:rsidRPr="00102539">
        <w:t>Range Statement</w:t>
      </w:r>
    </w:p>
    <w:tbl>
      <w:tblPr>
        <w:tblW w:w="9462" w:type="dxa"/>
        <w:tblLayout w:type="fixed"/>
        <w:tblCellMar>
          <w:left w:w="62" w:type="dxa"/>
          <w:right w:w="62" w:type="dxa"/>
        </w:tblCellMar>
        <w:tblLook w:val="0000"/>
      </w:tblPr>
      <w:tblGrid>
        <w:gridCol w:w="2700"/>
        <w:gridCol w:w="6762"/>
      </w:tblGrid>
      <w:tr w:rsidTr="0010253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102539">
            <w:pPr>
              <w:pStyle w:val="BodyText"/>
              <w:rPr>
                <w:lang w:val="en-NZ"/>
              </w:rPr>
            </w:pPr>
            <w:r w:rsidRPr="00102539">
              <w:t xml:space="preserve">The range statement relates to the unit of competency as a whole. It allows for different work environments and situations that may affect </w:t>
            </w:r>
            <w:r w:rsidRPr="00102539">
              <w:t>performance. Bold italicised wording, if used in the performance criteria, is detailed below. Essential operating conditions that may be present with training and assessment (depending on the work situation, needs of the candidate, accessibility of the ite</w:t>
            </w:r>
            <w:r w:rsidRPr="00102539">
              <w:t>m, and local industry and regional contexts) may also be included.</w:t>
            </w:r>
          </w:p>
        </w:tc>
      </w:tr>
      <w:tr w:rsidTr="0010253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539">
            <w:pPr>
              <w:pStyle w:val="BodyText"/>
              <w:rPr>
                <w:lang w:val="en-NZ"/>
              </w:rPr>
            </w:pPr>
            <w:r w:rsidRPr="00102539">
              <w:rPr>
                <w:rStyle w:val="BoldandItalics"/>
              </w:rPr>
              <w:t>Legislative and industry requirements</w:t>
            </w:r>
            <w:r w:rsidRPr="0010253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539" w:rsidP="00102539">
            <w:pPr>
              <w:pStyle w:val="ListBullet"/>
            </w:pPr>
            <w:r w:rsidRPr="00102539">
              <w:t>dangerous goods regulations</w:t>
            </w:r>
          </w:p>
          <w:p w:rsidR="00000000" w:rsidRPr="00102539" w:rsidP="00102539">
            <w:pPr>
              <w:pStyle w:val="ListBullet"/>
            </w:pPr>
            <w:r w:rsidRPr="00102539">
              <w:t>environmental regulations</w:t>
            </w:r>
          </w:p>
          <w:p w:rsidR="00000000" w:rsidRPr="00102539" w:rsidP="00102539">
            <w:pPr>
              <w:pStyle w:val="ListBullet"/>
            </w:pPr>
            <w:r w:rsidRPr="00102539">
              <w:t>extinguishing agent handling licences (EAHL)</w:t>
            </w:r>
          </w:p>
          <w:p w:rsidR="00000000" w:rsidRPr="00102539" w:rsidP="00102539">
            <w:pPr>
              <w:pStyle w:val="ListBullet"/>
            </w:pPr>
            <w:r w:rsidRPr="00102539">
              <w:t>licensing arrangements</w:t>
            </w:r>
          </w:p>
          <w:p w:rsidR="00000000" w:rsidRPr="00102539" w:rsidP="00102539">
            <w:pPr>
              <w:pStyle w:val="ListBullet"/>
            </w:pPr>
            <w:r w:rsidRPr="00102539">
              <w:t xml:space="preserve">occupational </w:t>
            </w:r>
            <w:r w:rsidRPr="00102539">
              <w:t>health and safety (OHS) legislation, regulations and codes</w:t>
            </w:r>
          </w:p>
          <w:p w:rsidR="00000000" w:rsidRPr="00102539" w:rsidP="00102539">
            <w:pPr>
              <w:pStyle w:val="ListBullet"/>
            </w:pPr>
            <w:r w:rsidRPr="00102539">
              <w:t>relevant commonwealth and state or territory building Acts, regulations and codes, such as Building Code of Australia (BCA)</w:t>
            </w:r>
          </w:p>
          <w:p w:rsidR="00000000" w:rsidRPr="00102539" w:rsidP="00102539">
            <w:pPr>
              <w:pStyle w:val="ListBullet"/>
            </w:pPr>
            <w:r w:rsidRPr="00102539">
              <w:t>relevant Australian standards, such as:</w:t>
            </w:r>
          </w:p>
          <w:p w:rsidR="00000000" w:rsidRPr="00102539" w:rsidP="00102539">
            <w:pPr>
              <w:pStyle w:val="ListBullet2"/>
            </w:pPr>
            <w:r w:rsidRPr="00102539">
              <w:t>AS 1851 Maintenance of fire prot</w:t>
            </w:r>
            <w:r w:rsidRPr="00102539">
              <w:t>ection systems and equipment</w:t>
            </w:r>
          </w:p>
          <w:p w:rsidR="00000000" w:rsidRPr="00102539" w:rsidP="00102539">
            <w:pPr>
              <w:pStyle w:val="ListBullet2"/>
            </w:pPr>
            <w:r w:rsidRPr="00102539">
              <w:t>AS 4214 Gaseous fire extinguishing systems</w:t>
            </w:r>
          </w:p>
          <w:p w:rsidR="00000000" w:rsidRPr="00102539" w:rsidP="00102539">
            <w:pPr>
              <w:pStyle w:val="ListBullet2"/>
            </w:pPr>
            <w:r w:rsidRPr="00102539">
              <w:t>note: Australian standards are frequently revised and users must always check for currency and amendments</w:t>
            </w:r>
          </w:p>
          <w:p w:rsidR="00000000" w:rsidRPr="00102539" w:rsidP="00102539">
            <w:pPr>
              <w:pStyle w:val="ListBullet"/>
            </w:pPr>
            <w:r w:rsidRPr="00102539">
              <w:t>other relevant legislation relating to fire protection equipment, including:</w:t>
            </w:r>
          </w:p>
          <w:p w:rsidR="00000000" w:rsidRPr="00102539" w:rsidP="00102539">
            <w:pPr>
              <w:pStyle w:val="ListBullet2"/>
            </w:pPr>
            <w:r w:rsidRPr="00102539">
              <w:t>international shipping codes</w:t>
            </w:r>
          </w:p>
          <w:p w:rsidR="00000000" w:rsidP="00102539">
            <w:pPr>
              <w:pStyle w:val="ListBullet2"/>
              <w:rPr>
                <w:lang w:val="en-NZ"/>
              </w:rPr>
            </w:pPr>
            <w:r w:rsidRPr="00102539">
              <w:t>marine codes for different Australian States.</w:t>
            </w:r>
          </w:p>
        </w:tc>
      </w:tr>
      <w:tr w:rsidTr="0010253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539">
            <w:pPr>
              <w:pStyle w:val="BodyText"/>
              <w:rPr>
                <w:lang w:val="en-NZ"/>
              </w:rPr>
            </w:pPr>
            <w:r w:rsidRPr="00102539">
              <w:rPr>
                <w:rStyle w:val="BoldandItalics"/>
              </w:rPr>
              <w:t>Organisational requirements</w:t>
            </w:r>
            <w:r w:rsidRPr="00102539">
              <w:t xml:space="preserve"> may be located in quality assurance and</w:t>
            </w:r>
            <w:r w:rsidRPr="00102539">
              <w:rPr>
                <w:rStyle w:val="SpecialBold"/>
              </w:rPr>
              <w:t xml:space="preserve"> procedures manuals relating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539" w:rsidP="00102539">
            <w:pPr>
              <w:pStyle w:val="ListBullet"/>
            </w:pPr>
            <w:r w:rsidRPr="00102539">
              <w:t>customer-specific contractual requirements</w:t>
            </w:r>
          </w:p>
          <w:p w:rsidR="00000000" w:rsidRPr="00102539" w:rsidP="00102539">
            <w:pPr>
              <w:pStyle w:val="ListBullet"/>
            </w:pPr>
            <w:r w:rsidRPr="00102539">
              <w:t>documentation and information systems and processes</w:t>
            </w:r>
          </w:p>
          <w:p w:rsidR="00000000" w:rsidRPr="00102539" w:rsidP="00102539">
            <w:pPr>
              <w:pStyle w:val="ListBullet"/>
            </w:pPr>
            <w:r w:rsidRPr="00102539">
              <w:t>legal and organisational policy and guidelines</w:t>
            </w:r>
          </w:p>
          <w:p w:rsidR="00000000" w:rsidRPr="00102539" w:rsidP="00102539">
            <w:pPr>
              <w:pStyle w:val="ListBullet"/>
            </w:pPr>
            <w:r w:rsidRPr="00102539">
              <w:t>legislation relevant to service operation</w:t>
            </w:r>
          </w:p>
          <w:p w:rsidR="00000000" w:rsidRPr="00102539" w:rsidP="00102539">
            <w:pPr>
              <w:pStyle w:val="ListBullet"/>
            </w:pPr>
            <w:r w:rsidRPr="00102539">
              <w:t>personnel practices and guidelines outlining work roles, responsibilities and delegations</w:t>
            </w:r>
          </w:p>
          <w:p w:rsidR="00000000" w:rsidP="00102539">
            <w:pPr>
              <w:pStyle w:val="ListBullet"/>
              <w:rPr>
                <w:lang w:val="en-NZ"/>
              </w:rPr>
            </w:pPr>
            <w:r w:rsidRPr="00102539">
              <w:t>use of electronic job sch</w:t>
            </w:r>
            <w:r w:rsidRPr="00102539">
              <w:t>eduling and communication devices.</w:t>
            </w:r>
          </w:p>
        </w:tc>
      </w:tr>
      <w:tr w:rsidTr="0010253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539">
            <w:pPr>
              <w:pStyle w:val="BodyText"/>
              <w:rPr>
                <w:lang w:val="en-NZ"/>
              </w:rPr>
            </w:pPr>
            <w:r w:rsidRPr="00102539">
              <w:rPr>
                <w:rStyle w:val="BoldandItalics"/>
              </w:rPr>
              <w:t>Checking for compliance</w:t>
            </w:r>
            <w:r w:rsidRPr="00102539">
              <w:t xml:space="preserve"> </w:t>
            </w:r>
            <w:r w:rsidRPr="00102539">
              <w:rPr>
                <w:rStyle w:val="SpecialBold"/>
              </w:rPr>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539" w:rsidP="00102539">
            <w:pPr>
              <w:pStyle w:val="ListBullet"/>
            </w:pPr>
            <w:r w:rsidRPr="00102539">
              <w:t>providing the coverage and protection needed to meet original design and performance requirements</w:t>
            </w:r>
          </w:p>
          <w:p w:rsidR="00000000" w:rsidRPr="00102539" w:rsidP="00102539">
            <w:pPr>
              <w:pStyle w:val="ListBullet"/>
            </w:pPr>
            <w:r w:rsidRPr="00102539">
              <w:t xml:space="preserve">suitability for fire hazard or risk being protected, whether change has occurred in </w:t>
            </w:r>
            <w:r w:rsidRPr="00102539">
              <w:t xml:space="preserve">use of the protected area since equipment or system was installed or last modified </w:t>
            </w:r>
          </w:p>
          <w:p w:rsidR="00000000" w:rsidRPr="00102539" w:rsidP="00102539">
            <w:pPr>
              <w:pStyle w:val="ListBullet"/>
            </w:pPr>
            <w:r w:rsidRPr="00102539">
              <w:t>reviewing documentation to verify that installed systems comply with legislative and industry requirements, such as:</w:t>
            </w:r>
          </w:p>
          <w:p w:rsidR="00000000" w:rsidRPr="00102539" w:rsidP="00102539">
            <w:pPr>
              <w:pStyle w:val="ListBullet2"/>
            </w:pPr>
            <w:r w:rsidRPr="00102539">
              <w:t xml:space="preserve">building’s essential services or fire safety measures </w:t>
            </w:r>
            <w:r w:rsidRPr="00102539">
              <w:t>listing</w:t>
            </w:r>
          </w:p>
          <w:p w:rsidR="00000000" w:rsidRPr="00102539" w:rsidP="00102539">
            <w:pPr>
              <w:pStyle w:val="ListBullet2"/>
            </w:pPr>
            <w:r w:rsidRPr="00102539">
              <w:t>environmental regulations</w:t>
            </w:r>
          </w:p>
          <w:p w:rsidR="00000000" w:rsidRPr="00102539" w:rsidP="00102539">
            <w:pPr>
              <w:pStyle w:val="ListBullet2"/>
            </w:pPr>
            <w:r w:rsidRPr="00102539">
              <w:t>relevant commonwealth and state or territory building Acts, regulations and codes</w:t>
            </w:r>
          </w:p>
          <w:p w:rsidR="00000000" w:rsidRPr="00102539" w:rsidP="00102539">
            <w:pPr>
              <w:pStyle w:val="ListBullet2"/>
            </w:pPr>
            <w:r w:rsidRPr="00102539">
              <w:t>relevant Australian standards listed on essential service listing</w:t>
            </w:r>
          </w:p>
          <w:p w:rsidR="00000000" w:rsidRPr="00102539" w:rsidP="00102539">
            <w:pPr>
              <w:pStyle w:val="ListBullet"/>
            </w:pPr>
            <w:r w:rsidRPr="00102539">
              <w:t>undertaking commissioning tests detailed in Australian standards and manufacturers’ documentation to verify performance of an installed, repaired or altered piece of equipment or system</w:t>
            </w:r>
          </w:p>
          <w:p w:rsidR="00000000" w:rsidP="00102539">
            <w:pPr>
              <w:pStyle w:val="ListBullet"/>
              <w:rPr>
                <w:lang w:val="en-NZ"/>
              </w:rPr>
            </w:pPr>
            <w:r w:rsidRPr="00102539">
              <w:t>applying inspection, test and survey requirements according to Austral</w:t>
            </w:r>
            <w:r w:rsidRPr="00102539">
              <w:t>ian standards.</w:t>
            </w:r>
          </w:p>
        </w:tc>
      </w:tr>
      <w:tr w:rsidTr="0010253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539">
            <w:pPr>
              <w:pStyle w:val="BodyText"/>
              <w:rPr>
                <w:lang w:val="en-NZ"/>
              </w:rPr>
            </w:pPr>
            <w:r w:rsidRPr="00102539">
              <w:rPr>
                <w:rStyle w:val="BoldandItalics"/>
              </w:rPr>
              <w:t xml:space="preserve">Action </w:t>
            </w:r>
            <w:r w:rsidRPr="00102539">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539" w:rsidP="00102539">
            <w:pPr>
              <w:pStyle w:val="ListBullet"/>
            </w:pPr>
            <w:r w:rsidRPr="00102539">
              <w:t>advising customer</w:t>
            </w:r>
          </w:p>
          <w:p w:rsidR="00000000" w:rsidRPr="00102539" w:rsidP="00102539">
            <w:pPr>
              <w:pStyle w:val="ListBullet"/>
            </w:pPr>
            <w:r w:rsidRPr="00102539">
              <w:t>documenting non-compliance</w:t>
            </w:r>
          </w:p>
          <w:p w:rsidR="00000000" w:rsidRPr="00102539" w:rsidP="00102539">
            <w:pPr>
              <w:pStyle w:val="ListBullet"/>
            </w:pPr>
            <w:r w:rsidRPr="00102539">
              <w:t>making equipment safe</w:t>
            </w:r>
          </w:p>
          <w:p w:rsidR="00000000" w:rsidP="00102539">
            <w:pPr>
              <w:pStyle w:val="ListBullet"/>
              <w:rPr>
                <w:lang w:val="en-NZ"/>
              </w:rPr>
            </w:pPr>
            <w:r w:rsidRPr="00102539">
              <w:t>reporting, as required.</w:t>
            </w:r>
          </w:p>
        </w:tc>
      </w:tr>
      <w:tr w:rsidTr="0010253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539">
            <w:pPr>
              <w:pStyle w:val="BodyText"/>
              <w:rPr>
                <w:lang w:val="en-NZ"/>
              </w:rPr>
            </w:pPr>
            <w:r w:rsidRPr="00102539">
              <w:rPr>
                <w:rStyle w:val="BoldandItalics"/>
              </w:rPr>
              <w:t>Gaseous agent fire-suppression systems</w:t>
            </w:r>
            <w:r w:rsidRPr="0010253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539" w:rsidP="00102539">
            <w:pPr>
              <w:pStyle w:val="ListBullet"/>
            </w:pPr>
            <w:r w:rsidRPr="00102539">
              <w:t>total flood systems which use a variety of extinguishing agents, such as:</w:t>
            </w:r>
          </w:p>
          <w:p w:rsidR="00000000" w:rsidRPr="00102539" w:rsidP="00102539">
            <w:pPr>
              <w:pStyle w:val="ListBullet2"/>
            </w:pPr>
            <w:r w:rsidRPr="00102539">
              <w:t>inert gaseous fire-extinguishing agents</w:t>
            </w:r>
          </w:p>
          <w:p w:rsidR="00000000" w:rsidRPr="00102539" w:rsidP="00102539">
            <w:pPr>
              <w:pStyle w:val="ListBullet2"/>
            </w:pPr>
            <w:r w:rsidRPr="00102539">
              <w:t>liquefied gaseous agent, such as carbon dioxide</w:t>
            </w:r>
          </w:p>
          <w:p w:rsidR="00000000" w:rsidRPr="00102539" w:rsidP="00102539">
            <w:pPr>
              <w:pStyle w:val="ListBullet2"/>
            </w:pPr>
            <w:r w:rsidRPr="00102539">
              <w:t>synthetic gaseous fire-extinguishing agents (note: EAHL is required)</w:t>
            </w:r>
          </w:p>
          <w:p w:rsidR="00000000" w:rsidRPr="00102539" w:rsidP="00102539">
            <w:pPr>
              <w:pStyle w:val="ListBullet"/>
            </w:pPr>
            <w:r w:rsidRPr="00102539">
              <w:t>major components of these systems may include:</w:t>
            </w:r>
          </w:p>
          <w:p w:rsidR="00000000" w:rsidRPr="00102539" w:rsidP="00102539">
            <w:pPr>
              <w:pStyle w:val="ListBullet2"/>
            </w:pPr>
            <w:r w:rsidRPr="00102539">
              <w:t>actuators</w:t>
            </w:r>
          </w:p>
          <w:p w:rsidR="00000000" w:rsidRPr="00102539" w:rsidP="00102539">
            <w:pPr>
              <w:pStyle w:val="ListBullet2"/>
            </w:pPr>
            <w:r w:rsidRPr="00102539">
              <w:t>alarm system devices</w:t>
            </w:r>
          </w:p>
          <w:p w:rsidR="00000000" w:rsidRPr="00102539" w:rsidP="00102539">
            <w:pPr>
              <w:pStyle w:val="ListBullet2"/>
            </w:pPr>
            <w:r w:rsidRPr="00102539">
              <w:t>automatic fire detection devices</w:t>
            </w:r>
          </w:p>
          <w:p w:rsidR="00000000" w:rsidRPr="00102539" w:rsidP="00102539">
            <w:pPr>
              <w:pStyle w:val="ListBullet2"/>
            </w:pPr>
            <w:r w:rsidRPr="00102539">
              <w:t>containers of extinguishant agent</w:t>
            </w:r>
          </w:p>
          <w:p w:rsidR="00000000" w:rsidRPr="00102539" w:rsidP="00102539">
            <w:pPr>
              <w:pStyle w:val="ListBullet2"/>
            </w:pPr>
            <w:r w:rsidRPr="00102539">
              <w:t>local control stations</w:t>
            </w:r>
          </w:p>
          <w:p w:rsidR="00000000" w:rsidRPr="00102539" w:rsidP="00102539">
            <w:pPr>
              <w:pStyle w:val="ListBullet2"/>
            </w:pPr>
            <w:r w:rsidRPr="00102539">
              <w:t>nozzles connected to the pipework</w:t>
            </w:r>
          </w:p>
          <w:p w:rsidR="00000000" w:rsidRPr="00102539" w:rsidP="00102539">
            <w:pPr>
              <w:pStyle w:val="ListBullet2"/>
            </w:pPr>
            <w:r w:rsidRPr="00102539">
              <w:t xml:space="preserve">pipework connected to extinguishant containers </w:t>
            </w:r>
          </w:p>
          <w:p w:rsidR="00000000" w:rsidP="00102539">
            <w:pPr>
              <w:pStyle w:val="ListBullet2"/>
              <w:rPr>
                <w:lang w:val="en-NZ"/>
              </w:rPr>
            </w:pPr>
            <w:r w:rsidRPr="00102539">
              <w:t>warning devices and signs at entry points to protected space.</w:t>
            </w:r>
          </w:p>
        </w:tc>
      </w:tr>
      <w:tr w:rsidTr="0010253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539">
            <w:pPr>
              <w:pStyle w:val="BodyText"/>
              <w:rPr>
                <w:lang w:val="en-NZ"/>
              </w:rPr>
            </w:pPr>
            <w:r w:rsidRPr="00102539">
              <w:rPr>
                <w:rStyle w:val="BoldandItalics"/>
              </w:rPr>
              <w:t xml:space="preserve">Enclosures </w:t>
            </w:r>
            <w:r w:rsidRPr="00102539">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539" w:rsidP="00102539">
            <w:pPr>
              <w:pStyle w:val="ListBullet"/>
            </w:pPr>
            <w:r w:rsidRPr="00102539">
              <w:t>electrical switch rooms</w:t>
            </w:r>
          </w:p>
          <w:p w:rsidR="00000000" w:rsidRPr="00102539" w:rsidP="00102539">
            <w:pPr>
              <w:pStyle w:val="ListBullet"/>
            </w:pPr>
            <w:r w:rsidRPr="00102539">
              <w:t>rooms where total flooding gaseous agent protection is installed and a suitable doorway is fitted, such as:</w:t>
            </w:r>
          </w:p>
          <w:p w:rsidR="00000000" w:rsidRPr="00102539" w:rsidP="00102539">
            <w:pPr>
              <w:pStyle w:val="ListBullet2"/>
            </w:pPr>
            <w:r w:rsidRPr="00102539">
              <w:t>computer rooms</w:t>
            </w:r>
          </w:p>
          <w:p w:rsidR="00000000" w:rsidP="00102539">
            <w:pPr>
              <w:pStyle w:val="ListBullet2"/>
              <w:rPr>
                <w:lang w:val="en-NZ"/>
              </w:rPr>
            </w:pPr>
            <w:r w:rsidRPr="00102539">
              <w:t>machinery spaces in vessels.</w:t>
            </w:r>
          </w:p>
        </w:tc>
      </w:tr>
      <w:tr w:rsidTr="0010253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539">
            <w:pPr>
              <w:pStyle w:val="BodyText"/>
              <w:rPr>
                <w:lang w:val="en-NZ"/>
              </w:rPr>
            </w:pPr>
            <w:r w:rsidRPr="00102539">
              <w:rPr>
                <w:rStyle w:val="BoldandItalics"/>
              </w:rPr>
              <w:t>System</w:t>
            </w:r>
            <w:r w:rsidRPr="00102539">
              <w:t xml:space="preserve"> </w:t>
            </w:r>
            <w:r w:rsidRPr="00102539">
              <w:rPr>
                <w:rStyle w:val="BoldandItalics"/>
              </w:rPr>
              <w:t>interfaces</w:t>
            </w:r>
            <w:r w:rsidRPr="00102539">
              <w:t xml:space="preserve"> may include</w:t>
            </w:r>
            <w:r w:rsidRPr="00102539">
              <w:rPr>
                <w:rStyle w:val="SpecialBold"/>
              </w:rPr>
              <w: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539" w:rsidP="00102539">
            <w:pPr>
              <w:pStyle w:val="ListBullet"/>
            </w:pPr>
            <w:r w:rsidRPr="00102539">
              <w:t>components, such as:</w:t>
            </w:r>
          </w:p>
          <w:p w:rsidR="00000000" w:rsidRPr="00102539" w:rsidP="00102539">
            <w:pPr>
              <w:pStyle w:val="ListBullet2"/>
            </w:pPr>
            <w:r w:rsidRPr="00102539">
              <w:t>directional valves</w:t>
            </w:r>
          </w:p>
          <w:p w:rsidR="00000000" w:rsidRPr="00102539" w:rsidP="00102539">
            <w:pPr>
              <w:pStyle w:val="ListBullet2"/>
            </w:pPr>
            <w:r w:rsidRPr="00102539">
              <w:t>pressure switches</w:t>
            </w:r>
          </w:p>
          <w:p w:rsidR="00000000" w:rsidRPr="00102539" w:rsidP="00102539">
            <w:pPr>
              <w:pStyle w:val="ListBullet2"/>
            </w:pPr>
            <w:r w:rsidRPr="00102539">
              <w:t>tamper switches</w:t>
            </w:r>
          </w:p>
          <w:p w:rsidR="00000000" w:rsidRPr="00102539" w:rsidP="00102539">
            <w:pPr>
              <w:pStyle w:val="ListBullet"/>
            </w:pPr>
            <w:r w:rsidRPr="00102539">
              <w:t>devices that operate signals between the gaseous fire-suppression system and other services, such as:</w:t>
            </w:r>
          </w:p>
          <w:p w:rsidR="00000000" w:rsidRPr="00102539" w:rsidP="00102539">
            <w:pPr>
              <w:pStyle w:val="ListBullet2"/>
            </w:pPr>
            <w:r w:rsidRPr="00102539">
              <w:t xml:space="preserve">building heating, ventilation and cooling (HVAC) services </w:t>
            </w:r>
          </w:p>
          <w:p w:rsidR="00000000" w:rsidRPr="00102539" w:rsidP="00102539">
            <w:pPr>
              <w:pStyle w:val="ListBullet2"/>
            </w:pPr>
            <w:r w:rsidRPr="00102539">
              <w:t xml:space="preserve">fire brigade monitoring providers </w:t>
            </w:r>
          </w:p>
          <w:p w:rsidR="00000000" w:rsidRPr="00102539" w:rsidP="00102539">
            <w:pPr>
              <w:pStyle w:val="ListBullet2"/>
            </w:pPr>
            <w:r w:rsidRPr="00102539">
              <w:t>other</w:t>
            </w:r>
            <w:r w:rsidRPr="00102539">
              <w:t xml:space="preserve"> life safety systems, such as:</w:t>
            </w:r>
          </w:p>
          <w:p w:rsidR="00000000" w:rsidRPr="00102539" w:rsidP="00102539">
            <w:pPr>
              <w:pStyle w:val="ListBullet3"/>
            </w:pPr>
            <w:r w:rsidRPr="00102539">
              <w:t>alarm systems</w:t>
            </w:r>
          </w:p>
          <w:p w:rsidR="00000000" w:rsidRPr="00102539" w:rsidP="00102539">
            <w:pPr>
              <w:pStyle w:val="ListBullet3"/>
            </w:pPr>
            <w:r w:rsidRPr="00102539">
              <w:t>fire detection systems</w:t>
            </w:r>
          </w:p>
          <w:p w:rsidR="00000000" w:rsidP="00102539">
            <w:pPr>
              <w:pStyle w:val="ListBullet3"/>
              <w:rPr>
                <w:lang w:val="en-NZ"/>
              </w:rPr>
            </w:pPr>
            <w:r w:rsidRPr="00102539">
              <w:t>warning systems.</w:t>
            </w:r>
          </w:p>
        </w:tc>
      </w:tr>
      <w:tr w:rsidTr="0010253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539">
            <w:pPr>
              <w:pStyle w:val="BodyText"/>
              <w:rPr>
                <w:lang w:val="en-NZ"/>
              </w:rPr>
            </w:pPr>
            <w:r w:rsidRPr="00102539">
              <w:rPr>
                <w:rStyle w:val="BoldandItalics"/>
              </w:rPr>
              <w:t>Integrity</w:t>
            </w:r>
            <w:r w:rsidRPr="00102539">
              <w:rPr>
                <w:rStyle w:val="SpecialBold"/>
              </w:rPr>
              <w:t xml:space="preserve"> </w:t>
            </w:r>
            <w:r w:rsidRPr="00102539">
              <w:rPr>
                <w:rStyle w:val="BoldandItalics"/>
              </w:rPr>
              <w:t>testing</w:t>
            </w:r>
            <w:r w:rsidRPr="00102539">
              <w:rPr>
                <w:rStyle w:val="SpecialBold"/>
              </w:rPr>
              <w:t xml:space="preserve"> </w:t>
            </w:r>
            <w:r w:rsidRPr="00102539">
              <w:rPr>
                <w:rStyle w:val="BoldandItalics"/>
              </w:rPr>
              <w:t>equipment</w:t>
            </w:r>
            <w:r w:rsidRPr="0010253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539" w:rsidP="00102539">
            <w:pPr>
              <w:pStyle w:val="ListBullet"/>
            </w:pPr>
            <w:r w:rsidRPr="00102539">
              <w:t>floor panel lifter for false floors</w:t>
            </w:r>
          </w:p>
          <w:p w:rsidR="00000000" w:rsidRPr="00102539" w:rsidP="00102539">
            <w:pPr>
              <w:pStyle w:val="ListBullet"/>
            </w:pPr>
            <w:r w:rsidRPr="00102539">
              <w:t>measuring devices and tapes</w:t>
            </w:r>
          </w:p>
          <w:p w:rsidR="00000000" w:rsidRPr="00102539" w:rsidP="00102539">
            <w:pPr>
              <w:pStyle w:val="ListBullet"/>
            </w:pPr>
            <w:r w:rsidRPr="00102539">
              <w:t>proprietary equipment and software</w:t>
            </w:r>
          </w:p>
          <w:p w:rsidR="00000000" w:rsidRPr="00102539" w:rsidP="00102539">
            <w:pPr>
              <w:pStyle w:val="ListBullet"/>
            </w:pPr>
            <w:r w:rsidRPr="00102539">
              <w:t>smoke pencils</w:t>
            </w:r>
          </w:p>
          <w:p w:rsidR="00000000" w:rsidRPr="00102539" w:rsidP="00102539">
            <w:pPr>
              <w:pStyle w:val="ListBullet"/>
            </w:pPr>
            <w:r w:rsidRPr="00102539">
              <w:t>step ladders</w:t>
            </w:r>
          </w:p>
          <w:p w:rsidR="00000000" w:rsidP="00102539">
            <w:pPr>
              <w:pStyle w:val="ListBullet"/>
              <w:rPr>
                <w:lang w:val="en-NZ"/>
              </w:rPr>
            </w:pPr>
            <w:r w:rsidRPr="00102539">
              <w:t>temporary patching material.</w:t>
            </w:r>
          </w:p>
        </w:tc>
      </w:tr>
      <w:tr w:rsidTr="0010253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539">
            <w:pPr>
              <w:pStyle w:val="BodyText"/>
              <w:rPr>
                <w:lang w:val="en-NZ"/>
              </w:rPr>
            </w:pPr>
            <w:r w:rsidRPr="00102539">
              <w:rPr>
                <w:rStyle w:val="BoldandItalics"/>
              </w:rPr>
              <w:t xml:space="preserve">Test methods </w:t>
            </w:r>
            <w:r w:rsidRPr="00102539">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539" w:rsidP="00102539">
            <w:pPr>
              <w:pStyle w:val="ListBullet"/>
            </w:pPr>
            <w:r w:rsidRPr="00102539">
              <w:t>identifying gaseous agent in use</w:t>
            </w:r>
          </w:p>
          <w:p w:rsidR="00000000" w:rsidRPr="00102539" w:rsidP="00102539">
            <w:pPr>
              <w:pStyle w:val="ListBullet"/>
            </w:pPr>
            <w:r w:rsidRPr="00102539">
              <w:t xml:space="preserve">calculating mass of gaseous agent </w:t>
            </w:r>
          </w:p>
          <w:p w:rsidR="00000000" w:rsidRPr="00102539" w:rsidP="00102539">
            <w:pPr>
              <w:pStyle w:val="ListBullet"/>
            </w:pPr>
            <w:r w:rsidRPr="00102539">
              <w:t>identifying return air flow path</w:t>
            </w:r>
          </w:p>
          <w:p w:rsidR="00000000" w:rsidRPr="00102539" w:rsidP="00102539">
            <w:pPr>
              <w:pStyle w:val="ListBullet"/>
            </w:pPr>
            <w:r w:rsidRPr="00102539">
              <w:t>measuring room and calculating room volume</w:t>
            </w:r>
          </w:p>
          <w:p w:rsidR="00000000" w:rsidRPr="00102539" w:rsidP="00102539">
            <w:pPr>
              <w:pStyle w:val="ListBullet"/>
            </w:pPr>
            <w:r w:rsidRPr="00102539">
              <w:t>fitting fan unit to door frame</w:t>
            </w:r>
          </w:p>
          <w:p w:rsidR="00000000" w:rsidRPr="00102539" w:rsidP="00102539">
            <w:pPr>
              <w:pStyle w:val="ListBullet"/>
            </w:pPr>
            <w:r w:rsidRPr="00102539">
              <w:t>proprietary equipment pr</w:t>
            </w:r>
            <w:r w:rsidRPr="00102539">
              <w:t>ocedures</w:t>
            </w:r>
          </w:p>
          <w:p w:rsidR="00000000" w:rsidRPr="00102539" w:rsidP="00102539">
            <w:pPr>
              <w:pStyle w:val="ListBullet"/>
            </w:pPr>
            <w:r w:rsidRPr="00102539">
              <w:t>identifying mechanical ventilation, including air conditioning in room</w:t>
            </w:r>
          </w:p>
          <w:p w:rsidR="00000000" w:rsidRPr="00102539" w:rsidP="00102539">
            <w:pPr>
              <w:pStyle w:val="ListBullet"/>
            </w:pPr>
            <w:r w:rsidRPr="00102539">
              <w:t>identifying agent retention mode:</w:t>
            </w:r>
          </w:p>
          <w:p w:rsidR="00000000" w:rsidRPr="00102539" w:rsidP="00102539">
            <w:pPr>
              <w:pStyle w:val="ListBullet2"/>
            </w:pPr>
            <w:r w:rsidRPr="00102539">
              <w:t>descending interface</w:t>
            </w:r>
          </w:p>
          <w:p w:rsidR="00000000" w:rsidRPr="00102539" w:rsidP="00102539">
            <w:pPr>
              <w:pStyle w:val="ListBullet2"/>
            </w:pPr>
            <w:r w:rsidRPr="00102539">
              <w:t>recirculating.</w:t>
            </w:r>
          </w:p>
        </w:tc>
      </w:tr>
    </w:tbl>
    <w:p w:rsidR="008219C9" w:rsidP="00102539">
      <w:pPr>
        <w:pStyle w:val="BodyText"/>
      </w:pPr>
    </w:p>
    <w:p w:rsidR="008219C9" w:rsidP="00102539">
      <w:pPr>
        <w:pStyle w:val="BodyText"/>
      </w:pPr>
    </w:p>
    <w:p w:rsidR="00000000" w:rsidRPr="00102539" w:rsidP="00102539">
      <w:pPr>
        <w:pStyle w:val="Heading1"/>
      </w:pPr>
      <w:bookmarkStart w:id="12" w:name="O_361638"/>
      <w:bookmarkEnd w:id="12"/>
      <w:r w:rsidRPr="00102539">
        <w:t>Unit Sector(s)</w:t>
      </w:r>
    </w:p>
    <w:p w:rsidR="00000000" w:rsidRPr="00102539" w:rsidP="00102539">
      <w:pPr>
        <w:pStyle w:val="BodyText"/>
      </w:pPr>
      <w:r w:rsidRPr="00102539">
        <w:t>Fire protection equipment</w:t>
      </w:r>
    </w:p>
    <w:p w:rsidR="00000000" w:rsidRPr="00102539" w:rsidP="00102539">
      <w:pPr>
        <w:pStyle w:val="AllowPageBreak"/>
      </w:pPr>
    </w:p>
    <w:p w:rsidR="00000000" w:rsidRPr="00102539" w:rsidP="00102539">
      <w:pPr>
        <w:pStyle w:val="Heading1"/>
      </w:pPr>
      <w:bookmarkStart w:id="13" w:name="O_361639"/>
      <w:bookmarkEnd w:id="13"/>
      <w:r w:rsidRPr="00102539">
        <w:t>Custom Content Section</w:t>
      </w:r>
    </w:p>
    <w:p w:rsidR="00000000" w:rsidRPr="00102539" w:rsidP="00102539">
      <w:pPr>
        <w:pStyle w:val="BodyText"/>
      </w:pPr>
      <w:r w:rsidRPr="00102539">
        <w:t>Not applicable.</w:t>
      </w:r>
    </w:p>
    <w:p w:rsidR="00000000" w:rsidRPr="00102539" w:rsidP="00102539"/>
    <w:sectPr w:rsidSect="001025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5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19C9" w:rsidP="008219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5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9C9" w:rsidP="001025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219C9" w:rsidP="001025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219C9" w:rsidP="001025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5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19C9" w:rsidP="008219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5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9C9" w:rsidP="00102539">
    <w:pPr>
      <w:pStyle w:val="Header"/>
      <w:framePr w:wrap="around"/>
    </w:pPr>
    <w:r>
      <w:fldChar w:fldCharType="begin"/>
    </w:r>
    <w:r>
      <w:instrText xml:space="preserve"> TITLE   \* MERGEFORMAT </w:instrText>
    </w:r>
    <w:r>
      <w:fldChar w:fldCharType="separate"/>
    </w:r>
    <w:r>
      <w:t>CPPFES3032A Conduct enclosure integrity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219C9" w:rsidP="0010253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D26B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BC21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F262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25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2539"/>
    <w:pPr>
      <w:spacing w:before="360" w:after="60"/>
      <w:outlineLvl w:val="0"/>
    </w:pPr>
    <w:rPr>
      <w:sz w:val="32"/>
    </w:rPr>
  </w:style>
  <w:style w:type="paragraph" w:styleId="Heading2">
    <w:name w:val="heading 2"/>
    <w:basedOn w:val="HeadingBase"/>
    <w:next w:val="BodyText"/>
    <w:link w:val="Heading2Char"/>
    <w:qFormat/>
    <w:rsid w:val="00102539"/>
    <w:pPr>
      <w:keepLines/>
      <w:spacing w:before="240" w:after="120"/>
      <w:outlineLvl w:val="1"/>
    </w:pPr>
    <w:rPr>
      <w:sz w:val="28"/>
      <w:szCs w:val="40"/>
    </w:rPr>
  </w:style>
  <w:style w:type="paragraph" w:styleId="Heading3">
    <w:name w:val="heading 3"/>
    <w:basedOn w:val="HeadingBase"/>
    <w:next w:val="BodyText"/>
    <w:link w:val="Heading3Char"/>
    <w:qFormat/>
    <w:rsid w:val="00102539"/>
    <w:pPr>
      <w:spacing w:before="180" w:after="120"/>
      <w:outlineLvl w:val="2"/>
    </w:pPr>
    <w:rPr>
      <w:spacing w:val="-10"/>
      <w:kern w:val="32"/>
    </w:rPr>
  </w:style>
  <w:style w:type="paragraph" w:styleId="Heading4">
    <w:name w:val="heading 4"/>
    <w:basedOn w:val="HeadingBase"/>
    <w:next w:val="BodyText"/>
    <w:link w:val="Heading4Char"/>
    <w:qFormat/>
    <w:rsid w:val="00102539"/>
    <w:pPr>
      <w:spacing w:before="160" w:after="120"/>
      <w:outlineLvl w:val="3"/>
    </w:pPr>
    <w:rPr>
      <w:sz w:val="22"/>
    </w:rPr>
  </w:style>
  <w:style w:type="paragraph" w:styleId="Heading5">
    <w:name w:val="heading 5"/>
    <w:basedOn w:val="HeadingBase"/>
    <w:next w:val="Normal"/>
    <w:link w:val="Heading5Char"/>
    <w:qFormat/>
    <w:rsid w:val="00102539"/>
    <w:pPr>
      <w:spacing w:before="80"/>
      <w:outlineLvl w:val="4"/>
    </w:pPr>
    <w:rPr>
      <w:color w:val="918585"/>
      <w:sz w:val="20"/>
    </w:rPr>
  </w:style>
  <w:style w:type="paragraph" w:styleId="Heading6">
    <w:name w:val="heading 6"/>
    <w:basedOn w:val="HeadingBase"/>
    <w:next w:val="Normal"/>
    <w:link w:val="Heading6Char"/>
    <w:qFormat/>
    <w:rsid w:val="00102539"/>
    <w:pPr>
      <w:spacing w:before="60"/>
      <w:outlineLvl w:val="5"/>
    </w:pPr>
    <w:rPr>
      <w:color w:val="918585"/>
      <w:sz w:val="20"/>
    </w:rPr>
  </w:style>
  <w:style w:type="paragraph" w:styleId="Heading7">
    <w:name w:val="heading 7"/>
    <w:basedOn w:val="Normal"/>
    <w:next w:val="Normal"/>
    <w:link w:val="Heading7Char"/>
    <w:qFormat/>
    <w:rsid w:val="00102539"/>
    <w:pPr>
      <w:ind w:left="720"/>
      <w:outlineLvl w:val="6"/>
    </w:pPr>
    <w:rPr>
      <w:i/>
    </w:rPr>
  </w:style>
  <w:style w:type="paragraph" w:styleId="Heading8">
    <w:name w:val="heading 8"/>
    <w:basedOn w:val="Normal"/>
    <w:next w:val="Normal"/>
    <w:link w:val="Heading8Char"/>
    <w:qFormat/>
    <w:rsid w:val="00102539"/>
    <w:pPr>
      <w:ind w:left="720"/>
      <w:outlineLvl w:val="7"/>
    </w:pPr>
    <w:rPr>
      <w:i/>
    </w:rPr>
  </w:style>
  <w:style w:type="paragraph" w:styleId="Heading9">
    <w:name w:val="heading 9"/>
    <w:basedOn w:val="Normal"/>
    <w:next w:val="Normal"/>
    <w:link w:val="Heading9Char"/>
    <w:qFormat/>
    <w:rsid w:val="00102539"/>
    <w:pPr>
      <w:ind w:left="720"/>
      <w:outlineLvl w:val="8"/>
    </w:pPr>
    <w:rPr>
      <w:i/>
    </w:rPr>
  </w:style>
  <w:style w:type="character" w:default="1" w:styleId="DefaultParagraphFont">
    <w:name w:val="Default Paragraph Font"/>
    <w:uiPriority w:val="1"/>
    <w:unhideWhenUsed/>
    <w:rsid w:val="001025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2539"/>
  </w:style>
  <w:style w:type="character" w:customStyle="1" w:styleId="Heading1Char">
    <w:name w:val="Heading 1 Char"/>
    <w:basedOn w:val="DefaultParagraphFont"/>
    <w:link w:val="Heading1"/>
    <w:rsid w:val="00102539"/>
    <w:rPr>
      <w:rFonts w:ascii="Times New Roman" w:eastAsia="Times New Roman" w:hAnsi="Times New Roman" w:cs="Times New Roman"/>
      <w:b/>
      <w:sz w:val="32"/>
      <w:szCs w:val="20"/>
      <w:lang w:eastAsia="en-US"/>
    </w:rPr>
  </w:style>
  <w:style w:type="paragraph" w:styleId="BodyText">
    <w:name w:val="Body Text"/>
    <w:basedOn w:val="Normal"/>
    <w:link w:val="BodyTextChar"/>
    <w:rsid w:val="001025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2539"/>
    <w:rPr>
      <w:rFonts w:ascii="Times New Roman" w:eastAsia="Times New Roman" w:hAnsi="Times New Roman" w:cs="Times New Roman"/>
      <w:sz w:val="24"/>
      <w:lang w:val="en-US" w:eastAsia="en-US"/>
    </w:rPr>
  </w:style>
  <w:style w:type="paragraph" w:styleId="Footer">
    <w:name w:val="footer"/>
    <w:basedOn w:val="Normal"/>
    <w:link w:val="FooterChar"/>
    <w:rsid w:val="001025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2539"/>
    <w:rPr>
      <w:rFonts w:ascii="Times New Roman" w:eastAsia="Times New Roman" w:hAnsi="Times New Roman" w:cs="Times New Roman"/>
      <w:sz w:val="16"/>
      <w:lang w:val="en-US" w:eastAsia="en-US"/>
    </w:rPr>
  </w:style>
  <w:style w:type="paragraph" w:styleId="ListBullet">
    <w:name w:val="List Bullet"/>
    <w:basedOn w:val="List"/>
    <w:rsid w:val="00102539"/>
    <w:pPr>
      <w:numPr>
        <w:numId w:val="14"/>
      </w:numPr>
      <w:tabs>
        <w:tab w:val="clear" w:pos="340"/>
      </w:tabs>
      <w:spacing w:before="40" w:after="40"/>
    </w:pPr>
  </w:style>
  <w:style w:type="character" w:customStyle="1" w:styleId="SpecialBold">
    <w:name w:val="Special Bold"/>
    <w:basedOn w:val="DefaultParagraphFont"/>
    <w:rsid w:val="00102539"/>
    <w:rPr>
      <w:b/>
      <w:spacing w:val="0"/>
    </w:rPr>
  </w:style>
  <w:style w:type="paragraph" w:styleId="ListBullet2">
    <w:name w:val="List Bullet 2"/>
    <w:basedOn w:val="List2"/>
    <w:rsid w:val="00102539"/>
    <w:pPr>
      <w:numPr>
        <w:numId w:val="15"/>
      </w:numPr>
      <w:tabs>
        <w:tab w:val="clear" w:pos="680"/>
      </w:tabs>
    </w:pPr>
  </w:style>
  <w:style w:type="paragraph" w:styleId="Header">
    <w:name w:val="header"/>
    <w:basedOn w:val="Normal"/>
    <w:link w:val="HeaderChar"/>
    <w:rsid w:val="001025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253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02539"/>
    <w:pPr>
      <w:spacing w:before="240" w:after="120"/>
      <w:outlineLvl w:val="0"/>
    </w:pPr>
    <w:rPr>
      <w:rFonts w:ascii="Times New Roman" w:hAnsi="Times New Roman"/>
      <w:b/>
      <w:sz w:val="28"/>
    </w:rPr>
  </w:style>
  <w:style w:type="paragraph" w:customStyle="1" w:styleId="AllowPageBreak">
    <w:name w:val="AllowPageBreak"/>
    <w:rsid w:val="0010253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02539"/>
    <w:pPr>
      <w:numPr>
        <w:numId w:val="3"/>
      </w:numPr>
      <w:tabs>
        <w:tab w:val="clear" w:pos="1021"/>
      </w:tabs>
      <w:ind w:left="1037" w:hanging="357"/>
    </w:pPr>
  </w:style>
  <w:style w:type="character" w:customStyle="1" w:styleId="BoldandItalics">
    <w:name w:val="Bold and Italics"/>
    <w:qFormat/>
    <w:rsid w:val="00102539"/>
    <w:rPr>
      <w:b/>
      <w:i/>
      <w:u w:val="none"/>
    </w:rPr>
  </w:style>
  <w:style w:type="character" w:customStyle="1" w:styleId="Heading2Char">
    <w:name w:val="Heading 2 Char"/>
    <w:basedOn w:val="DefaultParagraphFont"/>
    <w:link w:val="Heading2"/>
    <w:rsid w:val="001025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25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25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25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25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25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25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2539"/>
    <w:rPr>
      <w:rFonts w:ascii="Courier New" w:eastAsia="Times New Roman" w:hAnsi="Courier New" w:cs="Times New Roman"/>
      <w:i/>
      <w:szCs w:val="20"/>
      <w:lang w:val="en-US" w:eastAsia="en-US"/>
    </w:rPr>
  </w:style>
  <w:style w:type="paragraph" w:customStyle="1" w:styleId="HeadingBase">
    <w:name w:val="Heading Base"/>
    <w:rsid w:val="001025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2539"/>
    <w:pPr>
      <w:tabs>
        <w:tab w:val="right" w:leader="dot" w:pos="9072"/>
      </w:tabs>
      <w:ind w:left="567"/>
    </w:pPr>
    <w:rPr>
      <w:szCs w:val="22"/>
    </w:rPr>
  </w:style>
  <w:style w:type="paragraph" w:customStyle="1" w:styleId="TOCBase">
    <w:name w:val="TOC Base"/>
    <w:rsid w:val="001025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2539"/>
    <w:pPr>
      <w:tabs>
        <w:tab w:val="right" w:leader="dot" w:pos="9072"/>
      </w:tabs>
      <w:spacing w:before="40" w:after="40"/>
      <w:ind w:left="284"/>
    </w:pPr>
    <w:rPr>
      <w:rFonts w:ascii="Times New Roman" w:hAnsi="Times New Roman"/>
    </w:rPr>
  </w:style>
  <w:style w:type="paragraph" w:styleId="TOC1">
    <w:name w:val="toc 1"/>
    <w:basedOn w:val="TOCBase"/>
    <w:next w:val="Normal"/>
    <w:rsid w:val="001025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2539"/>
    <w:pPr>
      <w:spacing w:before="5040"/>
      <w:jc w:val="center"/>
    </w:pPr>
    <w:rPr>
      <w:sz w:val="48"/>
      <w:szCs w:val="72"/>
      <w:lang w:val="en-US"/>
    </w:rPr>
  </w:style>
  <w:style w:type="character" w:customStyle="1" w:styleId="TitleChar">
    <w:name w:val="Title Char"/>
    <w:basedOn w:val="DefaultParagraphFont"/>
    <w:link w:val="Title"/>
    <w:rsid w:val="001025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2539"/>
    <w:pPr>
      <w:tabs>
        <w:tab w:val="left" w:pos="3600"/>
        <w:tab w:val="left" w:pos="3958"/>
      </w:tabs>
    </w:pPr>
  </w:style>
  <w:style w:type="paragraph" w:styleId="List">
    <w:name w:val="List"/>
    <w:basedOn w:val="BodyText"/>
    <w:next w:val="BodyText"/>
    <w:rsid w:val="00102539"/>
    <w:pPr>
      <w:tabs>
        <w:tab w:val="left" w:pos="340"/>
      </w:tabs>
      <w:spacing w:before="60" w:after="60"/>
      <w:ind w:left="340" w:hanging="340"/>
    </w:pPr>
  </w:style>
  <w:style w:type="paragraph" w:customStyle="1" w:styleId="Note">
    <w:name w:val="Note"/>
    <w:basedOn w:val="BodyText"/>
    <w:rsid w:val="001025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2539"/>
    <w:pPr>
      <w:framePr w:wrap="auto" w:hAnchor="text" w:y="6049"/>
    </w:pPr>
    <w:rPr>
      <w:color w:val="000000"/>
      <w:sz w:val="40"/>
    </w:rPr>
  </w:style>
  <w:style w:type="paragraph" w:customStyle="1" w:styleId="TOCTitle">
    <w:name w:val="TOCTitle"/>
    <w:basedOn w:val="Heading1"/>
    <w:rsid w:val="00102539"/>
    <w:pPr>
      <w:spacing w:after="240"/>
      <w:jc w:val="center"/>
      <w:outlineLvl w:val="9"/>
    </w:pPr>
    <w:rPr>
      <w:caps/>
    </w:rPr>
  </w:style>
  <w:style w:type="paragraph" w:customStyle="1" w:styleId="Version">
    <w:name w:val="Version"/>
    <w:rsid w:val="001025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2539"/>
    <w:pPr>
      <w:keepNext w:val="0"/>
      <w:tabs>
        <w:tab w:val="right" w:pos="4176"/>
      </w:tabs>
      <w:ind w:left="198" w:hanging="198"/>
    </w:pPr>
    <w:rPr>
      <w:rFonts w:ascii="Garamond" w:hAnsi="Garamond"/>
    </w:rPr>
  </w:style>
  <w:style w:type="paragraph" w:styleId="IndexHeading">
    <w:name w:val="index heading"/>
    <w:basedOn w:val="Normal"/>
    <w:next w:val="Index1"/>
    <w:semiHidden/>
    <w:rsid w:val="00102539"/>
    <w:pPr>
      <w:spacing w:before="120" w:after="120"/>
    </w:pPr>
    <w:rPr>
      <w:rFonts w:ascii="Arial" w:hAnsi="Arial"/>
      <w:b/>
      <w:color w:val="918585"/>
      <w:sz w:val="24"/>
    </w:rPr>
  </w:style>
  <w:style w:type="paragraph" w:customStyle="1" w:styleId="Chapter">
    <w:name w:val="Chapter"/>
    <w:basedOn w:val="Normal"/>
    <w:rsid w:val="00102539"/>
    <w:pPr>
      <w:spacing w:before="240"/>
    </w:pPr>
    <w:rPr>
      <w:rFonts w:ascii="Times New Roman" w:hAnsi="Times New Roman"/>
      <w:smallCaps/>
      <w:spacing w:val="80"/>
      <w:sz w:val="28"/>
    </w:rPr>
  </w:style>
  <w:style w:type="paragraph" w:customStyle="1" w:styleId="InChapter">
    <w:name w:val="InChapter"/>
    <w:basedOn w:val="Heading3"/>
    <w:rsid w:val="00102539"/>
    <w:pPr>
      <w:spacing w:after="240"/>
      <w:outlineLvl w:val="9"/>
    </w:pPr>
    <w:rPr>
      <w:noProof/>
    </w:rPr>
  </w:style>
  <w:style w:type="paragraph" w:styleId="Index2">
    <w:name w:val="index 2"/>
    <w:basedOn w:val="Normal"/>
    <w:next w:val="Normal"/>
    <w:semiHidden/>
    <w:rsid w:val="00102539"/>
    <w:pPr>
      <w:tabs>
        <w:tab w:val="right" w:pos="4176"/>
      </w:tabs>
      <w:ind w:left="568" w:hanging="284"/>
    </w:pPr>
    <w:rPr>
      <w:rFonts w:ascii="Garamond" w:hAnsi="Garamond"/>
    </w:rPr>
  </w:style>
  <w:style w:type="paragraph" w:customStyle="1" w:styleId="Byline">
    <w:name w:val="Byline"/>
    <w:rsid w:val="001025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2539"/>
    <w:pPr>
      <w:tabs>
        <w:tab w:val="clear" w:pos="3600"/>
        <w:tab w:val="clear" w:pos="3958"/>
      </w:tabs>
      <w:jc w:val="right"/>
    </w:pPr>
  </w:style>
  <w:style w:type="character" w:styleId="Emphasis">
    <w:name w:val="Emphasis"/>
    <w:basedOn w:val="DefaultParagraphFont"/>
    <w:qFormat/>
    <w:rsid w:val="00102539"/>
    <w:rPr>
      <w:i/>
    </w:rPr>
  </w:style>
  <w:style w:type="paragraph" w:styleId="Caption">
    <w:name w:val="caption"/>
    <w:basedOn w:val="BodyText"/>
    <w:next w:val="Normal"/>
    <w:qFormat/>
    <w:rsid w:val="00102539"/>
    <w:pPr>
      <w:framePr w:w="2268" w:hSpace="181" w:vSpace="181" w:wrap="around" w:vAnchor="text" w:hAnchor="page" w:x="1135" w:y="285" w:anchorLock="1"/>
    </w:pPr>
    <w:rPr>
      <w:i/>
    </w:rPr>
  </w:style>
  <w:style w:type="paragraph" w:customStyle="1" w:styleId="MiniTOCTitle">
    <w:name w:val="MiniTOCTitle"/>
    <w:basedOn w:val="Heading4"/>
    <w:rsid w:val="00102539"/>
    <w:pPr>
      <w:spacing w:before="240"/>
      <w:outlineLvl w:val="9"/>
    </w:pPr>
    <w:rPr>
      <w:noProof/>
      <w:sz w:val="24"/>
    </w:rPr>
  </w:style>
  <w:style w:type="paragraph" w:customStyle="1" w:styleId="MiniTOCItem">
    <w:name w:val="MiniTOCItem"/>
    <w:basedOn w:val="ListBullet"/>
    <w:rsid w:val="00102539"/>
    <w:pPr>
      <w:numPr>
        <w:numId w:val="0"/>
      </w:numPr>
      <w:tabs>
        <w:tab w:val="right" w:leader="dot" w:pos="6521"/>
      </w:tabs>
      <w:spacing w:before="0" w:after="0"/>
    </w:pPr>
  </w:style>
  <w:style w:type="paragraph" w:customStyle="1" w:styleId="TOFTitle">
    <w:name w:val="TOFTitle"/>
    <w:basedOn w:val="TOCTitle"/>
    <w:rsid w:val="00102539"/>
  </w:style>
  <w:style w:type="paragraph" w:styleId="TableofFigures">
    <w:name w:val="table of figures"/>
    <w:basedOn w:val="Normal"/>
    <w:next w:val="Normal"/>
    <w:semiHidden/>
    <w:rsid w:val="00102539"/>
    <w:pPr>
      <w:tabs>
        <w:tab w:val="right" w:leader="dot" w:pos="9072"/>
      </w:tabs>
      <w:ind w:left="970" w:hanging="403"/>
    </w:pPr>
    <w:rPr>
      <w:rFonts w:ascii="Times New Roman" w:hAnsi="Times New Roman"/>
      <w:b/>
    </w:rPr>
  </w:style>
  <w:style w:type="paragraph" w:styleId="ListNumber">
    <w:name w:val="List Number"/>
    <w:basedOn w:val="List"/>
    <w:rsid w:val="00102539"/>
    <w:pPr>
      <w:numPr>
        <w:numId w:val="12"/>
      </w:numPr>
    </w:pPr>
  </w:style>
  <w:style w:type="character" w:customStyle="1" w:styleId="WingdingSymbols">
    <w:name w:val="Wingding Symbols"/>
    <w:rsid w:val="00102539"/>
    <w:rPr>
      <w:rFonts w:ascii="Wingdings" w:hAnsi="Wingdings"/>
    </w:rPr>
  </w:style>
  <w:style w:type="paragraph" w:customStyle="1" w:styleId="TableHeading">
    <w:name w:val="Table Heading"/>
    <w:basedOn w:val="HeadingBase"/>
    <w:rsid w:val="00102539"/>
    <w:pPr>
      <w:keepLines/>
      <w:pBdr>
        <w:bottom w:val="single" w:sz="6" w:space="1" w:color="918585"/>
      </w:pBdr>
      <w:spacing w:before="240"/>
    </w:pPr>
  </w:style>
  <w:style w:type="character" w:customStyle="1" w:styleId="HotSpot">
    <w:name w:val="HotSpot"/>
    <w:rsid w:val="00102539"/>
    <w:rPr>
      <w:color w:val="0033CC"/>
      <w:u w:val="none"/>
    </w:rPr>
  </w:style>
  <w:style w:type="paragraph" w:customStyle="1" w:styleId="BodyTextRight">
    <w:name w:val="Body Text Right"/>
    <w:basedOn w:val="BodyText"/>
    <w:rsid w:val="00102539"/>
    <w:pPr>
      <w:spacing w:before="0" w:after="0"/>
      <w:jc w:val="right"/>
    </w:pPr>
  </w:style>
  <w:style w:type="paragraph" w:styleId="Index3">
    <w:name w:val="index 3"/>
    <w:basedOn w:val="ListNumber2"/>
    <w:next w:val="Normal"/>
    <w:semiHidden/>
    <w:rsid w:val="00102539"/>
    <w:pPr>
      <w:numPr>
        <w:numId w:val="0"/>
      </w:numPr>
      <w:tabs>
        <w:tab w:val="right" w:leader="dot" w:pos="4176"/>
      </w:tabs>
    </w:pPr>
  </w:style>
  <w:style w:type="paragraph" w:styleId="ListNumber2">
    <w:name w:val="List Number 2"/>
    <w:basedOn w:val="List2"/>
    <w:rsid w:val="00102539"/>
    <w:pPr>
      <w:numPr>
        <w:numId w:val="11"/>
      </w:numPr>
      <w:tabs>
        <w:tab w:val="clear" w:pos="1060"/>
      </w:tabs>
    </w:pPr>
  </w:style>
  <w:style w:type="paragraph" w:customStyle="1" w:styleId="MarginNote">
    <w:name w:val="Margin Note"/>
    <w:basedOn w:val="BodyText"/>
    <w:rsid w:val="001025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25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25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2539"/>
    <w:rPr>
      <w:sz w:val="32"/>
    </w:rPr>
  </w:style>
  <w:style w:type="paragraph" w:customStyle="1" w:styleId="HeadingProcedure">
    <w:name w:val="Heading Procedure"/>
    <w:basedOn w:val="HeadingBase"/>
    <w:next w:val="Normal"/>
    <w:rsid w:val="00102539"/>
    <w:pPr>
      <w:tabs>
        <w:tab w:val="left" w:pos="0"/>
      </w:tabs>
      <w:spacing w:before="120" w:after="60"/>
    </w:pPr>
    <w:rPr>
      <w:i/>
      <w:color w:val="918585"/>
      <w:sz w:val="22"/>
    </w:rPr>
  </w:style>
  <w:style w:type="paragraph" w:customStyle="1" w:styleId="TableBodyText">
    <w:name w:val="Table Body Text"/>
    <w:basedOn w:val="BodyText"/>
    <w:rsid w:val="00102539"/>
    <w:pPr>
      <w:spacing w:before="60" w:after="60"/>
    </w:pPr>
  </w:style>
  <w:style w:type="paragraph" w:styleId="ListContinue">
    <w:name w:val="List Continue"/>
    <w:basedOn w:val="List"/>
    <w:rsid w:val="00102539"/>
    <w:pPr>
      <w:ind w:firstLine="0"/>
    </w:pPr>
  </w:style>
  <w:style w:type="paragraph" w:customStyle="1" w:styleId="ListNote">
    <w:name w:val="List Note"/>
    <w:basedOn w:val="List"/>
    <w:rsid w:val="00102539"/>
    <w:pPr>
      <w:pBdr>
        <w:top w:val="single" w:sz="6" w:space="2" w:color="918585"/>
        <w:bottom w:val="single" w:sz="6" w:space="2" w:color="918585"/>
      </w:pBdr>
      <w:tabs>
        <w:tab w:val="left" w:pos="1021"/>
      </w:tabs>
      <w:ind w:firstLine="0"/>
    </w:pPr>
  </w:style>
  <w:style w:type="paragraph" w:customStyle="1" w:styleId="Warning">
    <w:name w:val="Warning"/>
    <w:basedOn w:val="BodyText"/>
    <w:rsid w:val="00102539"/>
    <w:pPr>
      <w:shd w:val="clear" w:color="auto" w:fill="D9D9D9"/>
      <w:tabs>
        <w:tab w:val="left" w:pos="992"/>
      </w:tabs>
      <w:ind w:left="119" w:right="119"/>
    </w:pPr>
    <w:rPr>
      <w:sz w:val="20"/>
    </w:rPr>
  </w:style>
  <w:style w:type="paragraph" w:customStyle="1" w:styleId="MarginIcons">
    <w:name w:val="Margin Icons"/>
    <w:basedOn w:val="BodyText"/>
    <w:rsid w:val="001025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2539"/>
    <w:rPr>
      <w:rFonts w:ascii="Courier New" w:hAnsi="Courier New"/>
    </w:rPr>
  </w:style>
  <w:style w:type="paragraph" w:customStyle="1" w:styleId="NoteBullet">
    <w:name w:val="Note Bullet"/>
    <w:basedOn w:val="Note"/>
    <w:rsid w:val="00102539"/>
    <w:pPr>
      <w:tabs>
        <w:tab w:val="clear" w:pos="680"/>
      </w:tabs>
      <w:spacing w:before="60" w:after="60"/>
    </w:pPr>
  </w:style>
  <w:style w:type="paragraph" w:customStyle="1" w:styleId="SubHeading2">
    <w:name w:val="SubHeading2"/>
    <w:basedOn w:val="HeadingBase"/>
    <w:rsid w:val="00102539"/>
    <w:pPr>
      <w:spacing w:before="240" w:after="60"/>
    </w:pPr>
    <w:rPr>
      <w:sz w:val="20"/>
    </w:rPr>
  </w:style>
  <w:style w:type="paragraph" w:customStyle="1" w:styleId="SubHeading1">
    <w:name w:val="SubHeading1"/>
    <w:basedOn w:val="HeadingBase"/>
    <w:rsid w:val="00102539"/>
    <w:pPr>
      <w:spacing w:before="240" w:after="60"/>
    </w:pPr>
    <w:rPr>
      <w:color w:val="918585"/>
      <w:sz w:val="22"/>
    </w:rPr>
  </w:style>
  <w:style w:type="paragraph" w:customStyle="1" w:styleId="SideHeading">
    <w:name w:val="Side Heading"/>
    <w:basedOn w:val="HeadingBase"/>
    <w:rsid w:val="001025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2539"/>
    <w:pPr>
      <w:numPr>
        <w:numId w:val="13"/>
      </w:numPr>
    </w:pPr>
  </w:style>
  <w:style w:type="paragraph" w:styleId="PlainText">
    <w:name w:val="Plain Text"/>
    <w:basedOn w:val="Normal"/>
    <w:link w:val="PlainTextChar"/>
    <w:rsid w:val="00102539"/>
    <w:rPr>
      <w:sz w:val="20"/>
    </w:rPr>
  </w:style>
  <w:style w:type="character" w:customStyle="1" w:styleId="PlainTextChar">
    <w:name w:val="Plain Text Char"/>
    <w:basedOn w:val="DefaultParagraphFont"/>
    <w:link w:val="PlainText"/>
    <w:rsid w:val="0010253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2539"/>
    <w:rPr>
      <w:b/>
      <w:smallCaps/>
    </w:rPr>
  </w:style>
  <w:style w:type="paragraph" w:customStyle="1" w:styleId="TableListNumber">
    <w:name w:val="Table List Number"/>
    <w:basedOn w:val="ListNumber"/>
    <w:rsid w:val="00102539"/>
    <w:pPr>
      <w:numPr>
        <w:numId w:val="0"/>
      </w:numPr>
    </w:pPr>
  </w:style>
  <w:style w:type="paragraph" w:styleId="TOC4">
    <w:name w:val="toc 4"/>
    <w:basedOn w:val="TOCBase"/>
    <w:next w:val="Normal"/>
    <w:semiHidden/>
    <w:rsid w:val="00102539"/>
    <w:pPr>
      <w:tabs>
        <w:tab w:val="right" w:leader="dot" w:pos="9071"/>
      </w:tabs>
      <w:ind w:left="1701"/>
    </w:pPr>
  </w:style>
  <w:style w:type="paragraph" w:customStyle="1" w:styleId="ListAlpha">
    <w:name w:val="List Alpha"/>
    <w:basedOn w:val="List"/>
    <w:rsid w:val="00102539"/>
    <w:pPr>
      <w:numPr>
        <w:numId w:val="10"/>
      </w:numPr>
    </w:pPr>
  </w:style>
  <w:style w:type="paragraph" w:customStyle="1" w:styleId="ListAlpha2">
    <w:name w:val="List Alpha 2"/>
    <w:basedOn w:val="List2"/>
    <w:rsid w:val="00102539"/>
    <w:pPr>
      <w:numPr>
        <w:numId w:val="9"/>
      </w:numPr>
    </w:pPr>
  </w:style>
  <w:style w:type="paragraph" w:styleId="List2">
    <w:name w:val="List 2"/>
    <w:basedOn w:val="BodyText"/>
    <w:rsid w:val="00102539"/>
    <w:pPr>
      <w:tabs>
        <w:tab w:val="left" w:pos="680"/>
      </w:tabs>
      <w:spacing w:before="60" w:after="60"/>
      <w:ind w:left="680" w:hanging="340"/>
    </w:pPr>
  </w:style>
  <w:style w:type="paragraph" w:styleId="List3">
    <w:name w:val="List 3"/>
    <w:basedOn w:val="BodyText"/>
    <w:rsid w:val="00102539"/>
    <w:pPr>
      <w:tabs>
        <w:tab w:val="left" w:pos="1021"/>
      </w:tabs>
      <w:spacing w:before="60" w:after="60"/>
      <w:ind w:left="1020" w:hanging="340"/>
    </w:pPr>
  </w:style>
  <w:style w:type="paragraph" w:styleId="List4">
    <w:name w:val="List 4"/>
    <w:basedOn w:val="BodyText"/>
    <w:rsid w:val="00102539"/>
    <w:pPr>
      <w:tabs>
        <w:tab w:val="left" w:pos="1361"/>
      </w:tabs>
      <w:spacing w:before="60" w:after="60"/>
      <w:ind w:left="1361" w:hanging="340"/>
    </w:pPr>
  </w:style>
  <w:style w:type="paragraph" w:styleId="List5">
    <w:name w:val="List 5"/>
    <w:basedOn w:val="BodyText"/>
    <w:rsid w:val="00102539"/>
    <w:pPr>
      <w:tabs>
        <w:tab w:val="left" w:pos="1701"/>
      </w:tabs>
      <w:spacing w:before="60" w:after="60"/>
      <w:ind w:left="1701" w:hanging="340"/>
    </w:pPr>
  </w:style>
  <w:style w:type="paragraph" w:styleId="ListBullet4">
    <w:name w:val="List Bullet 4"/>
    <w:basedOn w:val="List4"/>
    <w:rsid w:val="00102539"/>
    <w:pPr>
      <w:numPr>
        <w:numId w:val="4"/>
      </w:numPr>
    </w:pPr>
  </w:style>
  <w:style w:type="paragraph" w:styleId="ListBullet5">
    <w:name w:val="List Bullet 5"/>
    <w:basedOn w:val="List5"/>
    <w:rsid w:val="00102539"/>
    <w:pPr>
      <w:numPr>
        <w:numId w:val="5"/>
      </w:numPr>
    </w:pPr>
  </w:style>
  <w:style w:type="paragraph" w:styleId="ListContinue2">
    <w:name w:val="List Continue 2"/>
    <w:basedOn w:val="List2"/>
    <w:rsid w:val="00102539"/>
    <w:pPr>
      <w:ind w:firstLine="0"/>
    </w:pPr>
  </w:style>
  <w:style w:type="paragraph" w:styleId="ListContinue3">
    <w:name w:val="List Continue 3"/>
    <w:basedOn w:val="List3"/>
    <w:rsid w:val="00102539"/>
    <w:pPr>
      <w:ind w:left="1021" w:firstLine="0"/>
    </w:pPr>
  </w:style>
  <w:style w:type="paragraph" w:styleId="ListContinue4">
    <w:name w:val="List Continue 4"/>
    <w:basedOn w:val="List4"/>
    <w:rsid w:val="00102539"/>
    <w:pPr>
      <w:ind w:firstLine="0"/>
    </w:pPr>
  </w:style>
  <w:style w:type="paragraph" w:styleId="ListContinue5">
    <w:name w:val="List Continue 5"/>
    <w:basedOn w:val="List5"/>
    <w:rsid w:val="00102539"/>
    <w:pPr>
      <w:ind w:firstLine="0"/>
    </w:pPr>
  </w:style>
  <w:style w:type="paragraph" w:styleId="ListNumber3">
    <w:name w:val="List Number 3"/>
    <w:basedOn w:val="List3"/>
    <w:rsid w:val="00102539"/>
    <w:pPr>
      <w:numPr>
        <w:numId w:val="6"/>
      </w:numPr>
    </w:pPr>
  </w:style>
  <w:style w:type="paragraph" w:styleId="ListNumber4">
    <w:name w:val="List Number 4"/>
    <w:basedOn w:val="List4"/>
    <w:rsid w:val="00102539"/>
    <w:pPr>
      <w:numPr>
        <w:numId w:val="7"/>
      </w:numPr>
    </w:pPr>
  </w:style>
  <w:style w:type="paragraph" w:styleId="ListNumber5">
    <w:name w:val="List Number 5"/>
    <w:basedOn w:val="List5"/>
    <w:rsid w:val="00102539"/>
    <w:pPr>
      <w:numPr>
        <w:numId w:val="8"/>
      </w:numPr>
    </w:pPr>
  </w:style>
  <w:style w:type="paragraph" w:styleId="BlockText">
    <w:name w:val="Block Text"/>
    <w:basedOn w:val="Normal"/>
    <w:rsid w:val="00102539"/>
    <w:pPr>
      <w:spacing w:after="120"/>
      <w:ind w:left="1440" w:right="1440"/>
    </w:pPr>
  </w:style>
  <w:style w:type="character" w:customStyle="1" w:styleId="Subscript">
    <w:name w:val="Subscript"/>
    <w:basedOn w:val="DefaultParagraphFont"/>
    <w:rsid w:val="00102539"/>
    <w:rPr>
      <w:sz w:val="16"/>
      <w:vertAlign w:val="subscript"/>
    </w:rPr>
  </w:style>
  <w:style w:type="character" w:customStyle="1" w:styleId="Superscript">
    <w:name w:val="Superscript"/>
    <w:basedOn w:val="DefaultParagraphFont"/>
    <w:rsid w:val="00102539"/>
    <w:rPr>
      <w:sz w:val="16"/>
      <w:vertAlign w:val="superscript"/>
    </w:rPr>
  </w:style>
  <w:style w:type="character" w:customStyle="1" w:styleId="Symbols">
    <w:name w:val="Symbols"/>
    <w:basedOn w:val="DefaultParagraphFont"/>
    <w:rsid w:val="00102539"/>
    <w:rPr>
      <w:rFonts w:ascii="Symbol" w:hAnsi="Symbol"/>
    </w:rPr>
  </w:style>
  <w:style w:type="character" w:customStyle="1" w:styleId="MenuOptions">
    <w:name w:val="Menu Options"/>
    <w:basedOn w:val="DefaultParagraphFont"/>
    <w:rsid w:val="00102539"/>
    <w:rPr>
      <w:rFonts w:ascii="Arial Narrow" w:hAnsi="Arial Narrow"/>
      <w:smallCaps/>
    </w:rPr>
  </w:style>
  <w:style w:type="character" w:customStyle="1" w:styleId="Buttons">
    <w:name w:val="Buttons"/>
    <w:basedOn w:val="DefaultParagraphFont"/>
    <w:rsid w:val="00102539"/>
    <w:rPr>
      <w:b/>
    </w:rPr>
  </w:style>
  <w:style w:type="character" w:customStyle="1" w:styleId="Underlined">
    <w:name w:val="Underlined"/>
    <w:basedOn w:val="DefaultParagraphFont"/>
    <w:rsid w:val="00102539"/>
    <w:rPr>
      <w:u w:val="single"/>
    </w:rPr>
  </w:style>
  <w:style w:type="paragraph" w:customStyle="1" w:styleId="TableBodyTextRight">
    <w:name w:val="Table Body Text Right"/>
    <w:basedOn w:val="TableBodyText"/>
    <w:rsid w:val="00102539"/>
    <w:pPr>
      <w:widowControl w:val="0"/>
      <w:autoSpaceDE w:val="0"/>
      <w:autoSpaceDN w:val="0"/>
      <w:adjustRightInd w:val="0"/>
      <w:jc w:val="right"/>
    </w:pPr>
    <w:rPr>
      <w:rFonts w:cs="Arial"/>
      <w:szCs w:val="18"/>
    </w:rPr>
  </w:style>
  <w:style w:type="paragraph" w:customStyle="1" w:styleId="CopyrightText">
    <w:name w:val="Copyright Text"/>
    <w:basedOn w:val="BodyText"/>
    <w:rsid w:val="00102539"/>
    <w:rPr>
      <w:sz w:val="18"/>
    </w:rPr>
  </w:style>
  <w:style w:type="paragraph" w:customStyle="1" w:styleId="BodySmallRight">
    <w:name w:val="Body Small Right"/>
    <w:basedOn w:val="BodyTextRight"/>
    <w:rsid w:val="00102539"/>
    <w:rPr>
      <w:sz w:val="18"/>
      <w:szCs w:val="18"/>
    </w:rPr>
  </w:style>
  <w:style w:type="paragraph" w:customStyle="1" w:styleId="MarginEdition">
    <w:name w:val="Margin Edition"/>
    <w:basedOn w:val="MarginNote"/>
    <w:rsid w:val="00102539"/>
    <w:pPr>
      <w:spacing w:before="0" w:after="0"/>
    </w:pPr>
    <w:rPr>
      <w:rFonts w:ascii="Times New Roman" w:hAnsi="Times New Roman"/>
      <w:color w:val="999999"/>
    </w:rPr>
  </w:style>
  <w:style w:type="paragraph" w:customStyle="1" w:styleId="Spacer">
    <w:name w:val="Spacer"/>
    <w:basedOn w:val="Normal"/>
    <w:rsid w:val="00102539"/>
    <w:rPr>
      <w:sz w:val="2"/>
      <w:szCs w:val="2"/>
    </w:rPr>
  </w:style>
  <w:style w:type="character" w:customStyle="1" w:styleId="Small">
    <w:name w:val="Small"/>
    <w:basedOn w:val="DefaultParagraphFont"/>
    <w:rsid w:val="00102539"/>
    <w:rPr>
      <w:sz w:val="16"/>
    </w:rPr>
  </w:style>
  <w:style w:type="paragraph" w:customStyle="1" w:styleId="WideTable">
    <w:name w:val="Wide Table"/>
    <w:basedOn w:val="Normal"/>
    <w:rsid w:val="00102539"/>
    <w:pPr>
      <w:ind w:left="-1418"/>
    </w:pPr>
    <w:rPr>
      <w:sz w:val="2"/>
      <w:szCs w:val="2"/>
    </w:rPr>
  </w:style>
  <w:style w:type="character" w:styleId="PageNumber">
    <w:name w:val="page number"/>
    <w:basedOn w:val="DefaultParagraphFont"/>
    <w:rsid w:val="00102539"/>
  </w:style>
  <w:style w:type="paragraph" w:styleId="Quote">
    <w:name w:val="Quote"/>
    <w:basedOn w:val="Heading1"/>
    <w:link w:val="QuoteChar"/>
    <w:qFormat/>
    <w:rsid w:val="00102539"/>
    <w:rPr>
      <w:b w:val="0"/>
      <w:sz w:val="72"/>
      <w:szCs w:val="72"/>
      <w:lang w:val="en-NZ"/>
    </w:rPr>
  </w:style>
  <w:style w:type="character" w:customStyle="1" w:styleId="QuoteChar">
    <w:name w:val="Quote Char"/>
    <w:basedOn w:val="DefaultParagraphFont"/>
    <w:link w:val="Quote"/>
    <w:rsid w:val="001025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2539"/>
    <w:pPr>
      <w:pageBreakBefore/>
    </w:pPr>
  </w:style>
  <w:style w:type="paragraph" w:customStyle="1" w:styleId="Border">
    <w:name w:val="Border"/>
    <w:basedOn w:val="Normal"/>
    <w:qFormat/>
    <w:rsid w:val="001025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2539"/>
    <w:rPr>
      <w:b/>
      <w:bCs/>
      <w:i/>
      <w:iCs/>
      <w:color w:val="auto"/>
    </w:rPr>
  </w:style>
  <w:style w:type="paragraph" w:styleId="IntenseQuote">
    <w:name w:val="Intense Quote"/>
    <w:basedOn w:val="Normal"/>
    <w:next w:val="Normal"/>
    <w:link w:val="IntenseQuoteChar"/>
    <w:uiPriority w:val="30"/>
    <w:qFormat/>
    <w:rsid w:val="001025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253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2539"/>
    <w:rPr>
      <w:smallCaps/>
      <w:color w:val="auto"/>
      <w:u w:val="single"/>
    </w:rPr>
  </w:style>
  <w:style w:type="character" w:styleId="IntenseReference">
    <w:name w:val="Intense Reference"/>
    <w:basedOn w:val="DefaultParagraphFont"/>
    <w:uiPriority w:val="32"/>
    <w:qFormat/>
    <w:rsid w:val="00102539"/>
    <w:rPr>
      <w:b/>
      <w:bCs/>
      <w:smallCaps/>
      <w:color w:val="auto"/>
      <w:spacing w:val="5"/>
      <w:u w:val="single"/>
    </w:rPr>
  </w:style>
  <w:style w:type="paragraph" w:customStyle="1" w:styleId="2ColumnHeading">
    <w:name w:val="2Column Heading"/>
    <w:basedOn w:val="BodyText"/>
    <w:qFormat/>
    <w:rsid w:val="00102539"/>
    <w:pPr>
      <w:spacing w:after="60"/>
      <w:ind w:left="-2268"/>
    </w:pPr>
    <w:rPr>
      <w:b/>
    </w:rPr>
  </w:style>
  <w:style w:type="paragraph" w:customStyle="1" w:styleId="Heading1TOC">
    <w:name w:val="Heading1 TOC"/>
    <w:basedOn w:val="Normal"/>
    <w:qFormat/>
    <w:rsid w:val="00102539"/>
    <w:pPr>
      <w:spacing w:before="240" w:after="120"/>
    </w:pPr>
    <w:rPr>
      <w:rFonts w:ascii="Times New Roman" w:hAnsi="Times New Roman"/>
      <w:b/>
      <w:sz w:val="32"/>
    </w:rPr>
  </w:style>
  <w:style w:type="paragraph" w:customStyle="1" w:styleId="Heading2TOC">
    <w:name w:val="Heading2 TOC"/>
    <w:basedOn w:val="Normal"/>
    <w:qFormat/>
    <w:rsid w:val="00102539"/>
    <w:pPr>
      <w:spacing w:before="240" w:after="60"/>
    </w:pPr>
    <w:rPr>
      <w:rFonts w:ascii="Times New Roman" w:hAnsi="Times New Roman"/>
      <w:b/>
      <w:sz w:val="28"/>
    </w:rPr>
  </w:style>
  <w:style w:type="character" w:customStyle="1" w:styleId="Underline">
    <w:name w:val="Underline"/>
    <w:basedOn w:val="DefaultParagraphFont"/>
    <w:qFormat/>
    <w:rsid w:val="00102539"/>
    <w:rPr>
      <w:u w:val="single"/>
    </w:rPr>
  </w:style>
  <w:style w:type="paragraph" w:styleId="BalloonText">
    <w:name w:val="Balloon Text"/>
    <w:basedOn w:val="Normal"/>
    <w:link w:val="BalloonTextChar"/>
    <w:rsid w:val="00102539"/>
    <w:rPr>
      <w:rFonts w:ascii="Tahoma" w:hAnsi="Tahoma" w:cs="Tahoma"/>
      <w:sz w:val="16"/>
      <w:szCs w:val="16"/>
    </w:rPr>
  </w:style>
  <w:style w:type="character" w:customStyle="1" w:styleId="BalloonTextChar">
    <w:name w:val="Balloon Text Char"/>
    <w:basedOn w:val="DefaultParagraphFont"/>
    <w:link w:val="BalloonText"/>
    <w:rsid w:val="001025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25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253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1643</Words>
  <Characters>10697</Characters>
  <Application>Microsoft Office Word</Application>
  <DocSecurity>0</DocSecurity>
  <Lines>365</Lines>
  <Paragraphs>206</Paragraphs>
  <ScaleCrop>false</ScaleCrop>
  <Company>Author-it Software Corporation Ltd.</Company>
  <LinksUpToDate>false</LinksUpToDate>
  <CharactersWithSpaces>12258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CPPFES3032A Conduct enclosure integrity testing</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2012-05-26T06:16:00Z</dcterms:created>
  <dcterms:modified xsi:type="dcterms:W3CDTF">2012-05-26T06:16:00Z</dcterms:modified>
</cp:coreProperties>
</file>