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1D9" w:rsidP="00D921D9">
      <w:pPr>
        <w:pStyle w:val="Title"/>
      </w:pPr>
      <w:r>
        <w:fldChar w:fldCharType="begin"/>
      </w:r>
      <w:r>
        <w:instrText xml:space="preserve"> TITLE   \* MERGEFORMAT </w:instrText>
      </w:r>
      <w:r>
        <w:fldChar w:fldCharType="separate"/>
      </w:r>
      <w:r>
        <w:t>CPPFES2035A Identify, inspect and test fire and smoke doors</w:t>
      </w:r>
      <w:r>
        <w:fldChar w:fldCharType="end"/>
      </w:r>
    </w:p>
    <w:p w:rsidR="00D921D9" w:rsidP="00D921D9">
      <w:pPr>
        <w:pStyle w:val="Version"/>
        <w:sectPr w:rsidSect="00584A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A56" w:rsidP="00584A56">
      <w:pPr>
        <w:pStyle w:val="SuperHeading"/>
      </w:pPr>
      <w:r w:rsidRPr="00584A56">
        <w:t>CPPFES2035A Identify, inspect and test fire and smoke doors</w:t>
      </w:r>
    </w:p>
    <w:p w:rsidR="00000000" w:rsidRPr="00584A56" w:rsidP="00584A56">
      <w:pPr>
        <w:pStyle w:val="Heading1"/>
      </w:pPr>
      <w:bookmarkStart w:id="1" w:name="O_359697"/>
      <w:bookmarkEnd w:id="1"/>
      <w:r w:rsidRPr="00584A56">
        <w:t>Modification History</w:t>
      </w:r>
    </w:p>
    <w:p w:rsidR="00000000" w:rsidRPr="00584A56" w:rsidP="00584A56">
      <w:pPr>
        <w:pStyle w:val="BodyText"/>
      </w:pPr>
      <w:r w:rsidRPr="00584A56">
        <w:t>Revised unit</w:t>
      </w:r>
    </w:p>
    <w:p w:rsidR="00000000" w:rsidRPr="00584A56" w:rsidP="00584A56">
      <w:pPr>
        <w:pStyle w:val="BodyText"/>
      </w:pPr>
      <w:r w:rsidRPr="00584A56">
        <w:t>Element structure and performance criteria changed to incorporate outcomes of deleted unit PRMPFES33A Identify fire an</w:t>
      </w:r>
      <w:r w:rsidRPr="00584A56">
        <w:t>d smoke doors</w:t>
      </w:r>
    </w:p>
    <w:p w:rsidR="00000000" w:rsidRPr="00584A56" w:rsidP="00584A56">
      <w:pPr>
        <w:pStyle w:val="BodyText"/>
      </w:pPr>
      <w:r w:rsidRPr="00584A56">
        <w:t>Skills and knowledge requirements and the range statement updated</w:t>
      </w:r>
    </w:p>
    <w:p w:rsidR="00D921D9" w:rsidP="00584A56">
      <w:pPr>
        <w:pStyle w:val="BodyText"/>
      </w:pPr>
      <w:r w:rsidRPr="00584A56">
        <w:t>Unit based on PRMPFES35A Inspect and test hinged fire and smoke doors</w:t>
      </w:r>
    </w:p>
    <w:p w:rsidR="00D921D9" w:rsidP="00584A56">
      <w:pPr>
        <w:pStyle w:val="BodyText"/>
      </w:pPr>
    </w:p>
    <w:p w:rsidR="00000000" w:rsidRPr="00584A56" w:rsidP="00584A56">
      <w:pPr>
        <w:pStyle w:val="Heading1"/>
      </w:pPr>
      <w:bookmarkStart w:id="2" w:name="O_359698"/>
      <w:bookmarkEnd w:id="2"/>
      <w:r w:rsidRPr="00584A56">
        <w:t>Unit Descriptor</w:t>
      </w:r>
    </w:p>
    <w:p w:rsidR="00D921D9" w:rsidP="00584A56">
      <w:pPr>
        <w:pStyle w:val="BodyText"/>
      </w:pPr>
      <w:r w:rsidRPr="00584A56">
        <w:t>This unit of competency specifies the outcomes required to identify, ins</w:t>
      </w:r>
      <w:r w:rsidRPr="00584A56">
        <w:t>pect and test the operation of installed fire and smoke doors. Inspection and testing of hinged fire and smoke doors must be completed according to relevant legislative, industry and organisational requirements, including occupational health and safety (OH</w:t>
      </w:r>
      <w:r w:rsidRPr="00584A56">
        <w:t>S) policies and procedures.</w:t>
      </w:r>
    </w:p>
    <w:p w:rsidR="00D921D9" w:rsidP="00584A56">
      <w:pPr>
        <w:pStyle w:val="BodyText"/>
      </w:pPr>
    </w:p>
    <w:p w:rsidR="00000000" w:rsidRPr="00584A56" w:rsidP="00584A56">
      <w:pPr>
        <w:pStyle w:val="Heading1"/>
      </w:pPr>
      <w:bookmarkStart w:id="3" w:name="O_359699"/>
      <w:bookmarkEnd w:id="3"/>
      <w:r w:rsidRPr="00584A56">
        <w:t>Application of the Unit</w:t>
      </w:r>
    </w:p>
    <w:p w:rsidR="00000000" w:rsidRPr="00584A56" w:rsidP="00584A56">
      <w:pPr>
        <w:pStyle w:val="BodyText"/>
      </w:pPr>
      <w:r w:rsidRPr="00584A56">
        <w:t>This unit of competency supports individuals responsible for inspecting and testing fire and smoke doors and the attached components, hardware and seals to ensure compliance with current</w:t>
      </w:r>
      <w:r w:rsidRPr="00584A56">
        <w:t xml:space="preserve"> legislation and standards. This unit does not apply to the installation or repair of fire and smoke doors, or to any other functions performed by licensed tradespersons. </w:t>
      </w:r>
    </w:p>
    <w:p w:rsidR="00000000" w:rsidRPr="00584A56" w:rsidP="00584A56">
      <w:pPr>
        <w:pStyle w:val="AllowPageBreak"/>
      </w:pPr>
    </w:p>
    <w:p w:rsidR="00000000" w:rsidRPr="00584A56" w:rsidP="00584A56">
      <w:pPr>
        <w:pStyle w:val="Heading1"/>
      </w:pPr>
      <w:bookmarkStart w:id="4" w:name="O_359700"/>
      <w:bookmarkEnd w:id="4"/>
      <w:r w:rsidRPr="00584A56">
        <w:t>Licensing/Regulatory Information</w:t>
      </w:r>
    </w:p>
    <w:p w:rsidR="00000000" w:rsidRPr="00584A56" w:rsidP="00584A56">
      <w:pPr>
        <w:pStyle w:val="BodyText"/>
      </w:pPr>
      <w:r w:rsidRPr="00584A56">
        <w:t>The passive fire protection technician is not permitted to undertake any installation, replacement, maintenance or repair functions that are restricted to licensed trades or occupations (subject to relevant state and territory regulations).</w:t>
      </w:r>
    </w:p>
    <w:p w:rsidR="00000000" w:rsidRPr="00584A56" w:rsidP="00584A56">
      <w:pPr>
        <w:pStyle w:val="BodyText"/>
      </w:pPr>
      <w:r w:rsidRPr="00584A56">
        <w:t>Different state</w:t>
      </w:r>
      <w:r w:rsidRPr="00584A56">
        <w:t>s and territories may have regulatory mechanisms that apply to this unit. Candidates are advised to check for regulatory limitations.</w:t>
      </w:r>
    </w:p>
    <w:p w:rsidR="00000000" w:rsidRPr="00584A56" w:rsidP="00584A56">
      <w:pPr>
        <w:pStyle w:val="AllowPageBreak"/>
      </w:pPr>
    </w:p>
    <w:p w:rsidR="00000000" w:rsidRPr="00584A56" w:rsidP="00584A56">
      <w:pPr>
        <w:pStyle w:val="Heading1"/>
      </w:pPr>
      <w:bookmarkStart w:id="5" w:name="O_359701"/>
      <w:bookmarkEnd w:id="5"/>
      <w:r w:rsidRPr="00584A56">
        <w:t>Pre-Requisites</w:t>
      </w:r>
    </w:p>
    <w:p w:rsidR="00000000" w:rsidRPr="00584A56" w:rsidP="00584A56">
      <w:pPr>
        <w:pStyle w:val="BodyText"/>
      </w:pPr>
      <w:r w:rsidRPr="00584A56">
        <w:t>Not applicable.</w:t>
      </w:r>
    </w:p>
    <w:p w:rsidR="00000000" w:rsidRPr="00584A56" w:rsidP="00584A56">
      <w:pPr>
        <w:pStyle w:val="AllowPageBreak"/>
      </w:pPr>
    </w:p>
    <w:p w:rsidR="00000000" w:rsidRPr="00584A56" w:rsidP="00584A56">
      <w:pPr>
        <w:pStyle w:val="Heading1"/>
      </w:pPr>
      <w:bookmarkStart w:id="6" w:name="O_359702"/>
      <w:bookmarkEnd w:id="6"/>
      <w:r w:rsidRPr="00584A56">
        <w:t>Employability Skills Information</w:t>
      </w:r>
    </w:p>
    <w:p w:rsidR="00000000" w:rsidRPr="00584A56" w:rsidP="00584A56">
      <w:pPr>
        <w:pStyle w:val="BodyText"/>
      </w:pPr>
      <w:r w:rsidRPr="00584A56">
        <w:t>This unit contains emplo</w:t>
      </w:r>
      <w:r w:rsidRPr="00584A56">
        <w:t>yability skills.</w:t>
      </w:r>
    </w:p>
    <w:p w:rsidR="00000000" w:rsidRPr="00584A56" w:rsidP="00584A56">
      <w:pPr>
        <w:pStyle w:val="AllowPageBreak"/>
      </w:pPr>
    </w:p>
    <w:p w:rsidR="00000000" w:rsidRPr="00584A56" w:rsidP="00584A56">
      <w:pPr>
        <w:pStyle w:val="Heading1"/>
      </w:pPr>
      <w:bookmarkStart w:id="7" w:name="O_359703"/>
      <w:bookmarkEnd w:id="7"/>
      <w:r w:rsidRPr="00584A56">
        <w:t>Elements and Performance Criteria Pre-Content</w:t>
      </w:r>
    </w:p>
    <w:tbl>
      <w:tblPr>
        <w:tblW w:w="0" w:type="auto"/>
        <w:tblLayout w:type="fixed"/>
        <w:tblCellMar>
          <w:left w:w="62" w:type="dxa"/>
          <w:right w:w="62" w:type="dxa"/>
        </w:tblCellMar>
        <w:tblLook w:val="0000"/>
      </w:tblPr>
      <w:tblGrid>
        <w:gridCol w:w="2640"/>
        <w:gridCol w:w="6380"/>
      </w:tblGrid>
      <w:tr w:rsidTr="00584A5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84A56" w:rsidP="00584A56">
            <w:pPr>
              <w:pStyle w:val="BodyText"/>
            </w:pPr>
            <w:r w:rsidRPr="00584A56">
              <w:t>Performance criteria describe the performance needed to demonstrate achievement of the element. Where bold ita</w:t>
            </w:r>
            <w:r w:rsidRPr="00584A56">
              <w:t>licised text is used, further information is detailed in the required skills and knowledge section and the range statement. Assessment of performance is to be consistent with the evidence guide.</w:t>
            </w:r>
          </w:p>
        </w:tc>
      </w:tr>
    </w:tbl>
    <w:p w:rsidR="00D921D9" w:rsidP="00584A56">
      <w:pPr>
        <w:pStyle w:val="BodyText"/>
      </w:pPr>
    </w:p>
    <w:p w:rsidR="00D921D9" w:rsidP="00584A56">
      <w:pPr>
        <w:pStyle w:val="BodyText"/>
      </w:pPr>
    </w:p>
    <w:p w:rsidR="00000000" w:rsidRPr="00584A56" w:rsidP="00584A56">
      <w:pPr>
        <w:pStyle w:val="Heading1"/>
      </w:pPr>
      <w:bookmarkStart w:id="8" w:name="O_359704"/>
      <w:bookmarkEnd w:id="8"/>
      <w:r w:rsidRPr="00584A5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84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1</w:t>
            </w:r>
          </w:p>
        </w:tc>
        <w:tc>
          <w:tcPr>
            <w:tcW w:w="1962" w:type="dxa"/>
            <w:vMerge w:val="restart"/>
            <w:tcBorders>
              <w:top w:val="nil"/>
              <w:left w:val="nil"/>
              <w:bottom w:val="nil"/>
              <w:right w:val="nil"/>
            </w:tcBorders>
            <w:tcMar>
              <w:top w:w="0" w:type="dxa"/>
              <w:left w:w="62" w:type="dxa"/>
              <w:bottom w:w="0" w:type="dxa"/>
              <w:right w:w="62" w:type="dxa"/>
            </w:tcMar>
          </w:tcPr>
          <w:p w:rsidR="00000000" w:rsidRPr="00584A56" w:rsidP="00584A56">
            <w:pPr>
              <w:pStyle w:val="BodyText"/>
            </w:pPr>
            <w:r w:rsidRPr="00584A56">
              <w:t>Apply rules and regulations to service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1.1</w:t>
            </w:r>
          </w:p>
        </w:tc>
        <w:tc>
          <w:tcPr>
            <w:tcW w:w="5610"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 xml:space="preserve">Requirements of relevant </w:t>
            </w:r>
            <w:r w:rsidRPr="00584A56">
              <w:rPr>
                <w:rStyle w:val="BoldandItalics"/>
              </w:rPr>
              <w:t>rules and regulations</w:t>
            </w:r>
            <w:r w:rsidRPr="00584A56">
              <w:t xml:space="preserve"> are </w:t>
            </w:r>
            <w:r w:rsidRPr="00584A56">
              <w:rPr>
                <w:rStyle w:val="BoldandItalics"/>
              </w:rPr>
              <w:t>confirmed</w:t>
            </w:r>
            <w:r w:rsidRPr="00584A56">
              <w:t xml:space="preserve"> and applied to </w:t>
            </w:r>
            <w:r w:rsidRPr="00584A56">
              <w:rPr>
                <w:rStyle w:val="BoldandItalics"/>
              </w:rPr>
              <w:t>work procedures</w:t>
            </w:r>
            <w:r w:rsidRPr="00584A56">
              <w:t>.</w:t>
            </w:r>
          </w:p>
        </w:tc>
      </w:tr>
      <w:tr w:rsidTr="00584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84A56" w:rsidP="00584A56">
            <w:pPr>
              <w:pStyle w:val="BodyText"/>
            </w:pPr>
            <w:r w:rsidRPr="00584A56">
              <w:t>1.2</w:t>
            </w:r>
          </w:p>
        </w:tc>
        <w:tc>
          <w:tcPr>
            <w:tcW w:w="5610" w:type="dxa"/>
            <w:tcBorders>
              <w:top w:val="nil"/>
              <w:left w:val="nil"/>
              <w:bottom w:val="nil"/>
              <w:right w:val="nil"/>
            </w:tcBorders>
            <w:tcMar>
              <w:top w:w="0" w:type="dxa"/>
              <w:left w:w="62" w:type="dxa"/>
              <w:bottom w:w="0" w:type="dxa"/>
              <w:right w:w="62" w:type="dxa"/>
            </w:tcMar>
          </w:tcPr>
          <w:p w:rsidR="00000000" w:rsidRPr="00584A56" w:rsidP="00584A56">
            <w:pPr>
              <w:pStyle w:val="BodyText"/>
            </w:pPr>
            <w:r w:rsidRPr="00584A56">
              <w:rPr>
                <w:rStyle w:val="BoldandItalics"/>
              </w:rPr>
              <w:t>Compliance requirements are checked</w:t>
            </w:r>
            <w:r w:rsidRPr="00584A56">
              <w:t xml:space="preserve"> and </w:t>
            </w:r>
            <w:r w:rsidRPr="00584A56">
              <w:rPr>
                <w:rStyle w:val="BoldandItalics"/>
              </w:rPr>
              <w:t>action</w:t>
            </w:r>
            <w:r w:rsidRPr="00584A56">
              <w:t xml:space="preserve"> is taken according to </w:t>
            </w:r>
            <w:r w:rsidRPr="00584A56">
              <w:rPr>
                <w:rStyle w:val="BoldandItalics"/>
              </w:rPr>
              <w:t>organisational policies and procedures</w:t>
            </w:r>
            <w:r w:rsidRPr="00584A56">
              <w:t>.</w:t>
            </w:r>
          </w:p>
        </w:tc>
      </w:tr>
    </w:tbl>
    <w:p w:rsidR="00000000" w:rsidRPr="00584A56" w:rsidP="00584A56">
      <w:pPr>
        <w:pStyle w:val="BodyText"/>
      </w:pPr>
    </w:p>
    <w:tbl>
      <w:tblPr>
        <w:tblW w:w="0" w:type="auto"/>
        <w:tblLayout w:type="fixed"/>
        <w:tblCellMar>
          <w:left w:w="62" w:type="dxa"/>
          <w:right w:w="62" w:type="dxa"/>
        </w:tblCellMar>
        <w:tblLook w:val="0000"/>
      </w:tblPr>
      <w:tblGrid>
        <w:gridCol w:w="678"/>
        <w:gridCol w:w="1962"/>
        <w:gridCol w:w="770"/>
        <w:gridCol w:w="5610"/>
      </w:tblGrid>
      <w:tr w:rsidTr="00584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2</w:t>
            </w:r>
          </w:p>
        </w:tc>
        <w:tc>
          <w:tcPr>
            <w:tcW w:w="1962" w:type="dxa"/>
            <w:vMerge w:val="restart"/>
            <w:tcBorders>
              <w:top w:val="nil"/>
              <w:left w:val="nil"/>
              <w:bottom w:val="nil"/>
              <w:right w:val="nil"/>
            </w:tcBorders>
            <w:tcMar>
              <w:top w:w="0" w:type="dxa"/>
              <w:left w:w="62" w:type="dxa"/>
              <w:bottom w:w="0" w:type="dxa"/>
              <w:right w:w="62" w:type="dxa"/>
            </w:tcMar>
          </w:tcPr>
          <w:p w:rsidR="00000000" w:rsidRPr="00584A56" w:rsidP="00584A56">
            <w:pPr>
              <w:pStyle w:val="BodyText"/>
            </w:pPr>
            <w:r w:rsidRPr="00584A56">
              <w:t>Identify a variety of fire and smoke doors and their components.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2.1</w:t>
            </w:r>
          </w:p>
        </w:tc>
        <w:tc>
          <w:tcPr>
            <w:tcW w:w="5610"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 xml:space="preserve">Different types of </w:t>
            </w:r>
            <w:r w:rsidRPr="00584A56">
              <w:rPr>
                <w:rStyle w:val="BoldandItalics"/>
              </w:rPr>
              <w:t>fire and smoke doors</w:t>
            </w:r>
            <w:r w:rsidRPr="00584A56">
              <w:t xml:space="preserve"> are identified in a range of settings according to purpose, operation and location.</w:t>
            </w:r>
          </w:p>
        </w:tc>
      </w:tr>
      <w:tr w:rsidTr="00584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2.2</w:t>
            </w:r>
          </w:p>
        </w:tc>
        <w:tc>
          <w:tcPr>
            <w:tcW w:w="5610" w:type="dxa"/>
            <w:tcBorders>
              <w:top w:val="nil"/>
              <w:left w:val="nil"/>
              <w:bottom w:val="nil"/>
              <w:right w:val="nil"/>
            </w:tcBorders>
            <w:tcMar>
              <w:top w:w="0" w:type="dxa"/>
              <w:left w:w="62" w:type="dxa"/>
              <w:bottom w:w="0" w:type="dxa"/>
              <w:right w:w="62" w:type="dxa"/>
            </w:tcMar>
          </w:tcPr>
          <w:p w:rsidR="00000000" w:rsidRPr="00584A56" w:rsidP="00584A56">
            <w:pPr>
              <w:pStyle w:val="BodyText"/>
            </w:pPr>
            <w:r w:rsidRPr="00584A56">
              <w:t xml:space="preserve">Fire and smoke </w:t>
            </w:r>
            <w:r w:rsidRPr="00584A56">
              <w:rPr>
                <w:rStyle w:val="BoldandItalics"/>
              </w:rPr>
              <w:t>door components</w:t>
            </w:r>
            <w:r w:rsidRPr="00584A56">
              <w:t xml:space="preserve">, </w:t>
            </w:r>
            <w:r w:rsidRPr="00584A56">
              <w:rPr>
                <w:rStyle w:val="BoldandItalics"/>
              </w:rPr>
              <w:t xml:space="preserve">hardware items </w:t>
            </w:r>
            <w:r w:rsidRPr="00584A56">
              <w:t xml:space="preserve">and </w:t>
            </w:r>
            <w:r w:rsidRPr="00584A56">
              <w:rPr>
                <w:rStyle w:val="BoldandItalics"/>
              </w:rPr>
              <w:t>seals</w:t>
            </w:r>
            <w:r w:rsidRPr="00584A56">
              <w:t xml:space="preserve"> are identified and locat</w:t>
            </w:r>
            <w:r w:rsidRPr="00584A56">
              <w:rPr>
                <w:rStyle w:val="SpecialBold"/>
              </w:rPr>
              <w:t>ed</w:t>
            </w:r>
            <w:r w:rsidRPr="00584A56">
              <w:t xml:space="preserve"> according to design, operation and purpose.</w:t>
            </w:r>
          </w:p>
        </w:tc>
      </w:tr>
    </w:tbl>
    <w:p w:rsidR="00000000" w:rsidRPr="00584A56" w:rsidP="00584A56">
      <w:pPr>
        <w:pStyle w:val="BodyText"/>
      </w:pPr>
    </w:p>
    <w:tbl>
      <w:tblPr>
        <w:tblW w:w="0" w:type="auto"/>
        <w:tblLayout w:type="fixed"/>
        <w:tblCellMar>
          <w:left w:w="62" w:type="dxa"/>
          <w:right w:w="62" w:type="dxa"/>
        </w:tblCellMar>
        <w:tblLook w:val="0000"/>
      </w:tblPr>
      <w:tblGrid>
        <w:gridCol w:w="678"/>
        <w:gridCol w:w="1962"/>
        <w:gridCol w:w="770"/>
        <w:gridCol w:w="5610"/>
      </w:tblGrid>
      <w:tr w:rsidTr="00584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3</w:t>
            </w:r>
          </w:p>
        </w:tc>
        <w:tc>
          <w:tcPr>
            <w:tcW w:w="1962" w:type="dxa"/>
            <w:vMerge w:val="restart"/>
            <w:tcBorders>
              <w:top w:val="nil"/>
              <w:left w:val="nil"/>
              <w:bottom w:val="nil"/>
              <w:right w:val="nil"/>
            </w:tcBorders>
            <w:tcMar>
              <w:top w:w="0" w:type="dxa"/>
              <w:left w:w="62" w:type="dxa"/>
              <w:bottom w:w="0" w:type="dxa"/>
              <w:right w:w="62" w:type="dxa"/>
            </w:tcMar>
          </w:tcPr>
          <w:p w:rsidR="00000000" w:rsidRPr="00584A56" w:rsidP="00584A56">
            <w:pPr>
              <w:pStyle w:val="BodyText"/>
            </w:pPr>
            <w:r w:rsidRPr="00584A56">
              <w:t>Inspect and test fire and smoke doors.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3.1</w:t>
            </w:r>
          </w:p>
        </w:tc>
        <w:tc>
          <w:tcPr>
            <w:tcW w:w="5610"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 xml:space="preserve">Work permits are obtained prior to entering customer premises and </w:t>
            </w:r>
            <w:r w:rsidRPr="00584A56">
              <w:rPr>
                <w:rStyle w:val="BoldandItalics"/>
              </w:rPr>
              <w:t>customer requi</w:t>
            </w:r>
            <w:r w:rsidRPr="00584A56">
              <w:rPr>
                <w:rStyle w:val="BoldandItalics"/>
              </w:rPr>
              <w:t>rements</w:t>
            </w:r>
            <w:r w:rsidRPr="00584A56">
              <w:t xml:space="preserve"> are discussed prior to proceeding to inspection.</w:t>
            </w:r>
          </w:p>
        </w:tc>
      </w:tr>
      <w:tr w:rsidTr="00584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3.2</w:t>
            </w:r>
          </w:p>
        </w:tc>
        <w:tc>
          <w:tcPr>
            <w:tcW w:w="5610"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Fire and smoke doors and frames are inspected and checked for damage and wear according to maintenance schedule of relevant Australian standard.</w:t>
            </w:r>
          </w:p>
        </w:tc>
      </w:tr>
      <w:tr w:rsidTr="00584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3.3</w:t>
            </w:r>
          </w:p>
        </w:tc>
        <w:tc>
          <w:tcPr>
            <w:tcW w:w="5610"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Components, hardware items and seals are inspected and checked for damage and wear according to maintenance schedule of relevant Australian standard, manufacturers’ hardware or component listing, and customer requirements.</w:t>
            </w:r>
          </w:p>
        </w:tc>
      </w:tr>
      <w:tr w:rsidTr="00584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3.4</w:t>
            </w:r>
          </w:p>
        </w:tc>
        <w:tc>
          <w:tcPr>
            <w:tcW w:w="5610"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Fire and smoke doors are c</w:t>
            </w:r>
            <w:r w:rsidRPr="00584A56">
              <w:t xml:space="preserve">hecked for marking and labelling </w:t>
            </w:r>
            <w:r w:rsidRPr="00584A56">
              <w:rPr>
                <w:rStyle w:val="SpecialBold"/>
              </w:rPr>
              <w:t>set out in relevant Australian standard,</w:t>
            </w:r>
            <w:r w:rsidRPr="00584A56">
              <w:t xml:space="preserve"> according to provisions of relevant rules and regulations.</w:t>
            </w:r>
          </w:p>
        </w:tc>
      </w:tr>
      <w:tr w:rsidTr="00584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3.5</w:t>
            </w:r>
          </w:p>
        </w:tc>
        <w:tc>
          <w:tcPr>
            <w:tcW w:w="5610" w:type="dxa"/>
            <w:tcBorders>
              <w:top w:val="nil"/>
              <w:left w:val="nil"/>
              <w:bottom w:val="nil"/>
              <w:right w:val="nil"/>
            </w:tcBorders>
            <w:tcMar>
              <w:top w:w="0" w:type="dxa"/>
              <w:left w:w="62" w:type="dxa"/>
              <w:bottom w:w="0" w:type="dxa"/>
              <w:right w:w="62" w:type="dxa"/>
            </w:tcMar>
          </w:tcPr>
          <w:p w:rsidR="00000000" w:rsidRPr="00584A56" w:rsidP="00584A56">
            <w:pPr>
              <w:pStyle w:val="BodyText"/>
            </w:pPr>
            <w:r w:rsidRPr="00584A56">
              <w:t>Fire and smoke doors are operated to check for smooth performance according to organisational testing procedures, ma</w:t>
            </w:r>
            <w:r w:rsidRPr="00584A56">
              <w:t>nufacturers’ specifications and Australian standards.</w:t>
            </w:r>
          </w:p>
        </w:tc>
      </w:tr>
    </w:tbl>
    <w:p w:rsidR="00000000" w:rsidRPr="00584A56" w:rsidP="00584A56">
      <w:pPr>
        <w:pStyle w:val="BodyText"/>
      </w:pPr>
    </w:p>
    <w:tbl>
      <w:tblPr>
        <w:tblW w:w="0" w:type="auto"/>
        <w:tblLayout w:type="fixed"/>
        <w:tblCellMar>
          <w:left w:w="62" w:type="dxa"/>
          <w:right w:w="62" w:type="dxa"/>
        </w:tblCellMar>
        <w:tblLook w:val="0000"/>
      </w:tblPr>
      <w:tblGrid>
        <w:gridCol w:w="678"/>
        <w:gridCol w:w="1962"/>
        <w:gridCol w:w="770"/>
        <w:gridCol w:w="5610"/>
      </w:tblGrid>
      <w:tr w:rsidTr="00584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4</w:t>
            </w:r>
          </w:p>
        </w:tc>
        <w:tc>
          <w:tcPr>
            <w:tcW w:w="1962" w:type="dxa"/>
            <w:vMerge w:val="restart"/>
            <w:tcBorders>
              <w:top w:val="nil"/>
              <w:left w:val="nil"/>
              <w:bottom w:val="nil"/>
              <w:right w:val="nil"/>
            </w:tcBorders>
            <w:tcMar>
              <w:top w:w="0" w:type="dxa"/>
              <w:left w:w="62" w:type="dxa"/>
              <w:bottom w:w="0" w:type="dxa"/>
              <w:right w:w="62" w:type="dxa"/>
            </w:tcMar>
          </w:tcPr>
          <w:p w:rsidR="00000000" w:rsidRPr="00584A56" w:rsidP="00584A56">
            <w:pPr>
              <w:pStyle w:val="BodyText"/>
            </w:pPr>
            <w:r w:rsidRPr="00584A56">
              <w:t>Complete inspection.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4.1</w:t>
            </w:r>
          </w:p>
        </w:tc>
        <w:tc>
          <w:tcPr>
            <w:tcW w:w="5610"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Customer premises are left in a clean and tidy condition on completion of inspection functions.</w:t>
            </w:r>
          </w:p>
        </w:tc>
      </w:tr>
      <w:tr w:rsidTr="00584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84A56" w:rsidP="00584A56">
            <w:pPr>
              <w:pStyle w:val="BodyText"/>
            </w:pPr>
            <w:r w:rsidRPr="00584A56">
              <w:t>4.2</w:t>
            </w:r>
          </w:p>
        </w:tc>
        <w:tc>
          <w:tcPr>
            <w:tcW w:w="5610"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rPr>
                <w:rStyle w:val="BoldandItalics"/>
              </w:rPr>
              <w:t>Defects</w:t>
            </w:r>
            <w:r w:rsidRPr="00584A56">
              <w:t xml:space="preserve"> are recorded and reported according to relevant Australian standards, manufacturers’ technical specifications and work procedures. </w:t>
            </w:r>
          </w:p>
        </w:tc>
      </w:tr>
      <w:tr w:rsidTr="00584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84A56" w:rsidP="00584A56">
            <w:pPr>
              <w:pStyle w:val="BodyText"/>
            </w:pPr>
            <w:r w:rsidRPr="00584A56">
              <w:t>4.3</w:t>
            </w:r>
          </w:p>
        </w:tc>
        <w:tc>
          <w:tcPr>
            <w:tcW w:w="5610" w:type="dxa"/>
            <w:tcBorders>
              <w:top w:val="nil"/>
              <w:left w:val="nil"/>
              <w:bottom w:val="nil"/>
              <w:right w:val="nil"/>
            </w:tcBorders>
            <w:tcMar>
              <w:top w:w="0" w:type="dxa"/>
              <w:left w:w="62" w:type="dxa"/>
              <w:bottom w:w="0" w:type="dxa"/>
              <w:right w:w="62" w:type="dxa"/>
            </w:tcMar>
          </w:tcPr>
          <w:p w:rsidR="00000000" w:rsidRPr="00584A56" w:rsidP="00584A56">
            <w:pPr>
              <w:pStyle w:val="BodyText"/>
            </w:pPr>
            <w:r w:rsidRPr="00584A56">
              <w:rPr>
                <w:rStyle w:val="BoldandItalics"/>
              </w:rPr>
              <w:t>Documentation</w:t>
            </w:r>
            <w:r w:rsidRPr="00584A56">
              <w:t xml:space="preserve"> is completed according to organisational requirements and relevant Australian standards.</w:t>
            </w:r>
          </w:p>
        </w:tc>
      </w:tr>
    </w:tbl>
    <w:p w:rsidR="00000000" w:rsidRPr="00584A56" w:rsidP="00584A56">
      <w:pPr>
        <w:pStyle w:val="BodyText"/>
      </w:pPr>
    </w:p>
    <w:p w:rsidR="00000000" w:rsidRPr="00584A56" w:rsidP="00584A56">
      <w:pPr>
        <w:pStyle w:val="AllowPageBreak"/>
      </w:pPr>
    </w:p>
    <w:p w:rsidR="00000000" w:rsidRPr="00584A56" w:rsidP="00584A56">
      <w:pPr>
        <w:pStyle w:val="Heading1"/>
      </w:pPr>
      <w:bookmarkStart w:id="9" w:name="O_359705"/>
      <w:bookmarkEnd w:id="9"/>
      <w:r w:rsidRPr="00584A56">
        <w:t>Required Skills and Knowledge</w:t>
      </w:r>
    </w:p>
    <w:tbl>
      <w:tblPr>
        <w:tblW w:w="9462" w:type="dxa"/>
        <w:tblLayout w:type="fixed"/>
        <w:tblCellMar>
          <w:left w:w="62" w:type="dxa"/>
          <w:right w:w="62" w:type="dxa"/>
        </w:tblCellMar>
        <w:tblLook w:val="0000"/>
      </w:tblPr>
      <w:tblGrid>
        <w:gridCol w:w="9462"/>
      </w:tblGrid>
      <w:tr w:rsidTr="00584A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t>This section describes the skills and knowledge required for this unit.</w:t>
            </w:r>
          </w:p>
        </w:tc>
      </w:tr>
      <w:tr w:rsidTr="00584A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rPr>
                <w:rStyle w:val="SpecialBold"/>
              </w:rPr>
              <w:t>Required skills</w:t>
            </w:r>
          </w:p>
        </w:tc>
      </w:tr>
      <w:tr w:rsidTr="00584A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84A56" w:rsidP="00584A56">
            <w:pPr>
              <w:pStyle w:val="ListBullet"/>
            </w:pPr>
            <w:r w:rsidRPr="00584A56">
              <w:t>analytical and problem-solving skills to:</w:t>
            </w:r>
          </w:p>
          <w:p w:rsidR="00000000" w:rsidRPr="00584A56" w:rsidP="00584A56">
            <w:pPr>
              <w:pStyle w:val="ListBullet2"/>
            </w:pPr>
            <w:r w:rsidRPr="00584A56">
              <w:t>identify, select and comply with Australian standards and related legislation</w:t>
            </w:r>
          </w:p>
          <w:p w:rsidR="00000000" w:rsidRPr="00584A56" w:rsidP="00584A56">
            <w:pPr>
              <w:pStyle w:val="ListBullet2"/>
            </w:pPr>
            <w:r w:rsidRPr="00584A56">
              <w:t xml:space="preserve">recognise components of fire and smoke doors and fire shutters </w:t>
            </w:r>
          </w:p>
          <w:p w:rsidR="00000000" w:rsidRPr="00584A56" w:rsidP="00584A56">
            <w:pPr>
              <w:pStyle w:val="ListBullet"/>
            </w:pPr>
            <w:r w:rsidRPr="00584A56">
              <w:t>language, literacy and numeracy skills to:</w:t>
            </w:r>
          </w:p>
          <w:p w:rsidR="00000000" w:rsidRPr="00584A56" w:rsidP="00584A56">
            <w:pPr>
              <w:pStyle w:val="ListBullet2"/>
            </w:pPr>
            <w:r w:rsidRPr="00584A56">
              <w:t>access information from manuals</w:t>
            </w:r>
          </w:p>
          <w:p w:rsidR="00000000" w:rsidRPr="00584A56" w:rsidP="00584A56">
            <w:pPr>
              <w:pStyle w:val="ListBullet2"/>
            </w:pPr>
            <w:r w:rsidRPr="00584A56">
              <w:t>communicate with others clearly and concisely, verbally and in writing</w:t>
            </w:r>
          </w:p>
          <w:p w:rsidR="00000000" w:rsidRPr="00584A56" w:rsidP="00584A56">
            <w:pPr>
              <w:pStyle w:val="ListBullet2"/>
            </w:pPr>
            <w:r w:rsidRPr="00584A56">
              <w:t>communicate technical information to custome</w:t>
            </w:r>
            <w:r w:rsidRPr="00584A56">
              <w:t>rs and colleagues</w:t>
            </w:r>
          </w:p>
          <w:p w:rsidR="00000000" w:rsidRPr="00584A56" w:rsidP="00584A56">
            <w:pPr>
              <w:pStyle w:val="ListBullet2"/>
            </w:pPr>
            <w:r w:rsidRPr="00584A56">
              <w:t>read and comply with work instructions and specifications</w:t>
            </w:r>
          </w:p>
          <w:p w:rsidR="00000000" w:rsidRPr="00584A56" w:rsidP="00584A56">
            <w:pPr>
              <w:pStyle w:val="ListBullet2"/>
            </w:pPr>
            <w:r w:rsidRPr="00584A56">
              <w:t>read and record measurements</w:t>
            </w:r>
          </w:p>
          <w:p w:rsidR="00000000" w:rsidRPr="00584A56" w:rsidP="00584A56">
            <w:pPr>
              <w:pStyle w:val="ListBullet2"/>
            </w:pPr>
            <w:r w:rsidRPr="00584A56">
              <w:t>report defects by completing and distributing relevant documentation</w:t>
            </w:r>
          </w:p>
          <w:p w:rsidR="00000000" w:rsidRPr="00584A56" w:rsidP="00584A56">
            <w:pPr>
              <w:pStyle w:val="ListBullet2"/>
            </w:pPr>
            <w:r w:rsidRPr="00584A56">
              <w:t>use technical terminology relating to inspecting and testing hinged fire and smoke</w:t>
            </w:r>
            <w:r w:rsidRPr="00584A56">
              <w:t xml:space="preserve"> doors or shutters</w:t>
            </w:r>
          </w:p>
          <w:p w:rsidR="00000000" w:rsidRPr="00584A56" w:rsidP="00584A56">
            <w:pPr>
              <w:pStyle w:val="ListBullet"/>
            </w:pPr>
            <w:r w:rsidRPr="00584A56">
              <w:t>planning skills to organise work according to organisational requirements</w:t>
            </w:r>
          </w:p>
          <w:p w:rsidR="00000000" w:rsidRPr="00584A56" w:rsidP="00584A56">
            <w:pPr>
              <w:pStyle w:val="ListBullet"/>
            </w:pPr>
            <w:r w:rsidRPr="00584A56">
              <w:t>skills to work safely when:</w:t>
            </w:r>
          </w:p>
          <w:p w:rsidR="00000000" w:rsidRPr="00584A56" w:rsidP="00584A56">
            <w:pPr>
              <w:pStyle w:val="ListBullet2"/>
            </w:pPr>
            <w:r w:rsidRPr="00584A56">
              <w:t>applying workplace housekeeping procedures</w:t>
            </w:r>
          </w:p>
          <w:p w:rsidR="00000000" w:rsidRPr="00584A56" w:rsidP="00584A56">
            <w:pPr>
              <w:pStyle w:val="ListBullet2"/>
            </w:pPr>
            <w:r w:rsidRPr="00584A56">
              <w:t>following work procedures</w:t>
            </w:r>
          </w:p>
          <w:p w:rsidR="00000000" w:rsidP="00584A56">
            <w:pPr>
              <w:pStyle w:val="ListBullet2"/>
              <w:rPr>
                <w:lang w:val="en-NZ"/>
              </w:rPr>
            </w:pPr>
            <w:r w:rsidRPr="00584A56">
              <w:t>identifying potential and existing hazards and risks</w:t>
            </w:r>
          </w:p>
        </w:tc>
      </w:tr>
      <w:tr w:rsidTr="00584A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84A56">
            <w:pPr>
              <w:pStyle w:val="BodyText"/>
              <w:rPr>
                <w:lang w:val="en-NZ"/>
              </w:rPr>
            </w:pPr>
            <w:r w:rsidRPr="00584A56">
              <w:rPr>
                <w:rStyle w:val="SpecialBold"/>
              </w:rPr>
              <w:t>Required knowledge</w:t>
            </w:r>
          </w:p>
        </w:tc>
      </w:tr>
      <w:tr w:rsidTr="00584A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84A56" w:rsidP="00584A56">
            <w:pPr>
              <w:pStyle w:val="ListBullet"/>
            </w:pPr>
            <w:r w:rsidRPr="00584A56">
              <w:t>correct installation procedures and dangers of incorrect installation of fire and smoke doors</w:t>
            </w:r>
          </w:p>
          <w:p w:rsidR="00000000" w:rsidRPr="00584A56" w:rsidP="00584A56">
            <w:pPr>
              <w:pStyle w:val="ListBullet"/>
            </w:pPr>
            <w:r w:rsidRPr="00584A56">
              <w:t>fire and smoke doors and fire shutter variables, including types, components, hardware, seals and wall types</w:t>
            </w:r>
          </w:p>
          <w:p w:rsidR="00000000" w:rsidRPr="00584A56" w:rsidP="00584A56">
            <w:pPr>
              <w:pStyle w:val="ListBullet"/>
            </w:pPr>
            <w:r w:rsidRPr="00584A56">
              <w:t>key features of legislation, Aus</w:t>
            </w:r>
            <w:r w:rsidRPr="00584A56">
              <w:t>tralian standards and building code requirements relating to:</w:t>
            </w:r>
          </w:p>
          <w:p w:rsidR="00000000" w:rsidRPr="00584A56" w:rsidP="00584A56">
            <w:pPr>
              <w:pStyle w:val="ListBullet2"/>
            </w:pPr>
            <w:r w:rsidRPr="00584A56">
              <w:t>inspection of fire and smoke doors and fire shutters</w:t>
            </w:r>
          </w:p>
          <w:p w:rsidR="00000000" w:rsidRPr="00584A56" w:rsidP="00584A56">
            <w:pPr>
              <w:pStyle w:val="ListBullet2"/>
            </w:pPr>
            <w:r w:rsidRPr="00584A56">
              <w:t>fire and smoke containment</w:t>
            </w:r>
          </w:p>
          <w:p w:rsidR="00000000" w:rsidRPr="00584A56" w:rsidP="00584A56">
            <w:pPr>
              <w:pStyle w:val="ListBullet"/>
            </w:pPr>
            <w:r w:rsidRPr="00584A56">
              <w:t>key physical features, definition of, and purpose of fire and smoke doors and fire shutters</w:t>
            </w:r>
          </w:p>
          <w:p w:rsidR="00000000" w:rsidRPr="00584A56" w:rsidP="00584A56">
            <w:pPr>
              <w:pStyle w:val="ListBullet"/>
            </w:pPr>
            <w:r w:rsidRPr="00584A56">
              <w:t>implications of not applying legislative requirements to job functions</w:t>
            </w:r>
          </w:p>
          <w:p w:rsidR="00000000" w:rsidRPr="00584A56" w:rsidP="00584A56">
            <w:pPr>
              <w:pStyle w:val="ListBullet"/>
            </w:pPr>
            <w:r w:rsidRPr="00584A56">
              <w:t>operational requirements for inspecting and testing fire and smoke doors and fire shutters</w:t>
            </w:r>
          </w:p>
          <w:p w:rsidR="00000000" w:rsidRPr="00584A56" w:rsidP="00584A56">
            <w:pPr>
              <w:pStyle w:val="ListBullet"/>
            </w:pPr>
            <w:r w:rsidRPr="00584A56">
              <w:t>principles of passive fire protection related to overall fire safety systems</w:t>
            </w:r>
          </w:p>
          <w:p w:rsidR="00000000" w:rsidRPr="00584A56" w:rsidP="00584A56">
            <w:pPr>
              <w:pStyle w:val="ListBullet"/>
            </w:pPr>
            <w:r w:rsidRPr="00584A56">
              <w:t>procedures for de</w:t>
            </w:r>
            <w:r w:rsidRPr="00584A56">
              <w:t>termining fire resistance levels</w:t>
            </w:r>
          </w:p>
          <w:p w:rsidR="00000000" w:rsidRPr="00584A56" w:rsidP="00584A56">
            <w:pPr>
              <w:pStyle w:val="ListBullet"/>
            </w:pPr>
            <w:r w:rsidRPr="00584A56">
              <w:t>range of fire and smoke door tags</w:t>
            </w:r>
          </w:p>
          <w:p w:rsidR="00000000" w:rsidRPr="00584A56" w:rsidP="00584A56">
            <w:pPr>
              <w:pStyle w:val="ListBullet"/>
            </w:pPr>
            <w:r w:rsidRPr="00584A56">
              <w:t>technical terms relating to fire and smoke door and fire shutter inspection and testing</w:t>
            </w:r>
          </w:p>
        </w:tc>
      </w:tr>
    </w:tbl>
    <w:p w:rsidR="00000000" w:rsidRPr="00584A56" w:rsidP="00584A56">
      <w:pPr>
        <w:pStyle w:val="BodyText"/>
      </w:pPr>
    </w:p>
    <w:p w:rsidR="00000000" w:rsidRPr="00584A56" w:rsidP="00584A56">
      <w:pPr>
        <w:pStyle w:val="AllowPageBreak"/>
      </w:pPr>
    </w:p>
    <w:p w:rsidR="00000000" w:rsidRPr="00584A56" w:rsidP="00584A56">
      <w:pPr>
        <w:pStyle w:val="Heading1"/>
      </w:pPr>
      <w:bookmarkStart w:id="10" w:name="O_359706"/>
      <w:bookmarkEnd w:id="10"/>
      <w:r w:rsidRPr="00584A56">
        <w:t>Evidence Guide</w:t>
      </w:r>
    </w:p>
    <w:tbl>
      <w:tblPr>
        <w:tblW w:w="9462" w:type="dxa"/>
        <w:tblLayout w:type="fixed"/>
        <w:tblCellMar>
          <w:left w:w="62" w:type="dxa"/>
          <w:right w:w="62" w:type="dxa"/>
        </w:tblCellMar>
        <w:tblLook w:val="0000"/>
      </w:tblPr>
      <w:tblGrid>
        <w:gridCol w:w="2800"/>
        <w:gridCol w:w="6662"/>
      </w:tblGrid>
      <w:tr w:rsidTr="00584A5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84A56">
            <w:pPr>
              <w:pStyle w:val="BodyText"/>
              <w:rPr>
                <w:lang w:val="en-NZ"/>
              </w:rPr>
            </w:pPr>
            <w:r w:rsidRPr="00584A56">
              <w:t>The evidence guide provides advice on assessment and must be read in conjunction with the performance criteria, required skills and knowledge, range statement and the Assessment Guidelines for the Training Package.</w:t>
            </w:r>
          </w:p>
        </w:tc>
      </w:tr>
      <w:tr w:rsidTr="00584A5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56">
            <w:pPr>
              <w:pStyle w:val="BodyText"/>
              <w:rPr>
                <w:lang w:val="en-NZ"/>
              </w:rPr>
            </w:pPr>
            <w:r w:rsidRPr="00584A56">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56">
            <w:pPr>
              <w:pStyle w:val="BodyText"/>
              <w:rPr>
                <w:lang w:val="en-NZ"/>
              </w:rPr>
            </w:pPr>
            <w:r w:rsidRPr="00584A56">
              <w:t>This unit of com</w:t>
            </w:r>
            <w:r w:rsidRPr="00584A56">
              <w:t xml:space="preserve">petency could be assessed by observation of practical demonstrations of inspecting and testing a range of fire and smoke doors in different buildings. </w:t>
            </w:r>
          </w:p>
        </w:tc>
      </w:tr>
      <w:tr w:rsidTr="00584A5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56">
            <w:pPr>
              <w:pStyle w:val="BodyText"/>
              <w:rPr>
                <w:lang w:val="en-NZ"/>
              </w:rPr>
            </w:pPr>
            <w:r w:rsidRPr="00584A56">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56" w:rsidP="00584A56">
            <w:pPr>
              <w:pStyle w:val="BodyText"/>
            </w:pPr>
            <w:r w:rsidRPr="00584A56">
              <w:t>A person who demonstrates competency in this unit must be able to provide evidence of the required skills and knowledge specified in this unit.</w:t>
            </w:r>
          </w:p>
          <w:p w:rsidR="00000000" w:rsidRPr="00584A56" w:rsidP="00584A56">
            <w:pPr>
              <w:pStyle w:val="BodyText"/>
            </w:pPr>
            <w:r w:rsidRPr="00584A56">
              <w:t>In particular the person should demonstrate the ability to:</w:t>
            </w:r>
          </w:p>
          <w:p w:rsidR="00000000" w:rsidRPr="00584A56" w:rsidP="00584A56">
            <w:pPr>
              <w:pStyle w:val="ListBullet"/>
            </w:pPr>
            <w:r w:rsidRPr="00584A56">
              <w:t>locate, interpret and apply relevant information, s</w:t>
            </w:r>
            <w:r w:rsidRPr="00584A56">
              <w:t>tandards and specifications</w:t>
            </w:r>
          </w:p>
          <w:p w:rsidR="00000000" w:rsidRPr="00584A56" w:rsidP="00584A56">
            <w:pPr>
              <w:pStyle w:val="ListBullet"/>
            </w:pPr>
            <w:r w:rsidRPr="00584A56">
              <w:t>comply with organisational policies and procedures, including quality requirements</w:t>
            </w:r>
          </w:p>
          <w:p w:rsidR="00000000" w:rsidRPr="00584A56" w:rsidP="00584A56">
            <w:pPr>
              <w:pStyle w:val="ListBullet"/>
            </w:pPr>
            <w:r w:rsidRPr="00584A56">
              <w:t>communicate and work effectively and safely with others</w:t>
            </w:r>
          </w:p>
          <w:p w:rsidR="00000000" w:rsidRPr="00584A56" w:rsidP="00584A56">
            <w:pPr>
              <w:pStyle w:val="ListBullet"/>
            </w:pPr>
            <w:r w:rsidRPr="00584A56">
              <w:t>identify, inspect and test fire and smoke doors and components according to purpose, oper</w:t>
            </w:r>
            <w:r w:rsidRPr="00584A56">
              <w:t>ation and location</w:t>
            </w:r>
          </w:p>
          <w:p w:rsidR="00000000" w:rsidP="00584A56">
            <w:pPr>
              <w:pStyle w:val="ListBullet"/>
              <w:rPr>
                <w:lang w:val="en-NZ"/>
              </w:rPr>
            </w:pPr>
            <w:r w:rsidRPr="00584A56">
              <w:t>complete maintenance records and reports using correct documentation.</w:t>
            </w:r>
          </w:p>
        </w:tc>
      </w:tr>
      <w:tr w:rsidTr="00584A5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56">
            <w:pPr>
              <w:pStyle w:val="BodyText"/>
              <w:rPr>
                <w:lang w:val="en-NZ"/>
              </w:rPr>
            </w:pPr>
            <w:r w:rsidRPr="00584A56">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56" w:rsidP="00584A56">
            <w:pPr>
              <w:pStyle w:val="BodyText"/>
            </w:pPr>
            <w:r w:rsidRPr="00584A56">
              <w:t>Assessment of essential underpinning knowledge may be conducted in an off-site context. It is to comply with relevant</w:t>
            </w:r>
            <w:r w:rsidRPr="00584A56">
              <w:t xml:space="preserve"> regulatory or Australian standards’ requirements.</w:t>
            </w:r>
          </w:p>
          <w:p w:rsidR="00000000" w:rsidRPr="00584A56" w:rsidP="00584A56">
            <w:pPr>
              <w:pStyle w:val="BodyText"/>
            </w:pPr>
            <w:r w:rsidRPr="00584A56">
              <w:t>Resource implications for assessment include:</w:t>
            </w:r>
          </w:p>
          <w:p w:rsidR="00000000" w:rsidRPr="00584A56" w:rsidP="00584A56">
            <w:pPr>
              <w:pStyle w:val="ListBullet"/>
            </w:pPr>
            <w:r w:rsidRPr="00584A56">
              <w:t>actual or simulated work environment</w:t>
            </w:r>
          </w:p>
          <w:p w:rsidR="00000000" w:rsidRPr="00584A56" w:rsidP="00584A56">
            <w:pPr>
              <w:pStyle w:val="ListBullet"/>
            </w:pPr>
            <w:r w:rsidRPr="00584A56">
              <w:t>access to relevant standards and legislation</w:t>
            </w:r>
          </w:p>
          <w:p w:rsidR="00000000" w:rsidRPr="00584A56" w:rsidP="00584A56">
            <w:pPr>
              <w:pStyle w:val="ListBullet"/>
            </w:pPr>
            <w:r w:rsidRPr="00584A56">
              <w:t xml:space="preserve">access to a variety of installed fire and smoke doors and fire shutters </w:t>
            </w:r>
          </w:p>
          <w:p w:rsidR="00000000" w:rsidRPr="00584A56" w:rsidP="00584A56">
            <w:pPr>
              <w:pStyle w:val="ListBullet"/>
            </w:pPr>
            <w:r w:rsidRPr="00584A56">
              <w:t>ass</w:t>
            </w:r>
            <w:r w:rsidRPr="00584A56">
              <w:t>essment documentation</w:t>
            </w:r>
          </w:p>
          <w:p w:rsidR="00000000" w:rsidP="00584A56">
            <w:pPr>
              <w:pStyle w:val="ListBullet"/>
              <w:rPr>
                <w:lang w:val="en-NZ"/>
              </w:rPr>
            </w:pPr>
            <w:r w:rsidRPr="00584A56">
              <w:t>training and assessment record book.</w:t>
            </w:r>
          </w:p>
        </w:tc>
      </w:tr>
      <w:tr w:rsidTr="00584A5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56">
            <w:pPr>
              <w:pStyle w:val="BodyText"/>
              <w:rPr>
                <w:lang w:val="en-NZ"/>
              </w:rPr>
            </w:pPr>
            <w:r w:rsidRPr="00584A56">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56" w:rsidP="00584A56">
            <w:pPr>
              <w:pStyle w:val="BodyText"/>
            </w:pPr>
            <w:r w:rsidRPr="00584A56">
              <w:t>Assessment methods must:</w:t>
            </w:r>
          </w:p>
          <w:p w:rsidR="00000000" w:rsidRPr="00584A56" w:rsidP="00584A56">
            <w:pPr>
              <w:pStyle w:val="ListBullet"/>
            </w:pPr>
            <w:r w:rsidRPr="00584A56">
              <w:t>satisfy the endorsed Assessment Guidelines of the Property Services Training Package</w:t>
            </w:r>
          </w:p>
          <w:p w:rsidR="00000000" w:rsidRPr="00584A56" w:rsidP="00584A56">
            <w:pPr>
              <w:pStyle w:val="ListBullet"/>
            </w:pPr>
            <w:r w:rsidRPr="00584A56">
              <w:t>include direct observation of tasks in real or simulated work conditions, with questioning to confirm the ability to consistently identify and correctly interpret the essential underpinning knowledge required for practical application</w:t>
            </w:r>
          </w:p>
          <w:p w:rsidR="00000000" w:rsidRPr="00584A56" w:rsidP="00584A56">
            <w:pPr>
              <w:pStyle w:val="ListBullet"/>
            </w:pPr>
            <w:r w:rsidRPr="00584A56">
              <w:t>reinforce the integra</w:t>
            </w:r>
            <w:r w:rsidRPr="00584A56">
              <w:t>tion of employability skills with workplace tasks and job roles</w:t>
            </w:r>
          </w:p>
          <w:p w:rsidR="00000000" w:rsidP="00584A56">
            <w:pPr>
              <w:pStyle w:val="ListBullet"/>
              <w:rPr>
                <w:lang w:val="en-NZ"/>
              </w:rPr>
            </w:pPr>
            <w:r w:rsidRPr="00584A56">
              <w:t>confirm that competency is verified and able to be transferred to other circumstances and environments.</w:t>
            </w:r>
          </w:p>
        </w:tc>
      </w:tr>
      <w:tr w:rsidTr="00584A5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56">
            <w:pPr>
              <w:pStyle w:val="BodyText"/>
              <w:rPr>
                <w:lang w:val="en-NZ"/>
              </w:rPr>
            </w:pPr>
            <w:r w:rsidRPr="00584A56">
              <w:t>Guidance information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56" w:rsidP="00584A56">
            <w:pPr>
              <w:pStyle w:val="BodyText"/>
            </w:pPr>
            <w:r w:rsidRPr="00584A56">
              <w:t>Reasonable adjustments for people with disabilities</w:t>
            </w:r>
            <w:r w:rsidRPr="00584A56">
              <w:t xml:space="preserve"> must be made to assessment processes where required. This could include access to modified equipment and other physical resources, and the provision of appropriate assessment support.</w:t>
            </w:r>
          </w:p>
          <w:p w:rsidR="00000000" w:rsidRPr="00584A56" w:rsidP="00584A56">
            <w:pPr>
              <w:pStyle w:val="BodyText"/>
            </w:pPr>
            <w:r w:rsidRPr="00584A56">
              <w:t xml:space="preserve">Assessment processes and techniques should as far as is practical take </w:t>
            </w:r>
            <w:r w:rsidRPr="00584A56">
              <w:t>into account the language, literacy and numeracy capacity of the candidate in relation to the competency being assessed.</w:t>
            </w:r>
          </w:p>
          <w:p w:rsidR="00000000" w:rsidRPr="00584A56" w:rsidP="00584A56">
            <w:pPr>
              <w:pStyle w:val="BodyText"/>
            </w:pPr>
            <w:r w:rsidRPr="00584A56">
              <w:t>This unit could be assessed on its own or in combination with other units relevant to the job function.</w:t>
            </w:r>
          </w:p>
        </w:tc>
      </w:tr>
    </w:tbl>
    <w:p w:rsidR="00D921D9" w:rsidP="00584A56">
      <w:pPr>
        <w:pStyle w:val="BodyText"/>
      </w:pPr>
    </w:p>
    <w:p w:rsidR="00D921D9" w:rsidP="00584A56">
      <w:pPr>
        <w:pStyle w:val="BodyText"/>
      </w:pPr>
    </w:p>
    <w:p w:rsidR="00000000" w:rsidRPr="00584A56" w:rsidP="00584A56">
      <w:pPr>
        <w:pStyle w:val="Heading1"/>
      </w:pPr>
      <w:bookmarkStart w:id="11" w:name="O_359707"/>
      <w:bookmarkEnd w:id="11"/>
      <w:r w:rsidRPr="00584A56">
        <w:t>Range Statement</w:t>
      </w:r>
    </w:p>
    <w:tbl>
      <w:tblPr>
        <w:tblW w:w="9462" w:type="dxa"/>
        <w:tblLayout w:type="fixed"/>
        <w:tblCellMar>
          <w:left w:w="62" w:type="dxa"/>
          <w:right w:w="62" w:type="dxa"/>
        </w:tblCellMar>
        <w:tblLook w:val="0000"/>
      </w:tblPr>
      <w:tblGrid>
        <w:gridCol w:w="2700"/>
        <w:gridCol w:w="6762"/>
      </w:tblGrid>
      <w:tr w:rsidTr="00584A5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84A56">
            <w:pPr>
              <w:pStyle w:val="BodyText"/>
              <w:rPr>
                <w:lang w:val="en-NZ"/>
              </w:rPr>
            </w:pPr>
            <w:r w:rsidRPr="00584A56">
              <w:t>The range statement relates to the unit of competency as a whole. It allows for different work environments and situations that may affect performance. Bold italicised wording, if used in the performance criteria, is detailed below. Essenti</w:t>
            </w:r>
            <w:r w:rsidRPr="00584A56">
              <w:t>al operating conditions that may be present with training and assessment (depending on the work situation, needs of the candidate, accessibility of the item, and local industry and regional contexts) may also be included.</w:t>
            </w:r>
          </w:p>
        </w:tc>
      </w:tr>
      <w:tr w:rsidTr="00584A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56">
            <w:pPr>
              <w:pStyle w:val="BodyText"/>
              <w:rPr>
                <w:lang w:val="en-NZ"/>
              </w:rPr>
            </w:pPr>
            <w:r w:rsidRPr="00584A56">
              <w:rPr>
                <w:rStyle w:val="BoldandItalics"/>
              </w:rPr>
              <w:t>Rules and regulations</w:t>
            </w:r>
            <w:r w:rsidRPr="00584A56">
              <w:t xml:space="preserve"> may includ</w:t>
            </w:r>
            <w:r w:rsidRPr="00584A56">
              <w: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56" w:rsidP="00584A56">
            <w:pPr>
              <w:pStyle w:val="ListBullet"/>
            </w:pPr>
            <w:r w:rsidRPr="00584A56">
              <w:t>environmental regulations</w:t>
            </w:r>
          </w:p>
          <w:p w:rsidR="00000000" w:rsidRPr="00584A56" w:rsidP="00584A56">
            <w:pPr>
              <w:pStyle w:val="ListBullet"/>
            </w:pPr>
            <w:r w:rsidRPr="00584A56">
              <w:t>licensing arrangements</w:t>
            </w:r>
          </w:p>
          <w:p w:rsidR="00000000" w:rsidRPr="00584A56" w:rsidP="00584A56">
            <w:pPr>
              <w:pStyle w:val="ListBullet"/>
            </w:pPr>
            <w:r w:rsidRPr="00584A56">
              <w:t>OHS legislation, regulations and codes</w:t>
            </w:r>
          </w:p>
          <w:p w:rsidR="00000000" w:rsidRPr="00584A56" w:rsidP="00584A56">
            <w:pPr>
              <w:pStyle w:val="ListBullet"/>
            </w:pPr>
            <w:r w:rsidRPr="00584A56">
              <w:t>relevant commonwealth and state or territory building Acts, regulations and codes, including:</w:t>
            </w:r>
          </w:p>
          <w:p w:rsidR="00000000" w:rsidRPr="00584A56" w:rsidP="00584A56">
            <w:pPr>
              <w:pStyle w:val="ListBullet2"/>
            </w:pPr>
            <w:r w:rsidRPr="00584A56">
              <w:t>Building Code of Australia (BCA)</w:t>
            </w:r>
          </w:p>
          <w:p w:rsidR="00000000" w:rsidRPr="00584A56" w:rsidP="00584A56">
            <w:pPr>
              <w:pStyle w:val="ListBullet"/>
            </w:pPr>
            <w:r w:rsidRPr="00584A56">
              <w:t>relevant Australian standards, such as:</w:t>
            </w:r>
          </w:p>
          <w:p w:rsidR="00000000" w:rsidRPr="00584A56" w:rsidP="00584A56">
            <w:pPr>
              <w:pStyle w:val="ListBullet2"/>
            </w:pPr>
            <w:r w:rsidRPr="00584A56">
              <w:t>AS 1905.1 Fire door resistant doorsets</w:t>
            </w:r>
          </w:p>
          <w:p w:rsidR="00000000" w:rsidRPr="00584A56" w:rsidP="00584A56">
            <w:pPr>
              <w:pStyle w:val="ListBullet2"/>
            </w:pPr>
            <w:r w:rsidRPr="00584A56">
              <w:t>AS 1905.2 Fire door resistant roller shutters</w:t>
            </w:r>
          </w:p>
          <w:p w:rsidR="00000000" w:rsidRPr="00584A56" w:rsidP="00584A56">
            <w:pPr>
              <w:pStyle w:val="ListBullet2"/>
            </w:pPr>
            <w:r w:rsidRPr="00584A56">
              <w:t>AS 4072.1 Service penetrations and control joints</w:t>
            </w:r>
          </w:p>
          <w:p w:rsidR="00000000" w:rsidRPr="00584A56" w:rsidP="00584A56">
            <w:pPr>
              <w:pStyle w:val="ListBullet2"/>
            </w:pPr>
            <w:r w:rsidRPr="00584A56">
              <w:t>AS 6905 Smoke doors</w:t>
            </w:r>
          </w:p>
          <w:p w:rsidR="00000000" w:rsidRPr="00584A56" w:rsidP="00584A56">
            <w:pPr>
              <w:pStyle w:val="ListBullet2"/>
            </w:pPr>
            <w:r w:rsidRPr="00584A56">
              <w:t>AS 1851 Maintenance of fire protection systems and equipment</w:t>
            </w:r>
          </w:p>
          <w:p w:rsidR="00000000" w:rsidRPr="00584A56" w:rsidP="00584A56">
            <w:pPr>
              <w:pStyle w:val="ListBullet2"/>
            </w:pPr>
            <w:r w:rsidRPr="00584A56">
              <w:t>note: Australian standards are frequently revised and users must always check for currency and amendments</w:t>
            </w:r>
          </w:p>
          <w:p w:rsidR="00000000" w:rsidRPr="00584A56" w:rsidP="00584A56">
            <w:pPr>
              <w:pStyle w:val="ListBullet"/>
            </w:pPr>
            <w:r w:rsidRPr="00584A56">
              <w:t>other relevant legislation relating to fire protection equipment, including:</w:t>
            </w:r>
          </w:p>
          <w:p w:rsidR="00000000" w:rsidRPr="00584A56" w:rsidP="00584A56">
            <w:pPr>
              <w:pStyle w:val="ListBullet2"/>
            </w:pPr>
            <w:r w:rsidRPr="00584A56">
              <w:t>international shipping codes</w:t>
            </w:r>
          </w:p>
          <w:p w:rsidR="00000000" w:rsidRPr="00584A56" w:rsidP="00584A56">
            <w:pPr>
              <w:pStyle w:val="ListBullet2"/>
            </w:pPr>
            <w:r w:rsidRPr="00584A56">
              <w:t>marine codes for different Australian Sta</w:t>
            </w:r>
            <w:r w:rsidRPr="00584A56">
              <w:t>tes</w:t>
            </w:r>
          </w:p>
          <w:p w:rsidR="00000000" w:rsidP="00584A56">
            <w:pPr>
              <w:pStyle w:val="ListBullet2"/>
              <w:rPr>
                <w:lang w:val="en-NZ"/>
              </w:rPr>
            </w:pPr>
            <w:r w:rsidRPr="00584A56">
              <w:t>requirements of Australian petroleum industry.</w:t>
            </w:r>
          </w:p>
        </w:tc>
      </w:tr>
      <w:tr w:rsidTr="00584A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56">
            <w:pPr>
              <w:pStyle w:val="BodyText"/>
              <w:rPr>
                <w:lang w:val="en-NZ"/>
              </w:rPr>
            </w:pPr>
            <w:r w:rsidRPr="00584A56">
              <w:t>Requirements may be</w:t>
            </w:r>
            <w:r w:rsidRPr="00584A56">
              <w:rPr>
                <w:rStyle w:val="BoldandItalics"/>
              </w:rPr>
              <w:t xml:space="preserve"> confirmed</w:t>
            </w:r>
            <w:r w:rsidRPr="00584A56">
              <w:t xml:space="preserve"> with: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56" w:rsidP="00584A56">
            <w:pPr>
              <w:pStyle w:val="ListBullet"/>
            </w:pPr>
            <w:r w:rsidRPr="00584A56">
              <w:t>colleagues</w:t>
            </w:r>
          </w:p>
          <w:p w:rsidR="00000000" w:rsidRPr="00584A56" w:rsidP="00584A56">
            <w:pPr>
              <w:pStyle w:val="ListBullet"/>
            </w:pPr>
            <w:r w:rsidRPr="00584A56">
              <w:t>managers</w:t>
            </w:r>
          </w:p>
          <w:p w:rsidR="00000000" w:rsidRPr="00584A56" w:rsidP="00584A56">
            <w:pPr>
              <w:pStyle w:val="ListBullet"/>
            </w:pPr>
            <w:r w:rsidRPr="00584A56">
              <w:t>supervisors</w:t>
            </w:r>
          </w:p>
          <w:p w:rsidR="00000000" w:rsidP="00584A56">
            <w:pPr>
              <w:pStyle w:val="ListBullet"/>
              <w:rPr>
                <w:lang w:val="en-NZ"/>
              </w:rPr>
            </w:pPr>
            <w:r w:rsidRPr="00584A56">
              <w:t>team leaders.</w:t>
            </w:r>
          </w:p>
        </w:tc>
      </w:tr>
      <w:tr w:rsidTr="00584A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56">
            <w:pPr>
              <w:pStyle w:val="BodyText"/>
              <w:rPr>
                <w:lang w:val="en-NZ"/>
              </w:rPr>
            </w:pPr>
            <w:r w:rsidRPr="00584A56">
              <w:rPr>
                <w:rStyle w:val="BoldandItalics"/>
              </w:rPr>
              <w:t>Work procedures</w:t>
            </w:r>
            <w:r w:rsidRPr="00584A5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56" w:rsidP="00584A56">
            <w:pPr>
              <w:pStyle w:val="ListBullet"/>
            </w:pPr>
            <w:r w:rsidRPr="00584A56">
              <w:t>assignment instructions</w:t>
            </w:r>
          </w:p>
          <w:p w:rsidR="00000000" w:rsidRPr="00584A56" w:rsidP="00584A56">
            <w:pPr>
              <w:pStyle w:val="ListBullet"/>
            </w:pPr>
            <w:r w:rsidRPr="00584A56">
              <w:t>equipment manufacturers’ requirements</w:t>
            </w:r>
          </w:p>
          <w:p w:rsidR="00000000" w:rsidRPr="00584A56" w:rsidP="00584A56">
            <w:pPr>
              <w:pStyle w:val="ListBullet"/>
            </w:pPr>
            <w:r w:rsidRPr="00584A56">
              <w:t>instructions from colleagues, supervisor or manager</w:t>
            </w:r>
          </w:p>
          <w:p w:rsidR="00000000" w:rsidRPr="00584A56" w:rsidP="00584A56">
            <w:pPr>
              <w:pStyle w:val="ListBullet"/>
            </w:pPr>
            <w:r w:rsidRPr="00584A56">
              <w:t>personal protective equipment requirements</w:t>
            </w:r>
          </w:p>
          <w:p w:rsidR="00000000" w:rsidRPr="00584A56" w:rsidP="00584A56">
            <w:pPr>
              <w:pStyle w:val="ListBullet"/>
            </w:pPr>
            <w:r w:rsidRPr="00584A56">
              <w:t>reporting and documentation requirements</w:t>
            </w:r>
          </w:p>
          <w:p w:rsidR="00000000" w:rsidP="00584A56">
            <w:pPr>
              <w:pStyle w:val="ListBullet"/>
              <w:rPr>
                <w:lang w:val="en-NZ"/>
              </w:rPr>
            </w:pPr>
            <w:r w:rsidRPr="00584A56">
              <w:t>specific customer requirements.</w:t>
            </w:r>
          </w:p>
        </w:tc>
      </w:tr>
      <w:tr w:rsidTr="00584A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56">
            <w:pPr>
              <w:pStyle w:val="BodyText"/>
              <w:rPr>
                <w:lang w:val="en-NZ"/>
              </w:rPr>
            </w:pPr>
            <w:r w:rsidRPr="00584A56">
              <w:rPr>
                <w:rStyle w:val="BoldandItalics"/>
              </w:rPr>
              <w:t>Checking compliance requirements</w:t>
            </w:r>
            <w:r w:rsidRPr="00584A5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56" w:rsidP="00584A56">
            <w:pPr>
              <w:pStyle w:val="ListBullet"/>
            </w:pPr>
            <w:r w:rsidRPr="00584A56">
              <w:t>applying inspection, test and survey requirements according to Australian standards</w:t>
            </w:r>
          </w:p>
          <w:p w:rsidR="00000000" w:rsidP="00584A56">
            <w:pPr>
              <w:pStyle w:val="ListBullet"/>
              <w:rPr>
                <w:lang w:val="en-NZ"/>
              </w:rPr>
            </w:pPr>
            <w:r w:rsidRPr="00584A56">
              <w:t xml:space="preserve">reviewing documentation to verify that installed systems and components comply with relevant rules and regulations. </w:t>
            </w:r>
          </w:p>
        </w:tc>
      </w:tr>
      <w:tr w:rsidTr="00584A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56">
            <w:pPr>
              <w:pStyle w:val="BodyText"/>
              <w:rPr>
                <w:lang w:val="en-NZ"/>
              </w:rPr>
            </w:pPr>
            <w:r w:rsidRPr="00584A56">
              <w:rPr>
                <w:rStyle w:val="BoldandItalics"/>
              </w:rPr>
              <w:t xml:space="preserve">Action </w:t>
            </w:r>
            <w:r w:rsidRPr="00584A56">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56" w:rsidP="00584A56">
            <w:pPr>
              <w:pStyle w:val="ListBullet"/>
            </w:pPr>
            <w:r w:rsidRPr="00584A56">
              <w:t>advising customer</w:t>
            </w:r>
          </w:p>
          <w:p w:rsidR="00000000" w:rsidRPr="00584A56" w:rsidP="00584A56">
            <w:pPr>
              <w:pStyle w:val="ListBullet"/>
            </w:pPr>
            <w:r w:rsidRPr="00584A56">
              <w:t>documenting non</w:t>
            </w:r>
            <w:r w:rsidRPr="00584A56">
              <w:t>-compliance</w:t>
            </w:r>
          </w:p>
          <w:p w:rsidR="00000000" w:rsidRPr="00584A56" w:rsidP="00584A56">
            <w:pPr>
              <w:pStyle w:val="ListBullet"/>
            </w:pPr>
            <w:r w:rsidRPr="00584A56">
              <w:t>making equipment safe</w:t>
            </w:r>
          </w:p>
          <w:p w:rsidR="00000000" w:rsidP="00584A56">
            <w:pPr>
              <w:pStyle w:val="ListBullet"/>
              <w:rPr>
                <w:lang w:val="en-NZ"/>
              </w:rPr>
            </w:pPr>
            <w:r w:rsidRPr="00584A56">
              <w:t>reporting, as required.</w:t>
            </w:r>
          </w:p>
        </w:tc>
      </w:tr>
      <w:tr w:rsidTr="00584A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56">
            <w:pPr>
              <w:pStyle w:val="BodyText"/>
              <w:rPr>
                <w:lang w:val="en-NZ"/>
              </w:rPr>
            </w:pPr>
            <w:r w:rsidRPr="00584A56">
              <w:rPr>
                <w:rStyle w:val="BoldandItalics"/>
              </w:rPr>
              <w:t>Organisational policies and procedures</w:t>
            </w:r>
            <w:r w:rsidRPr="00584A5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56" w:rsidP="00584A56">
            <w:pPr>
              <w:pStyle w:val="ListBullet"/>
            </w:pPr>
            <w:r w:rsidRPr="00584A56">
              <w:t>job scheduling systems and communication devices</w:t>
            </w:r>
          </w:p>
          <w:p w:rsidR="00000000" w:rsidRPr="00584A56" w:rsidP="00584A56">
            <w:pPr>
              <w:pStyle w:val="ListBullet"/>
            </w:pPr>
            <w:r w:rsidRPr="00584A56">
              <w:t>personnel practices and guidelines outlining work roles, responsibilities and delegations</w:t>
            </w:r>
          </w:p>
          <w:p w:rsidR="00000000" w:rsidRPr="00584A56" w:rsidP="00584A56">
            <w:pPr>
              <w:pStyle w:val="ListBullet"/>
            </w:pPr>
            <w:r w:rsidRPr="00584A56">
              <w:t xml:space="preserve">recording and reporting documentation and systems </w:t>
            </w:r>
          </w:p>
          <w:p w:rsidR="00000000" w:rsidRPr="00584A56" w:rsidP="00584A56">
            <w:pPr>
              <w:pStyle w:val="ListBullet"/>
            </w:pPr>
            <w:r w:rsidRPr="00584A56">
              <w:t>relevant OHS policies, procedures and programs</w:t>
            </w:r>
          </w:p>
          <w:p w:rsidR="00000000" w:rsidRPr="00584A56" w:rsidP="00584A56">
            <w:pPr>
              <w:pStyle w:val="ListBullet"/>
            </w:pPr>
            <w:r w:rsidRPr="00584A56">
              <w:t>relevant rules and regulations</w:t>
            </w:r>
          </w:p>
          <w:p w:rsidR="00000000" w:rsidP="00584A56">
            <w:pPr>
              <w:pStyle w:val="ListBullet"/>
              <w:rPr>
                <w:lang w:val="en-NZ"/>
              </w:rPr>
            </w:pPr>
            <w:r w:rsidRPr="00584A56">
              <w:t>standard operating procedures, work instructions and manuals.</w:t>
            </w:r>
          </w:p>
        </w:tc>
      </w:tr>
      <w:tr w:rsidTr="00584A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56">
            <w:pPr>
              <w:pStyle w:val="BodyText"/>
              <w:rPr>
                <w:lang w:val="en-NZ"/>
              </w:rPr>
            </w:pPr>
            <w:r w:rsidRPr="00584A56">
              <w:rPr>
                <w:rStyle w:val="BoldandItalics"/>
              </w:rPr>
              <w:t>Fire and smoke doors</w:t>
            </w:r>
            <w:r w:rsidRPr="00584A56">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56" w:rsidP="00584A56">
            <w:pPr>
              <w:pStyle w:val="ListBullet"/>
            </w:pPr>
            <w:r w:rsidRPr="00584A56">
              <w:t>different types of doors, including:</w:t>
            </w:r>
          </w:p>
          <w:p w:rsidR="00000000" w:rsidRPr="00584A56" w:rsidP="00584A56">
            <w:pPr>
              <w:pStyle w:val="ListBullet2"/>
            </w:pPr>
            <w:r w:rsidRPr="00584A56">
              <w:t>curtains, baffles and screens</w:t>
            </w:r>
          </w:p>
          <w:p w:rsidR="00000000" w:rsidRPr="00584A56" w:rsidP="00584A56">
            <w:pPr>
              <w:pStyle w:val="ListBullet2"/>
            </w:pPr>
            <w:r w:rsidRPr="00584A56">
              <w:t>hinged (double or single)</w:t>
            </w:r>
          </w:p>
          <w:p w:rsidR="00000000" w:rsidRPr="00584A56" w:rsidP="00584A56">
            <w:pPr>
              <w:pStyle w:val="ListBullet2"/>
            </w:pPr>
            <w:r w:rsidRPr="00584A56">
              <w:t>pivoted (double or single)</w:t>
            </w:r>
          </w:p>
          <w:p w:rsidR="00000000" w:rsidRPr="00584A56" w:rsidP="00584A56">
            <w:pPr>
              <w:pStyle w:val="ListBullet2"/>
            </w:pPr>
            <w:r w:rsidRPr="00584A56">
              <w:t>roller shutters</w:t>
            </w:r>
          </w:p>
          <w:p w:rsidR="00000000" w:rsidRPr="00584A56" w:rsidP="00584A56">
            <w:pPr>
              <w:pStyle w:val="ListBullet2"/>
            </w:pPr>
            <w:r w:rsidRPr="00584A56">
              <w:t>self-closing or automatic closing</w:t>
            </w:r>
          </w:p>
          <w:p w:rsidR="00000000" w:rsidRPr="00584A56" w:rsidP="00584A56">
            <w:pPr>
              <w:pStyle w:val="ListBullet2"/>
            </w:pPr>
            <w:r w:rsidRPr="00584A56">
              <w:t>sliding</w:t>
            </w:r>
          </w:p>
          <w:p w:rsidR="00000000" w:rsidRPr="00584A56" w:rsidP="00584A56">
            <w:pPr>
              <w:pStyle w:val="ListBullet"/>
            </w:pPr>
            <w:r w:rsidRPr="00584A56">
              <w:t>doors made from different materials, including:</w:t>
            </w:r>
          </w:p>
          <w:p w:rsidR="00000000" w:rsidRPr="00584A56" w:rsidP="00584A56">
            <w:pPr>
              <w:pStyle w:val="ListBullet2"/>
            </w:pPr>
            <w:r w:rsidRPr="00584A56">
              <w:t>composite</w:t>
            </w:r>
          </w:p>
          <w:p w:rsidR="00000000" w:rsidRPr="00584A56" w:rsidP="00584A56">
            <w:pPr>
              <w:pStyle w:val="ListBullet2"/>
            </w:pPr>
            <w:r w:rsidRPr="00584A56">
              <w:t>metal</w:t>
            </w:r>
          </w:p>
          <w:p w:rsidR="00000000" w:rsidP="00584A56">
            <w:pPr>
              <w:pStyle w:val="ListBullet2"/>
              <w:rPr>
                <w:lang w:val="en-NZ"/>
              </w:rPr>
            </w:pPr>
            <w:r w:rsidRPr="00584A56">
              <w:t>timber.</w:t>
            </w:r>
          </w:p>
        </w:tc>
      </w:tr>
      <w:tr w:rsidTr="00584A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56">
            <w:pPr>
              <w:pStyle w:val="BodyText"/>
              <w:rPr>
                <w:lang w:val="en-NZ"/>
              </w:rPr>
            </w:pPr>
            <w:r w:rsidRPr="00584A56">
              <w:rPr>
                <w:rStyle w:val="BoldandItalics"/>
              </w:rPr>
              <w:t>Door components</w:t>
            </w:r>
            <w:r w:rsidRPr="00584A5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56" w:rsidP="00584A56">
            <w:pPr>
              <w:pStyle w:val="ListBullet"/>
            </w:pPr>
            <w:r w:rsidRPr="00584A56">
              <w:t>fasteners</w:t>
            </w:r>
          </w:p>
          <w:p w:rsidR="00000000" w:rsidRPr="00584A56" w:rsidP="00584A56">
            <w:pPr>
              <w:pStyle w:val="ListBullet"/>
            </w:pPr>
            <w:r w:rsidRPr="00584A56">
              <w:t>handles</w:t>
            </w:r>
          </w:p>
          <w:p w:rsidR="00000000" w:rsidRPr="00584A56" w:rsidP="00584A56">
            <w:pPr>
              <w:pStyle w:val="ListBullet"/>
            </w:pPr>
            <w:r w:rsidRPr="00584A56">
              <w:t>hinges</w:t>
            </w:r>
          </w:p>
          <w:p w:rsidR="00000000" w:rsidP="00584A56">
            <w:pPr>
              <w:pStyle w:val="ListBullet"/>
              <w:rPr>
                <w:lang w:val="en-NZ"/>
              </w:rPr>
            </w:pPr>
            <w:r w:rsidRPr="00584A56">
              <w:t>locks.</w:t>
            </w:r>
          </w:p>
        </w:tc>
      </w:tr>
      <w:tr w:rsidTr="00584A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56">
            <w:pPr>
              <w:pStyle w:val="BodyText"/>
              <w:rPr>
                <w:lang w:val="en-NZ"/>
              </w:rPr>
            </w:pPr>
            <w:r w:rsidRPr="00584A56">
              <w:rPr>
                <w:rStyle w:val="BoldandItalics"/>
              </w:rPr>
              <w:t>Door hardware items</w:t>
            </w:r>
            <w:r w:rsidRPr="00584A5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56" w:rsidP="00584A56">
            <w:pPr>
              <w:pStyle w:val="ListBullet"/>
            </w:pPr>
            <w:r w:rsidRPr="00584A56">
              <w:t>automatic closers</w:t>
            </w:r>
          </w:p>
          <w:p w:rsidR="00000000" w:rsidRPr="00584A56" w:rsidP="00584A56">
            <w:pPr>
              <w:pStyle w:val="ListBullet"/>
            </w:pPr>
            <w:r w:rsidRPr="00584A56">
              <w:t>door strikes, including electric door strikes</w:t>
            </w:r>
          </w:p>
          <w:p w:rsidR="00000000" w:rsidRPr="00584A56" w:rsidP="00584A56">
            <w:pPr>
              <w:pStyle w:val="ListBullet"/>
            </w:pPr>
            <w:r w:rsidRPr="00584A56">
              <w:t>hinges</w:t>
            </w:r>
          </w:p>
          <w:p w:rsidR="00000000" w:rsidRPr="00584A56" w:rsidP="00584A56">
            <w:pPr>
              <w:pStyle w:val="ListBullet"/>
            </w:pPr>
            <w:r w:rsidRPr="00584A56">
              <w:t>kick plates</w:t>
            </w:r>
          </w:p>
          <w:p w:rsidR="00000000" w:rsidRPr="00584A56" w:rsidP="00584A56">
            <w:pPr>
              <w:pStyle w:val="ListBullet"/>
            </w:pPr>
            <w:r w:rsidRPr="00584A56">
              <w:t>locks</w:t>
            </w:r>
          </w:p>
          <w:p w:rsidR="00000000" w:rsidRPr="00584A56" w:rsidP="00584A56">
            <w:pPr>
              <w:pStyle w:val="ListBullet"/>
            </w:pPr>
            <w:r w:rsidRPr="00584A56">
              <w:t>panic exit devices</w:t>
            </w:r>
          </w:p>
          <w:p w:rsidR="00000000" w:rsidRPr="00584A56" w:rsidP="00584A56">
            <w:pPr>
              <w:pStyle w:val="ListBullet"/>
            </w:pPr>
            <w:r w:rsidRPr="00584A56">
              <w:t>signs that identify type of door:</w:t>
            </w:r>
          </w:p>
          <w:p w:rsidR="00000000" w:rsidRPr="00584A56" w:rsidP="00584A56">
            <w:pPr>
              <w:pStyle w:val="ListBullet2"/>
            </w:pPr>
            <w:r w:rsidRPr="00584A56">
              <w:t>smoke door sign</w:t>
            </w:r>
          </w:p>
          <w:p w:rsidR="00000000" w:rsidP="00584A56">
            <w:pPr>
              <w:pStyle w:val="ListBullet2"/>
              <w:rPr>
                <w:lang w:val="en-NZ"/>
              </w:rPr>
            </w:pPr>
            <w:r w:rsidRPr="00584A56">
              <w:t>fire door sign.</w:t>
            </w:r>
          </w:p>
        </w:tc>
      </w:tr>
      <w:tr w:rsidTr="00584A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56">
            <w:pPr>
              <w:pStyle w:val="BodyText"/>
              <w:rPr>
                <w:lang w:val="en-NZ"/>
              </w:rPr>
            </w:pPr>
            <w:r w:rsidRPr="00584A56">
              <w:rPr>
                <w:rStyle w:val="BoldandItalics"/>
              </w:rPr>
              <w:t>Door seals</w:t>
            </w:r>
            <w:r w:rsidRPr="00584A5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56" w:rsidP="00584A56">
            <w:pPr>
              <w:pStyle w:val="ListBullet"/>
            </w:pPr>
            <w:r w:rsidRPr="00584A56">
              <w:t>door bottom seals, including automatic seals</w:t>
            </w:r>
          </w:p>
          <w:p w:rsidR="00000000" w:rsidRPr="00584A56" w:rsidP="00584A56">
            <w:pPr>
              <w:pStyle w:val="ListBullet"/>
            </w:pPr>
            <w:r w:rsidRPr="00584A56">
              <w:t>fire-rated intumescent seals</w:t>
            </w:r>
          </w:p>
          <w:p w:rsidR="00000000" w:rsidRPr="00584A56" w:rsidP="00584A56">
            <w:pPr>
              <w:pStyle w:val="ListBullet"/>
            </w:pPr>
            <w:r w:rsidRPr="00584A56">
              <w:t>meeting stile seals</w:t>
            </w:r>
          </w:p>
          <w:p w:rsidR="00000000" w:rsidRPr="00584A56" w:rsidP="00584A56">
            <w:pPr>
              <w:pStyle w:val="ListBullet"/>
            </w:pPr>
            <w:r w:rsidRPr="00584A56">
              <w:t>perimeter seals</w:t>
            </w:r>
          </w:p>
          <w:p w:rsidR="00000000" w:rsidRPr="00584A56" w:rsidP="00584A56">
            <w:pPr>
              <w:pStyle w:val="ListBullet"/>
            </w:pPr>
            <w:r w:rsidRPr="00584A56">
              <w:t>smoke seals</w:t>
            </w:r>
          </w:p>
          <w:p w:rsidR="00000000" w:rsidP="00584A56">
            <w:pPr>
              <w:pStyle w:val="ListBullet"/>
              <w:rPr>
                <w:lang w:val="en-NZ"/>
              </w:rPr>
            </w:pPr>
            <w:r w:rsidRPr="00584A56">
              <w:t>threshold plates.</w:t>
            </w:r>
          </w:p>
        </w:tc>
      </w:tr>
      <w:tr w:rsidTr="00584A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56">
            <w:pPr>
              <w:pStyle w:val="BodyText"/>
              <w:rPr>
                <w:lang w:val="en-NZ"/>
              </w:rPr>
            </w:pPr>
            <w:r w:rsidRPr="00584A56">
              <w:rPr>
                <w:rStyle w:val="BoldandItalics"/>
              </w:rPr>
              <w:t>Customer requirements</w:t>
            </w:r>
            <w:r w:rsidRPr="00584A5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56" w:rsidP="00584A56">
            <w:pPr>
              <w:pStyle w:val="ListBullet"/>
            </w:pPr>
            <w:r w:rsidRPr="00584A56">
              <w:t>confirming or varying service instructions</w:t>
            </w:r>
          </w:p>
          <w:p w:rsidR="00000000" w:rsidRPr="00584A56" w:rsidP="00584A56">
            <w:pPr>
              <w:pStyle w:val="ListBullet"/>
            </w:pPr>
            <w:r w:rsidRPr="00584A56">
              <w:t>following sign-in and sign-out procedures for entry to or exit from premises</w:t>
            </w:r>
          </w:p>
          <w:p w:rsidR="00000000" w:rsidRPr="00584A56" w:rsidP="00584A56">
            <w:pPr>
              <w:pStyle w:val="ListBullet"/>
            </w:pPr>
            <w:r w:rsidRPr="00584A56">
              <w:t>providing non-routine or urgent services</w:t>
            </w:r>
          </w:p>
          <w:p w:rsidR="00000000" w:rsidRPr="00584A56" w:rsidP="00584A56">
            <w:pPr>
              <w:pStyle w:val="ListBullet"/>
            </w:pPr>
            <w:r w:rsidRPr="00584A56">
              <w:t>providing routine services</w:t>
            </w:r>
          </w:p>
          <w:p w:rsidR="00000000" w:rsidRPr="00584A56" w:rsidP="00584A56">
            <w:pPr>
              <w:pStyle w:val="ListBullet"/>
            </w:pPr>
            <w:r w:rsidRPr="00584A56">
              <w:t>providing written or verbal confirmation of services provided and/or</w:t>
            </w:r>
            <w:r w:rsidRPr="00584A56">
              <w:t xml:space="preserve"> future maintenance schedule</w:t>
            </w:r>
          </w:p>
          <w:p w:rsidR="00000000" w:rsidP="00584A56">
            <w:pPr>
              <w:pStyle w:val="ListBullet"/>
              <w:rPr>
                <w:lang w:val="en-NZ"/>
              </w:rPr>
            </w:pPr>
            <w:r w:rsidRPr="00584A56">
              <w:t>sighting work permits.</w:t>
            </w:r>
          </w:p>
        </w:tc>
      </w:tr>
      <w:tr w:rsidTr="00584A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56">
            <w:pPr>
              <w:pStyle w:val="BodyText"/>
              <w:rPr>
                <w:lang w:val="en-NZ"/>
              </w:rPr>
            </w:pPr>
            <w:r w:rsidRPr="00584A56">
              <w:rPr>
                <w:rStyle w:val="BoldandItalics"/>
              </w:rPr>
              <w:t>Defects</w:t>
            </w:r>
            <w:r w:rsidRPr="00584A5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56" w:rsidP="00584A56">
            <w:pPr>
              <w:pStyle w:val="ListBullet"/>
            </w:pPr>
            <w:r w:rsidRPr="00584A56">
              <w:t>items that do not comply with the requirements of:</w:t>
            </w:r>
          </w:p>
          <w:p w:rsidR="00000000" w:rsidRPr="00584A56" w:rsidP="00584A56">
            <w:pPr>
              <w:pStyle w:val="ListBullet2"/>
            </w:pPr>
            <w:r w:rsidRPr="00584A56">
              <w:t>Australian standards</w:t>
            </w:r>
          </w:p>
          <w:p w:rsidR="00000000" w:rsidRPr="00584A56" w:rsidP="00584A56">
            <w:pPr>
              <w:pStyle w:val="ListBullet2"/>
            </w:pPr>
            <w:r w:rsidRPr="00584A56">
              <w:t>manufacturers’ instructions</w:t>
            </w:r>
          </w:p>
          <w:p w:rsidR="00000000" w:rsidP="00584A56">
            <w:pPr>
              <w:pStyle w:val="ListBullet2"/>
              <w:rPr>
                <w:lang w:val="en-NZ"/>
              </w:rPr>
            </w:pPr>
            <w:r w:rsidRPr="00584A56">
              <w:t>necessary legislation.</w:t>
            </w:r>
          </w:p>
        </w:tc>
      </w:tr>
      <w:tr w:rsidTr="00584A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A56">
            <w:pPr>
              <w:pStyle w:val="BodyText"/>
              <w:rPr>
                <w:lang w:val="en-NZ"/>
              </w:rPr>
            </w:pPr>
            <w:r w:rsidRPr="00584A56">
              <w:rPr>
                <w:rStyle w:val="BoldandItalics"/>
              </w:rPr>
              <w:t>Documentation</w:t>
            </w:r>
            <w:r w:rsidRPr="00584A5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A56" w:rsidP="00584A56">
            <w:pPr>
              <w:pStyle w:val="ListBullet"/>
            </w:pPr>
            <w:r w:rsidRPr="00584A56">
              <w:t>certificates of inspection</w:t>
            </w:r>
          </w:p>
          <w:p w:rsidR="00000000" w:rsidRPr="00584A56" w:rsidP="00584A56">
            <w:pPr>
              <w:pStyle w:val="ListBullet"/>
            </w:pPr>
            <w:r w:rsidRPr="00584A56">
              <w:t>corrective action reports</w:t>
            </w:r>
          </w:p>
          <w:p w:rsidR="00000000" w:rsidRPr="00584A56" w:rsidP="00584A56">
            <w:pPr>
              <w:pStyle w:val="ListBullet"/>
            </w:pPr>
            <w:r w:rsidRPr="00584A56">
              <w:t>customer recommendation forms</w:t>
            </w:r>
          </w:p>
          <w:p w:rsidR="00000000" w:rsidRPr="00584A56" w:rsidP="00584A56">
            <w:pPr>
              <w:pStyle w:val="ListBullet"/>
            </w:pPr>
            <w:r w:rsidRPr="00584A56">
              <w:t>equipment recommendation forms</w:t>
            </w:r>
          </w:p>
          <w:p w:rsidR="00000000" w:rsidRPr="00584A56" w:rsidP="00584A56">
            <w:pPr>
              <w:pStyle w:val="ListBullet"/>
            </w:pPr>
            <w:r w:rsidRPr="00584A56">
              <w:t>expense claims</w:t>
            </w:r>
          </w:p>
          <w:p w:rsidR="00000000" w:rsidRPr="00584A56" w:rsidP="00584A56">
            <w:pPr>
              <w:pStyle w:val="ListBullet"/>
            </w:pPr>
            <w:r w:rsidRPr="00584A56">
              <w:t>installation instructions</w:t>
            </w:r>
          </w:p>
          <w:p w:rsidR="00000000" w:rsidRPr="00584A56" w:rsidP="00584A56">
            <w:pPr>
              <w:pStyle w:val="ListBullet"/>
            </w:pPr>
            <w:r w:rsidRPr="00584A56">
              <w:t>job cards</w:t>
            </w:r>
          </w:p>
          <w:p w:rsidR="00000000" w:rsidRPr="00584A56" w:rsidP="00584A56">
            <w:pPr>
              <w:pStyle w:val="ListBullet"/>
            </w:pPr>
            <w:r w:rsidRPr="00584A56">
              <w:t>maintenance record and report systems</w:t>
            </w:r>
          </w:p>
          <w:p w:rsidR="00000000" w:rsidRPr="00584A56" w:rsidP="00584A56">
            <w:pPr>
              <w:pStyle w:val="ListBullet"/>
            </w:pPr>
            <w:r w:rsidRPr="00584A56">
              <w:t>motor vehicle fleet cards</w:t>
            </w:r>
          </w:p>
          <w:p w:rsidR="00000000" w:rsidRPr="00584A56" w:rsidP="00584A56">
            <w:pPr>
              <w:pStyle w:val="ListBullet"/>
            </w:pPr>
            <w:r w:rsidRPr="00584A56">
              <w:t>petty cash vouchers</w:t>
            </w:r>
          </w:p>
          <w:p w:rsidR="00000000" w:rsidRPr="00584A56" w:rsidP="00584A56">
            <w:pPr>
              <w:pStyle w:val="ListBullet"/>
            </w:pPr>
            <w:r w:rsidRPr="00584A56">
              <w:t>product documentation</w:t>
            </w:r>
          </w:p>
          <w:p w:rsidR="00000000" w:rsidRPr="00584A56" w:rsidP="00584A56">
            <w:pPr>
              <w:pStyle w:val="ListBullet"/>
            </w:pPr>
            <w:r w:rsidRPr="00584A56">
              <w:t>service agreements.</w:t>
            </w:r>
          </w:p>
        </w:tc>
      </w:tr>
    </w:tbl>
    <w:p w:rsidR="00D921D9" w:rsidP="00584A56">
      <w:pPr>
        <w:pStyle w:val="BodyText"/>
      </w:pPr>
    </w:p>
    <w:p w:rsidR="00D921D9" w:rsidP="00584A56">
      <w:pPr>
        <w:pStyle w:val="BodyText"/>
      </w:pPr>
    </w:p>
    <w:p w:rsidR="00000000" w:rsidRPr="00584A56" w:rsidP="00584A56">
      <w:pPr>
        <w:pStyle w:val="Heading1"/>
      </w:pPr>
      <w:bookmarkStart w:id="12" w:name="O_359708"/>
      <w:bookmarkEnd w:id="12"/>
      <w:r w:rsidRPr="00584A56">
        <w:t>Unit Sector(s)</w:t>
      </w:r>
    </w:p>
    <w:p w:rsidR="00000000" w:rsidRPr="00584A56" w:rsidP="00584A56">
      <w:pPr>
        <w:pStyle w:val="BodyText"/>
      </w:pPr>
      <w:r w:rsidRPr="00584A56">
        <w:t>Fire protection equipment</w:t>
      </w:r>
    </w:p>
    <w:p w:rsidR="00000000" w:rsidRPr="00584A56" w:rsidP="00584A56">
      <w:pPr>
        <w:pStyle w:val="AllowPageBreak"/>
      </w:pPr>
    </w:p>
    <w:p w:rsidR="00000000" w:rsidRPr="00584A56" w:rsidP="00584A56">
      <w:pPr>
        <w:pStyle w:val="Heading1"/>
      </w:pPr>
      <w:bookmarkStart w:id="13" w:name="O_359709"/>
      <w:bookmarkEnd w:id="13"/>
      <w:r w:rsidRPr="00584A56">
        <w:t>Custom Content Section</w:t>
      </w:r>
    </w:p>
    <w:p w:rsidR="00000000" w:rsidRPr="00584A56" w:rsidP="00584A56">
      <w:pPr>
        <w:pStyle w:val="BodyText"/>
      </w:pPr>
      <w:r w:rsidRPr="00584A56">
        <w:t>Not applicable.</w:t>
      </w:r>
    </w:p>
    <w:p w:rsidR="00000000" w:rsidRPr="00584A56" w:rsidP="00584A56"/>
    <w:sectPr w:rsidSect="00584A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A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21D9" w:rsidP="00D921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A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1D9" w:rsidP="00584A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921D9" w:rsidP="00584A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921D9" w:rsidP="00584A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A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A56" w:rsidRPr="00D921D9" w:rsidP="00D921D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A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1D9" w:rsidP="00584A56">
    <w:pPr>
      <w:pStyle w:val="Header"/>
      <w:framePr w:wrap="around"/>
    </w:pPr>
    <w:r>
      <w:fldChar w:fldCharType="begin"/>
    </w:r>
    <w:r>
      <w:instrText xml:space="preserve"> TITLE   \* MERGEFORMAT </w:instrText>
    </w:r>
    <w:r>
      <w:fldChar w:fldCharType="separate"/>
    </w:r>
    <w:r>
      <w:t>CPPFES2035A Identify, inspect and test fire and smoke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21D9" w:rsidP="00584A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BED7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04E1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501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A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4A56"/>
    <w:pPr>
      <w:spacing w:before="360" w:after="60"/>
      <w:outlineLvl w:val="0"/>
    </w:pPr>
    <w:rPr>
      <w:sz w:val="32"/>
    </w:rPr>
  </w:style>
  <w:style w:type="paragraph" w:styleId="Heading2">
    <w:name w:val="heading 2"/>
    <w:basedOn w:val="HeadingBase"/>
    <w:next w:val="BodyText"/>
    <w:link w:val="Heading2Char"/>
    <w:qFormat/>
    <w:rsid w:val="00584A56"/>
    <w:pPr>
      <w:keepLines/>
      <w:spacing w:before="240" w:after="120"/>
      <w:outlineLvl w:val="1"/>
    </w:pPr>
    <w:rPr>
      <w:sz w:val="28"/>
      <w:szCs w:val="40"/>
    </w:rPr>
  </w:style>
  <w:style w:type="paragraph" w:styleId="Heading3">
    <w:name w:val="heading 3"/>
    <w:basedOn w:val="HeadingBase"/>
    <w:next w:val="BodyText"/>
    <w:link w:val="Heading3Char"/>
    <w:qFormat/>
    <w:rsid w:val="00584A56"/>
    <w:pPr>
      <w:spacing w:before="180" w:after="120"/>
      <w:outlineLvl w:val="2"/>
    </w:pPr>
    <w:rPr>
      <w:spacing w:val="-10"/>
      <w:kern w:val="32"/>
    </w:rPr>
  </w:style>
  <w:style w:type="paragraph" w:styleId="Heading4">
    <w:name w:val="heading 4"/>
    <w:basedOn w:val="HeadingBase"/>
    <w:next w:val="BodyText"/>
    <w:link w:val="Heading4Char"/>
    <w:qFormat/>
    <w:rsid w:val="00584A56"/>
    <w:pPr>
      <w:spacing w:before="160" w:after="120"/>
      <w:outlineLvl w:val="3"/>
    </w:pPr>
    <w:rPr>
      <w:sz w:val="22"/>
    </w:rPr>
  </w:style>
  <w:style w:type="paragraph" w:styleId="Heading5">
    <w:name w:val="heading 5"/>
    <w:basedOn w:val="HeadingBase"/>
    <w:next w:val="Normal"/>
    <w:link w:val="Heading5Char"/>
    <w:qFormat/>
    <w:rsid w:val="00584A56"/>
    <w:pPr>
      <w:spacing w:before="80"/>
      <w:outlineLvl w:val="4"/>
    </w:pPr>
    <w:rPr>
      <w:color w:val="918585"/>
      <w:sz w:val="20"/>
    </w:rPr>
  </w:style>
  <w:style w:type="paragraph" w:styleId="Heading6">
    <w:name w:val="heading 6"/>
    <w:basedOn w:val="HeadingBase"/>
    <w:next w:val="Normal"/>
    <w:link w:val="Heading6Char"/>
    <w:qFormat/>
    <w:rsid w:val="00584A56"/>
    <w:pPr>
      <w:spacing w:before="60"/>
      <w:outlineLvl w:val="5"/>
    </w:pPr>
    <w:rPr>
      <w:color w:val="918585"/>
      <w:sz w:val="20"/>
    </w:rPr>
  </w:style>
  <w:style w:type="paragraph" w:styleId="Heading7">
    <w:name w:val="heading 7"/>
    <w:basedOn w:val="Normal"/>
    <w:next w:val="Normal"/>
    <w:link w:val="Heading7Char"/>
    <w:qFormat/>
    <w:rsid w:val="00584A56"/>
    <w:pPr>
      <w:ind w:left="720"/>
      <w:outlineLvl w:val="6"/>
    </w:pPr>
    <w:rPr>
      <w:i/>
    </w:rPr>
  </w:style>
  <w:style w:type="paragraph" w:styleId="Heading8">
    <w:name w:val="heading 8"/>
    <w:basedOn w:val="Normal"/>
    <w:next w:val="Normal"/>
    <w:link w:val="Heading8Char"/>
    <w:qFormat/>
    <w:rsid w:val="00584A56"/>
    <w:pPr>
      <w:ind w:left="720"/>
      <w:outlineLvl w:val="7"/>
    </w:pPr>
    <w:rPr>
      <w:i/>
    </w:rPr>
  </w:style>
  <w:style w:type="paragraph" w:styleId="Heading9">
    <w:name w:val="heading 9"/>
    <w:basedOn w:val="Normal"/>
    <w:next w:val="Normal"/>
    <w:link w:val="Heading9Char"/>
    <w:qFormat/>
    <w:rsid w:val="00584A56"/>
    <w:pPr>
      <w:ind w:left="720"/>
      <w:outlineLvl w:val="8"/>
    </w:pPr>
    <w:rPr>
      <w:i/>
    </w:rPr>
  </w:style>
  <w:style w:type="character" w:default="1" w:styleId="DefaultParagraphFont">
    <w:name w:val="Default Paragraph Font"/>
    <w:uiPriority w:val="1"/>
    <w:unhideWhenUsed/>
    <w:rsid w:val="00584A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A56"/>
  </w:style>
  <w:style w:type="character" w:customStyle="1" w:styleId="Heading1Char">
    <w:name w:val="Heading 1 Char"/>
    <w:link w:val="Heading1"/>
    <w:rsid w:val="00584A56"/>
    <w:rPr>
      <w:rFonts w:ascii="Times New Roman" w:eastAsia="Times New Roman" w:hAnsi="Times New Roman" w:cs="Times New Roman"/>
      <w:b/>
      <w:sz w:val="32"/>
      <w:szCs w:val="20"/>
      <w:lang w:eastAsia="en-US"/>
    </w:rPr>
  </w:style>
  <w:style w:type="paragraph" w:styleId="BodyText">
    <w:name w:val="Body Text"/>
    <w:basedOn w:val="Normal"/>
    <w:link w:val="BodyTextChar"/>
    <w:rsid w:val="00584A56"/>
    <w:pPr>
      <w:spacing w:before="120" w:after="120"/>
      <w:contextualSpacing/>
    </w:pPr>
    <w:rPr>
      <w:rFonts w:ascii="Times New Roman" w:hAnsi="Times New Roman"/>
      <w:sz w:val="24"/>
      <w:szCs w:val="22"/>
    </w:rPr>
  </w:style>
  <w:style w:type="character" w:customStyle="1" w:styleId="BodyTextChar">
    <w:name w:val="Body Text Char"/>
    <w:link w:val="BodyText"/>
    <w:rsid w:val="00584A56"/>
    <w:rPr>
      <w:rFonts w:ascii="Times New Roman" w:eastAsia="Times New Roman" w:hAnsi="Times New Roman" w:cs="Times New Roman"/>
      <w:sz w:val="24"/>
      <w:lang w:val="en-US" w:eastAsia="en-US"/>
    </w:rPr>
  </w:style>
  <w:style w:type="paragraph" w:styleId="Footer">
    <w:name w:val="footer"/>
    <w:basedOn w:val="Normal"/>
    <w:link w:val="FooterChar"/>
    <w:rsid w:val="00584A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84A56"/>
    <w:rPr>
      <w:rFonts w:ascii="Times New Roman" w:eastAsia="Times New Roman" w:hAnsi="Times New Roman" w:cs="Times New Roman"/>
      <w:sz w:val="16"/>
      <w:lang w:val="en-US" w:eastAsia="en-US"/>
    </w:rPr>
  </w:style>
  <w:style w:type="paragraph" w:styleId="ListBullet">
    <w:name w:val="List Bullet"/>
    <w:basedOn w:val="List"/>
    <w:rsid w:val="00584A56"/>
    <w:pPr>
      <w:numPr>
        <w:numId w:val="13"/>
      </w:numPr>
      <w:tabs>
        <w:tab w:val="clear" w:pos="340"/>
      </w:tabs>
      <w:spacing w:before="40" w:after="40"/>
    </w:pPr>
  </w:style>
  <w:style w:type="character" w:customStyle="1" w:styleId="SpecialBold">
    <w:name w:val="Special Bold"/>
    <w:rsid w:val="00584A56"/>
    <w:rPr>
      <w:b/>
      <w:spacing w:val="0"/>
    </w:rPr>
  </w:style>
  <w:style w:type="paragraph" w:styleId="ListBullet2">
    <w:name w:val="List Bullet 2"/>
    <w:basedOn w:val="List2"/>
    <w:rsid w:val="00584A56"/>
    <w:pPr>
      <w:numPr>
        <w:numId w:val="14"/>
      </w:numPr>
      <w:tabs>
        <w:tab w:val="clear" w:pos="680"/>
      </w:tabs>
    </w:pPr>
  </w:style>
  <w:style w:type="paragraph" w:customStyle="1" w:styleId="SuperHeading">
    <w:name w:val="SuperHeading"/>
    <w:basedOn w:val="Normal"/>
    <w:rsid w:val="00584A56"/>
    <w:pPr>
      <w:spacing w:before="240" w:after="120"/>
      <w:outlineLvl w:val="0"/>
    </w:pPr>
    <w:rPr>
      <w:rFonts w:ascii="Times New Roman" w:hAnsi="Times New Roman"/>
      <w:b/>
      <w:sz w:val="28"/>
    </w:rPr>
  </w:style>
  <w:style w:type="paragraph" w:customStyle="1" w:styleId="AllowPageBreak">
    <w:name w:val="AllowPageBreak"/>
    <w:rsid w:val="00584A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4A56"/>
    <w:rPr>
      <w:b/>
      <w:i/>
      <w:u w:val="none"/>
    </w:rPr>
  </w:style>
  <w:style w:type="character" w:customStyle="1" w:styleId="Heading2Char">
    <w:name w:val="Heading 2 Char"/>
    <w:link w:val="Heading2"/>
    <w:rsid w:val="00584A56"/>
    <w:rPr>
      <w:rFonts w:ascii="Times New Roman" w:eastAsia="Times New Roman" w:hAnsi="Times New Roman" w:cs="Times New Roman"/>
      <w:b/>
      <w:sz w:val="28"/>
      <w:szCs w:val="40"/>
      <w:lang w:eastAsia="en-US"/>
    </w:rPr>
  </w:style>
  <w:style w:type="character" w:customStyle="1" w:styleId="Heading3Char">
    <w:name w:val="Heading 3 Char"/>
    <w:link w:val="Heading3"/>
    <w:rsid w:val="00584A5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84A56"/>
    <w:rPr>
      <w:rFonts w:ascii="Times New Roman" w:eastAsia="Times New Roman" w:hAnsi="Times New Roman" w:cs="Times New Roman"/>
      <w:b/>
      <w:szCs w:val="20"/>
      <w:lang w:eastAsia="en-US"/>
    </w:rPr>
  </w:style>
  <w:style w:type="character" w:customStyle="1" w:styleId="Heading5Char">
    <w:name w:val="Heading 5 Char"/>
    <w:link w:val="Heading5"/>
    <w:rsid w:val="00584A5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84A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A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4A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4A56"/>
    <w:rPr>
      <w:rFonts w:ascii="Courier New" w:eastAsia="Times New Roman" w:hAnsi="Courier New" w:cs="Times New Roman"/>
      <w:i/>
      <w:szCs w:val="20"/>
      <w:lang w:val="en-US" w:eastAsia="en-US"/>
    </w:rPr>
  </w:style>
  <w:style w:type="paragraph" w:customStyle="1" w:styleId="HeadingBase">
    <w:name w:val="Heading Base"/>
    <w:rsid w:val="00584A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A56"/>
    <w:pPr>
      <w:tabs>
        <w:tab w:val="right" w:leader="dot" w:pos="9072"/>
      </w:tabs>
      <w:ind w:left="567"/>
    </w:pPr>
    <w:rPr>
      <w:szCs w:val="22"/>
    </w:rPr>
  </w:style>
  <w:style w:type="paragraph" w:customStyle="1" w:styleId="TOCBase">
    <w:name w:val="TOC Base"/>
    <w:rsid w:val="00584A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A56"/>
    <w:pPr>
      <w:tabs>
        <w:tab w:val="right" w:leader="dot" w:pos="9072"/>
      </w:tabs>
      <w:spacing w:before="40" w:after="40"/>
      <w:ind w:left="284"/>
    </w:pPr>
    <w:rPr>
      <w:rFonts w:ascii="Times New Roman" w:hAnsi="Times New Roman"/>
    </w:rPr>
  </w:style>
  <w:style w:type="paragraph" w:styleId="TOC1">
    <w:name w:val="toc 1"/>
    <w:basedOn w:val="TOCBase"/>
    <w:next w:val="Normal"/>
    <w:rsid w:val="00584A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4A56"/>
    <w:pPr>
      <w:spacing w:before="5040"/>
      <w:jc w:val="center"/>
    </w:pPr>
    <w:rPr>
      <w:sz w:val="48"/>
      <w:szCs w:val="72"/>
      <w:lang w:val="en-US"/>
    </w:rPr>
  </w:style>
  <w:style w:type="character" w:customStyle="1" w:styleId="TitleChar">
    <w:name w:val="Title Char"/>
    <w:link w:val="Title"/>
    <w:rsid w:val="00584A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A56"/>
    <w:pPr>
      <w:tabs>
        <w:tab w:val="left" w:pos="3600"/>
        <w:tab w:val="left" w:pos="3958"/>
      </w:tabs>
    </w:pPr>
  </w:style>
  <w:style w:type="paragraph" w:styleId="List">
    <w:name w:val="List"/>
    <w:basedOn w:val="BodyText"/>
    <w:next w:val="BodyText"/>
    <w:rsid w:val="00584A56"/>
    <w:pPr>
      <w:tabs>
        <w:tab w:val="left" w:pos="340"/>
      </w:tabs>
      <w:spacing w:before="60" w:after="60"/>
      <w:ind w:left="340" w:hanging="340"/>
    </w:pPr>
  </w:style>
  <w:style w:type="paragraph" w:customStyle="1" w:styleId="Note">
    <w:name w:val="Note"/>
    <w:basedOn w:val="BodyText"/>
    <w:rsid w:val="00584A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A56"/>
    <w:pPr>
      <w:framePr w:wrap="auto" w:hAnchor="text" w:y="6049"/>
    </w:pPr>
    <w:rPr>
      <w:color w:val="000000"/>
      <w:sz w:val="40"/>
    </w:rPr>
  </w:style>
  <w:style w:type="paragraph" w:customStyle="1" w:styleId="TOCTitle">
    <w:name w:val="TOCTitle"/>
    <w:basedOn w:val="Heading1"/>
    <w:rsid w:val="00584A56"/>
    <w:pPr>
      <w:spacing w:after="240"/>
      <w:jc w:val="center"/>
      <w:outlineLvl w:val="9"/>
    </w:pPr>
    <w:rPr>
      <w:caps/>
    </w:rPr>
  </w:style>
  <w:style w:type="paragraph" w:customStyle="1" w:styleId="Version">
    <w:name w:val="Version"/>
    <w:rsid w:val="00584A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4A56"/>
    <w:pPr>
      <w:keepNext w:val="0"/>
      <w:tabs>
        <w:tab w:val="right" w:pos="4176"/>
      </w:tabs>
      <w:ind w:left="198" w:hanging="198"/>
    </w:pPr>
    <w:rPr>
      <w:rFonts w:ascii="Garamond" w:hAnsi="Garamond"/>
    </w:rPr>
  </w:style>
  <w:style w:type="paragraph" w:styleId="IndexHeading">
    <w:name w:val="index heading"/>
    <w:basedOn w:val="Normal"/>
    <w:next w:val="Index1"/>
    <w:semiHidden/>
    <w:rsid w:val="00584A56"/>
    <w:pPr>
      <w:spacing w:before="120" w:after="120"/>
    </w:pPr>
    <w:rPr>
      <w:rFonts w:ascii="Arial" w:hAnsi="Arial"/>
      <w:b/>
      <w:color w:val="918585"/>
      <w:sz w:val="24"/>
    </w:rPr>
  </w:style>
  <w:style w:type="paragraph" w:styleId="Header">
    <w:name w:val="header"/>
    <w:basedOn w:val="Normal"/>
    <w:link w:val="HeaderChar"/>
    <w:rsid w:val="00584A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84A56"/>
    <w:rPr>
      <w:rFonts w:ascii="Times New Roman" w:eastAsia="Times New Roman" w:hAnsi="Times New Roman" w:cs="Times New Roman"/>
      <w:sz w:val="16"/>
      <w:szCs w:val="20"/>
      <w:lang w:val="en-GB" w:eastAsia="en-US"/>
    </w:rPr>
  </w:style>
  <w:style w:type="paragraph" w:customStyle="1" w:styleId="Chapter">
    <w:name w:val="Chapter"/>
    <w:basedOn w:val="Normal"/>
    <w:rsid w:val="00584A56"/>
    <w:pPr>
      <w:spacing w:before="240"/>
    </w:pPr>
    <w:rPr>
      <w:rFonts w:ascii="Times New Roman" w:hAnsi="Times New Roman"/>
      <w:smallCaps/>
      <w:spacing w:val="80"/>
      <w:sz w:val="28"/>
    </w:rPr>
  </w:style>
  <w:style w:type="paragraph" w:customStyle="1" w:styleId="InChapter">
    <w:name w:val="InChapter"/>
    <w:basedOn w:val="Heading3"/>
    <w:rsid w:val="00584A56"/>
    <w:pPr>
      <w:spacing w:after="240"/>
      <w:outlineLvl w:val="9"/>
    </w:pPr>
    <w:rPr>
      <w:noProof/>
    </w:rPr>
  </w:style>
  <w:style w:type="paragraph" w:styleId="Index2">
    <w:name w:val="index 2"/>
    <w:basedOn w:val="Normal"/>
    <w:next w:val="Normal"/>
    <w:semiHidden/>
    <w:rsid w:val="00584A56"/>
    <w:pPr>
      <w:tabs>
        <w:tab w:val="right" w:pos="4176"/>
      </w:tabs>
      <w:ind w:left="568" w:hanging="284"/>
    </w:pPr>
    <w:rPr>
      <w:rFonts w:ascii="Garamond" w:hAnsi="Garamond"/>
    </w:rPr>
  </w:style>
  <w:style w:type="paragraph" w:customStyle="1" w:styleId="Byline">
    <w:name w:val="Byline"/>
    <w:rsid w:val="00584A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A56"/>
    <w:pPr>
      <w:tabs>
        <w:tab w:val="clear" w:pos="3600"/>
        <w:tab w:val="clear" w:pos="3958"/>
      </w:tabs>
      <w:jc w:val="right"/>
    </w:pPr>
  </w:style>
  <w:style w:type="character" w:styleId="Emphasis">
    <w:name w:val="Emphasis"/>
    <w:qFormat/>
    <w:rsid w:val="00584A56"/>
    <w:rPr>
      <w:i/>
    </w:rPr>
  </w:style>
  <w:style w:type="paragraph" w:styleId="Caption">
    <w:name w:val="caption"/>
    <w:basedOn w:val="BodyText"/>
    <w:next w:val="Normal"/>
    <w:qFormat/>
    <w:rsid w:val="00584A56"/>
    <w:pPr>
      <w:framePr w:w="2268" w:hSpace="181" w:vSpace="181" w:wrap="around" w:vAnchor="text" w:hAnchor="page" w:x="1135" w:y="285" w:anchorLock="1"/>
    </w:pPr>
    <w:rPr>
      <w:i/>
    </w:rPr>
  </w:style>
  <w:style w:type="paragraph" w:customStyle="1" w:styleId="MiniTOCTitle">
    <w:name w:val="MiniTOCTitle"/>
    <w:basedOn w:val="Heading4"/>
    <w:rsid w:val="00584A56"/>
    <w:pPr>
      <w:spacing w:before="240"/>
      <w:outlineLvl w:val="9"/>
    </w:pPr>
    <w:rPr>
      <w:noProof/>
      <w:sz w:val="24"/>
    </w:rPr>
  </w:style>
  <w:style w:type="paragraph" w:customStyle="1" w:styleId="MiniTOCItem">
    <w:name w:val="MiniTOCItem"/>
    <w:basedOn w:val="ListBullet"/>
    <w:rsid w:val="00584A56"/>
    <w:pPr>
      <w:numPr>
        <w:numId w:val="0"/>
      </w:numPr>
      <w:tabs>
        <w:tab w:val="right" w:leader="dot" w:pos="6521"/>
      </w:tabs>
      <w:spacing w:before="0" w:after="0"/>
    </w:pPr>
  </w:style>
  <w:style w:type="paragraph" w:customStyle="1" w:styleId="TOFTitle">
    <w:name w:val="TOFTitle"/>
    <w:basedOn w:val="TOCTitle"/>
    <w:rsid w:val="00584A56"/>
  </w:style>
  <w:style w:type="paragraph" w:styleId="TableofFigures">
    <w:name w:val="table of figures"/>
    <w:basedOn w:val="Normal"/>
    <w:next w:val="Normal"/>
    <w:semiHidden/>
    <w:rsid w:val="00584A56"/>
    <w:pPr>
      <w:tabs>
        <w:tab w:val="right" w:leader="dot" w:pos="9072"/>
      </w:tabs>
      <w:ind w:left="970" w:hanging="403"/>
    </w:pPr>
    <w:rPr>
      <w:rFonts w:ascii="Times New Roman" w:hAnsi="Times New Roman"/>
      <w:b/>
    </w:rPr>
  </w:style>
  <w:style w:type="paragraph" w:styleId="ListNumber">
    <w:name w:val="List Number"/>
    <w:basedOn w:val="List"/>
    <w:rsid w:val="00584A56"/>
    <w:pPr>
      <w:numPr>
        <w:numId w:val="11"/>
      </w:numPr>
    </w:pPr>
  </w:style>
  <w:style w:type="character" w:customStyle="1" w:styleId="WingdingSymbols">
    <w:name w:val="Wingding Symbols"/>
    <w:rsid w:val="00584A56"/>
    <w:rPr>
      <w:rFonts w:ascii="Wingdings" w:hAnsi="Wingdings"/>
    </w:rPr>
  </w:style>
  <w:style w:type="paragraph" w:customStyle="1" w:styleId="TableHeading">
    <w:name w:val="Table Heading"/>
    <w:basedOn w:val="HeadingBase"/>
    <w:rsid w:val="00584A56"/>
    <w:pPr>
      <w:keepLines/>
      <w:pBdr>
        <w:bottom w:val="single" w:sz="6" w:space="1" w:color="918585"/>
      </w:pBdr>
      <w:spacing w:before="240"/>
    </w:pPr>
  </w:style>
  <w:style w:type="character" w:customStyle="1" w:styleId="HotSpot">
    <w:name w:val="HotSpot"/>
    <w:rsid w:val="00584A56"/>
    <w:rPr>
      <w:color w:val="0033CC"/>
      <w:u w:val="none"/>
    </w:rPr>
  </w:style>
  <w:style w:type="paragraph" w:customStyle="1" w:styleId="BodyTextRight">
    <w:name w:val="Body Text Right"/>
    <w:basedOn w:val="BodyText"/>
    <w:rsid w:val="00584A56"/>
    <w:pPr>
      <w:spacing w:before="0" w:after="0"/>
      <w:jc w:val="right"/>
    </w:pPr>
  </w:style>
  <w:style w:type="paragraph" w:styleId="Index3">
    <w:name w:val="index 3"/>
    <w:basedOn w:val="ListNumber2"/>
    <w:next w:val="Normal"/>
    <w:semiHidden/>
    <w:rsid w:val="00584A56"/>
    <w:pPr>
      <w:numPr>
        <w:numId w:val="0"/>
      </w:numPr>
      <w:tabs>
        <w:tab w:val="right" w:leader="dot" w:pos="4176"/>
      </w:tabs>
    </w:pPr>
  </w:style>
  <w:style w:type="paragraph" w:styleId="ListNumber2">
    <w:name w:val="List Number 2"/>
    <w:basedOn w:val="List2"/>
    <w:rsid w:val="00584A56"/>
    <w:pPr>
      <w:numPr>
        <w:numId w:val="10"/>
      </w:numPr>
      <w:tabs>
        <w:tab w:val="clear" w:pos="1060"/>
      </w:tabs>
    </w:pPr>
  </w:style>
  <w:style w:type="paragraph" w:customStyle="1" w:styleId="MarginNote">
    <w:name w:val="Margin Note"/>
    <w:basedOn w:val="BodyText"/>
    <w:rsid w:val="00584A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A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84A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4A56"/>
    <w:rPr>
      <w:sz w:val="32"/>
    </w:rPr>
  </w:style>
  <w:style w:type="paragraph" w:customStyle="1" w:styleId="HeadingProcedure">
    <w:name w:val="Heading Procedure"/>
    <w:basedOn w:val="HeadingBase"/>
    <w:next w:val="Normal"/>
    <w:rsid w:val="00584A56"/>
    <w:pPr>
      <w:tabs>
        <w:tab w:val="left" w:pos="0"/>
      </w:tabs>
      <w:spacing w:before="120" w:after="60"/>
    </w:pPr>
    <w:rPr>
      <w:i/>
      <w:color w:val="918585"/>
      <w:sz w:val="22"/>
    </w:rPr>
  </w:style>
  <w:style w:type="paragraph" w:customStyle="1" w:styleId="TableBodyText">
    <w:name w:val="Table Body Text"/>
    <w:basedOn w:val="BodyText"/>
    <w:rsid w:val="00584A56"/>
    <w:pPr>
      <w:spacing w:before="60" w:after="60"/>
    </w:pPr>
  </w:style>
  <w:style w:type="paragraph" w:styleId="ListContinue">
    <w:name w:val="List Continue"/>
    <w:basedOn w:val="List"/>
    <w:rsid w:val="00584A56"/>
    <w:pPr>
      <w:ind w:firstLine="0"/>
    </w:pPr>
  </w:style>
  <w:style w:type="paragraph" w:customStyle="1" w:styleId="ListNote">
    <w:name w:val="List Note"/>
    <w:basedOn w:val="List"/>
    <w:rsid w:val="00584A56"/>
    <w:pPr>
      <w:pBdr>
        <w:top w:val="single" w:sz="6" w:space="2" w:color="918585"/>
        <w:bottom w:val="single" w:sz="6" w:space="2" w:color="918585"/>
      </w:pBdr>
      <w:tabs>
        <w:tab w:val="left" w:pos="1021"/>
      </w:tabs>
      <w:ind w:firstLine="0"/>
    </w:pPr>
  </w:style>
  <w:style w:type="paragraph" w:customStyle="1" w:styleId="Warning">
    <w:name w:val="Warning"/>
    <w:basedOn w:val="BodyText"/>
    <w:rsid w:val="00584A56"/>
    <w:pPr>
      <w:shd w:val="clear" w:color="auto" w:fill="D9D9D9"/>
      <w:tabs>
        <w:tab w:val="left" w:pos="992"/>
      </w:tabs>
      <w:ind w:left="119" w:right="119"/>
    </w:pPr>
    <w:rPr>
      <w:sz w:val="20"/>
    </w:rPr>
  </w:style>
  <w:style w:type="paragraph" w:customStyle="1" w:styleId="MarginIcons">
    <w:name w:val="Margin Icons"/>
    <w:basedOn w:val="BodyText"/>
    <w:rsid w:val="00584A5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84A56"/>
    <w:rPr>
      <w:rFonts w:ascii="Courier New" w:hAnsi="Courier New"/>
    </w:rPr>
  </w:style>
  <w:style w:type="paragraph" w:customStyle="1" w:styleId="NoteBullet">
    <w:name w:val="Note Bullet"/>
    <w:basedOn w:val="Note"/>
    <w:rsid w:val="00584A56"/>
    <w:pPr>
      <w:tabs>
        <w:tab w:val="clear" w:pos="680"/>
      </w:tabs>
      <w:spacing w:before="60" w:after="60"/>
    </w:pPr>
  </w:style>
  <w:style w:type="paragraph" w:customStyle="1" w:styleId="SubHeading2">
    <w:name w:val="SubHeading2"/>
    <w:basedOn w:val="HeadingBase"/>
    <w:rsid w:val="00584A56"/>
    <w:pPr>
      <w:spacing w:before="240" w:after="60"/>
    </w:pPr>
    <w:rPr>
      <w:sz w:val="20"/>
    </w:rPr>
  </w:style>
  <w:style w:type="paragraph" w:customStyle="1" w:styleId="SubHeading1">
    <w:name w:val="SubHeading1"/>
    <w:basedOn w:val="HeadingBase"/>
    <w:rsid w:val="00584A56"/>
    <w:pPr>
      <w:spacing w:before="240" w:after="60"/>
    </w:pPr>
    <w:rPr>
      <w:color w:val="918585"/>
      <w:sz w:val="22"/>
    </w:rPr>
  </w:style>
  <w:style w:type="paragraph" w:customStyle="1" w:styleId="SideHeading">
    <w:name w:val="Side Heading"/>
    <w:basedOn w:val="HeadingBase"/>
    <w:rsid w:val="00584A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A56"/>
    <w:pPr>
      <w:numPr>
        <w:numId w:val="12"/>
      </w:numPr>
    </w:pPr>
  </w:style>
  <w:style w:type="paragraph" w:styleId="PlainText">
    <w:name w:val="Plain Text"/>
    <w:basedOn w:val="Normal"/>
    <w:link w:val="PlainTextChar"/>
    <w:rsid w:val="00584A56"/>
    <w:rPr>
      <w:sz w:val="20"/>
    </w:rPr>
  </w:style>
  <w:style w:type="character" w:customStyle="1" w:styleId="PlainTextChar">
    <w:name w:val="Plain Text Char"/>
    <w:basedOn w:val="DefaultParagraphFont"/>
    <w:link w:val="PlainText"/>
    <w:rsid w:val="00584A56"/>
    <w:rPr>
      <w:rFonts w:ascii="Courier New" w:eastAsia="Times New Roman" w:hAnsi="Courier New" w:cs="Times New Roman"/>
      <w:sz w:val="20"/>
      <w:szCs w:val="20"/>
      <w:lang w:val="en-US" w:eastAsia="en-US"/>
    </w:rPr>
  </w:style>
  <w:style w:type="character" w:customStyle="1" w:styleId="MenuOption">
    <w:name w:val="Menu Option"/>
    <w:rsid w:val="00584A56"/>
    <w:rPr>
      <w:b/>
      <w:smallCaps/>
    </w:rPr>
  </w:style>
  <w:style w:type="paragraph" w:customStyle="1" w:styleId="TableListNumber">
    <w:name w:val="Table List Number"/>
    <w:basedOn w:val="ListNumber"/>
    <w:rsid w:val="00584A56"/>
    <w:pPr>
      <w:numPr>
        <w:numId w:val="0"/>
      </w:numPr>
    </w:pPr>
  </w:style>
  <w:style w:type="paragraph" w:styleId="TOC4">
    <w:name w:val="toc 4"/>
    <w:basedOn w:val="TOCBase"/>
    <w:next w:val="Normal"/>
    <w:semiHidden/>
    <w:rsid w:val="00584A56"/>
    <w:pPr>
      <w:tabs>
        <w:tab w:val="right" w:leader="dot" w:pos="9071"/>
      </w:tabs>
      <w:ind w:left="1701"/>
    </w:pPr>
  </w:style>
  <w:style w:type="paragraph" w:customStyle="1" w:styleId="ListAlpha">
    <w:name w:val="List Alpha"/>
    <w:basedOn w:val="List"/>
    <w:rsid w:val="00584A56"/>
    <w:pPr>
      <w:numPr>
        <w:numId w:val="9"/>
      </w:numPr>
    </w:pPr>
  </w:style>
  <w:style w:type="paragraph" w:customStyle="1" w:styleId="ListAlpha2">
    <w:name w:val="List Alpha 2"/>
    <w:basedOn w:val="List2"/>
    <w:rsid w:val="00584A56"/>
    <w:pPr>
      <w:numPr>
        <w:numId w:val="8"/>
      </w:numPr>
    </w:pPr>
  </w:style>
  <w:style w:type="paragraph" w:styleId="List2">
    <w:name w:val="List 2"/>
    <w:basedOn w:val="BodyText"/>
    <w:rsid w:val="00584A56"/>
    <w:pPr>
      <w:tabs>
        <w:tab w:val="left" w:pos="680"/>
      </w:tabs>
      <w:spacing w:before="60" w:after="60"/>
      <w:ind w:left="680" w:hanging="340"/>
    </w:pPr>
  </w:style>
  <w:style w:type="paragraph" w:styleId="List3">
    <w:name w:val="List 3"/>
    <w:basedOn w:val="BodyText"/>
    <w:rsid w:val="00584A56"/>
    <w:pPr>
      <w:tabs>
        <w:tab w:val="left" w:pos="1021"/>
      </w:tabs>
      <w:spacing w:before="60" w:after="60"/>
      <w:ind w:left="1020" w:hanging="340"/>
    </w:pPr>
  </w:style>
  <w:style w:type="paragraph" w:styleId="List4">
    <w:name w:val="List 4"/>
    <w:basedOn w:val="BodyText"/>
    <w:rsid w:val="00584A56"/>
    <w:pPr>
      <w:tabs>
        <w:tab w:val="left" w:pos="1361"/>
      </w:tabs>
      <w:spacing w:before="60" w:after="60"/>
      <w:ind w:left="1361" w:hanging="340"/>
    </w:pPr>
  </w:style>
  <w:style w:type="paragraph" w:styleId="List5">
    <w:name w:val="List 5"/>
    <w:basedOn w:val="BodyText"/>
    <w:rsid w:val="00584A56"/>
    <w:pPr>
      <w:tabs>
        <w:tab w:val="left" w:pos="1701"/>
      </w:tabs>
      <w:spacing w:before="60" w:after="60"/>
      <w:ind w:left="1701" w:hanging="340"/>
    </w:pPr>
  </w:style>
  <w:style w:type="paragraph" w:styleId="ListBullet3">
    <w:name w:val="List Bullet 3"/>
    <w:basedOn w:val="List3"/>
    <w:rsid w:val="00584A56"/>
    <w:pPr>
      <w:numPr>
        <w:numId w:val="15"/>
      </w:numPr>
      <w:tabs>
        <w:tab w:val="clear" w:pos="1021"/>
      </w:tabs>
      <w:ind w:left="1037" w:hanging="357"/>
    </w:pPr>
  </w:style>
  <w:style w:type="paragraph" w:styleId="ListBullet4">
    <w:name w:val="List Bullet 4"/>
    <w:basedOn w:val="List4"/>
    <w:rsid w:val="00584A56"/>
    <w:pPr>
      <w:numPr>
        <w:numId w:val="3"/>
      </w:numPr>
    </w:pPr>
  </w:style>
  <w:style w:type="paragraph" w:styleId="ListBullet5">
    <w:name w:val="List Bullet 5"/>
    <w:basedOn w:val="List5"/>
    <w:rsid w:val="00584A56"/>
    <w:pPr>
      <w:numPr>
        <w:numId w:val="4"/>
      </w:numPr>
    </w:pPr>
  </w:style>
  <w:style w:type="paragraph" w:styleId="ListContinue2">
    <w:name w:val="List Continue 2"/>
    <w:basedOn w:val="List2"/>
    <w:rsid w:val="00584A56"/>
    <w:pPr>
      <w:ind w:firstLine="0"/>
    </w:pPr>
  </w:style>
  <w:style w:type="paragraph" w:styleId="ListContinue3">
    <w:name w:val="List Continue 3"/>
    <w:basedOn w:val="List3"/>
    <w:rsid w:val="00584A56"/>
    <w:pPr>
      <w:ind w:left="1021" w:firstLine="0"/>
    </w:pPr>
  </w:style>
  <w:style w:type="paragraph" w:styleId="ListContinue4">
    <w:name w:val="List Continue 4"/>
    <w:basedOn w:val="List4"/>
    <w:rsid w:val="00584A56"/>
    <w:pPr>
      <w:ind w:firstLine="0"/>
    </w:pPr>
  </w:style>
  <w:style w:type="paragraph" w:styleId="ListContinue5">
    <w:name w:val="List Continue 5"/>
    <w:basedOn w:val="List5"/>
    <w:rsid w:val="00584A56"/>
    <w:pPr>
      <w:ind w:firstLine="0"/>
    </w:pPr>
  </w:style>
  <w:style w:type="paragraph" w:styleId="ListNumber3">
    <w:name w:val="List Number 3"/>
    <w:basedOn w:val="List3"/>
    <w:rsid w:val="00584A56"/>
    <w:pPr>
      <w:numPr>
        <w:numId w:val="5"/>
      </w:numPr>
    </w:pPr>
  </w:style>
  <w:style w:type="paragraph" w:styleId="ListNumber4">
    <w:name w:val="List Number 4"/>
    <w:basedOn w:val="List4"/>
    <w:rsid w:val="00584A56"/>
    <w:pPr>
      <w:numPr>
        <w:numId w:val="6"/>
      </w:numPr>
    </w:pPr>
  </w:style>
  <w:style w:type="paragraph" w:styleId="ListNumber5">
    <w:name w:val="List Number 5"/>
    <w:basedOn w:val="List5"/>
    <w:rsid w:val="00584A56"/>
    <w:pPr>
      <w:numPr>
        <w:numId w:val="7"/>
      </w:numPr>
    </w:pPr>
  </w:style>
  <w:style w:type="paragraph" w:styleId="BlockText">
    <w:name w:val="Block Text"/>
    <w:basedOn w:val="Normal"/>
    <w:rsid w:val="00584A56"/>
    <w:pPr>
      <w:spacing w:after="120"/>
      <w:ind w:left="1440" w:right="1440"/>
    </w:pPr>
  </w:style>
  <w:style w:type="character" w:customStyle="1" w:styleId="Subscript">
    <w:name w:val="Subscript"/>
    <w:rsid w:val="00584A56"/>
    <w:rPr>
      <w:sz w:val="16"/>
      <w:vertAlign w:val="subscript"/>
    </w:rPr>
  </w:style>
  <w:style w:type="character" w:customStyle="1" w:styleId="Superscript">
    <w:name w:val="Superscript"/>
    <w:rsid w:val="00584A56"/>
    <w:rPr>
      <w:sz w:val="16"/>
      <w:vertAlign w:val="superscript"/>
    </w:rPr>
  </w:style>
  <w:style w:type="character" w:customStyle="1" w:styleId="Symbols">
    <w:name w:val="Symbols"/>
    <w:rsid w:val="00584A56"/>
    <w:rPr>
      <w:rFonts w:ascii="Symbol" w:hAnsi="Symbol"/>
    </w:rPr>
  </w:style>
  <w:style w:type="character" w:customStyle="1" w:styleId="MenuOptions">
    <w:name w:val="Menu Options"/>
    <w:rsid w:val="00584A56"/>
    <w:rPr>
      <w:rFonts w:ascii="Arial Narrow" w:hAnsi="Arial Narrow"/>
      <w:smallCaps/>
    </w:rPr>
  </w:style>
  <w:style w:type="character" w:customStyle="1" w:styleId="Buttons">
    <w:name w:val="Buttons"/>
    <w:rsid w:val="00584A56"/>
    <w:rPr>
      <w:b/>
    </w:rPr>
  </w:style>
  <w:style w:type="character" w:customStyle="1" w:styleId="Underlined">
    <w:name w:val="Underlined"/>
    <w:rsid w:val="00584A56"/>
    <w:rPr>
      <w:u w:val="single"/>
    </w:rPr>
  </w:style>
  <w:style w:type="paragraph" w:customStyle="1" w:styleId="TableBodyTextRight">
    <w:name w:val="Table Body Text Right"/>
    <w:basedOn w:val="TableBodyText"/>
    <w:rsid w:val="00584A56"/>
    <w:pPr>
      <w:widowControl w:val="0"/>
      <w:autoSpaceDE w:val="0"/>
      <w:autoSpaceDN w:val="0"/>
      <w:adjustRightInd w:val="0"/>
      <w:jc w:val="right"/>
    </w:pPr>
    <w:rPr>
      <w:rFonts w:cs="Arial"/>
      <w:szCs w:val="18"/>
    </w:rPr>
  </w:style>
  <w:style w:type="paragraph" w:customStyle="1" w:styleId="CopyrightText">
    <w:name w:val="Copyright Text"/>
    <w:basedOn w:val="BodyText"/>
    <w:rsid w:val="00584A56"/>
    <w:rPr>
      <w:sz w:val="18"/>
    </w:rPr>
  </w:style>
  <w:style w:type="paragraph" w:customStyle="1" w:styleId="BodySmallRight">
    <w:name w:val="Body Small Right"/>
    <w:basedOn w:val="BodyTextRight"/>
    <w:rsid w:val="00584A56"/>
    <w:rPr>
      <w:sz w:val="18"/>
      <w:szCs w:val="18"/>
    </w:rPr>
  </w:style>
  <w:style w:type="paragraph" w:customStyle="1" w:styleId="MarginEdition">
    <w:name w:val="Margin Edition"/>
    <w:basedOn w:val="MarginNote"/>
    <w:rsid w:val="00584A56"/>
    <w:pPr>
      <w:spacing w:before="0" w:after="0"/>
    </w:pPr>
    <w:rPr>
      <w:rFonts w:ascii="Times New Roman" w:hAnsi="Times New Roman"/>
      <w:color w:val="999999"/>
    </w:rPr>
  </w:style>
  <w:style w:type="paragraph" w:customStyle="1" w:styleId="Spacer">
    <w:name w:val="Spacer"/>
    <w:basedOn w:val="Normal"/>
    <w:rsid w:val="00584A56"/>
    <w:rPr>
      <w:sz w:val="2"/>
      <w:szCs w:val="2"/>
    </w:rPr>
  </w:style>
  <w:style w:type="character" w:customStyle="1" w:styleId="Small">
    <w:name w:val="Small"/>
    <w:rsid w:val="00584A56"/>
    <w:rPr>
      <w:sz w:val="16"/>
    </w:rPr>
  </w:style>
  <w:style w:type="paragraph" w:customStyle="1" w:styleId="WideTable">
    <w:name w:val="Wide Table"/>
    <w:basedOn w:val="Normal"/>
    <w:rsid w:val="00584A56"/>
    <w:pPr>
      <w:ind w:left="-1418"/>
    </w:pPr>
    <w:rPr>
      <w:sz w:val="2"/>
      <w:szCs w:val="2"/>
    </w:rPr>
  </w:style>
  <w:style w:type="character" w:styleId="PageNumber">
    <w:name w:val="page number"/>
    <w:rsid w:val="00584A56"/>
  </w:style>
  <w:style w:type="paragraph" w:styleId="Quote">
    <w:name w:val="Quote"/>
    <w:basedOn w:val="Heading1"/>
    <w:link w:val="QuoteChar"/>
    <w:qFormat/>
    <w:rsid w:val="00584A56"/>
    <w:rPr>
      <w:b w:val="0"/>
      <w:sz w:val="72"/>
      <w:szCs w:val="72"/>
      <w:lang w:val="en-NZ"/>
    </w:rPr>
  </w:style>
  <w:style w:type="character" w:customStyle="1" w:styleId="QuoteChar">
    <w:name w:val="Quote Char"/>
    <w:link w:val="Quote"/>
    <w:rsid w:val="00584A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A56"/>
    <w:pPr>
      <w:pageBreakBefore/>
    </w:pPr>
  </w:style>
  <w:style w:type="paragraph" w:customStyle="1" w:styleId="Border">
    <w:name w:val="Border"/>
    <w:basedOn w:val="Normal"/>
    <w:qFormat/>
    <w:rsid w:val="00584A56"/>
    <w:pPr>
      <w:pBdr>
        <w:top w:val="single" w:sz="18" w:space="1" w:color="auto"/>
      </w:pBdr>
    </w:pPr>
    <w:rPr>
      <w:rFonts w:ascii="Times New Roman" w:hAnsi="Times New Roman"/>
      <w:color w:val="FFFFFF"/>
      <w:sz w:val="2"/>
    </w:rPr>
  </w:style>
  <w:style w:type="character" w:styleId="IntenseEmphasis">
    <w:name w:val="Intense Emphasis"/>
    <w:uiPriority w:val="21"/>
    <w:qFormat/>
    <w:rsid w:val="00584A56"/>
    <w:rPr>
      <w:b/>
      <w:bCs/>
      <w:i/>
      <w:iCs/>
      <w:color w:val="auto"/>
    </w:rPr>
  </w:style>
  <w:style w:type="paragraph" w:styleId="IntenseQuote">
    <w:name w:val="Intense Quote"/>
    <w:basedOn w:val="Normal"/>
    <w:next w:val="Normal"/>
    <w:link w:val="IntenseQuoteChar"/>
    <w:uiPriority w:val="30"/>
    <w:qFormat/>
    <w:rsid w:val="00584A5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84A56"/>
    <w:rPr>
      <w:rFonts w:ascii="Courier New" w:eastAsia="Times New Roman" w:hAnsi="Courier New" w:cs="Times New Roman"/>
      <w:b/>
      <w:bCs/>
      <w:i/>
      <w:iCs/>
      <w:szCs w:val="20"/>
      <w:lang w:val="en-US" w:eastAsia="en-US"/>
    </w:rPr>
  </w:style>
  <w:style w:type="character" w:styleId="SubtleReference">
    <w:name w:val="Subtle Reference"/>
    <w:uiPriority w:val="31"/>
    <w:qFormat/>
    <w:rsid w:val="00584A56"/>
    <w:rPr>
      <w:smallCaps/>
      <w:color w:val="auto"/>
      <w:u w:val="single"/>
    </w:rPr>
  </w:style>
  <w:style w:type="character" w:styleId="IntenseReference">
    <w:name w:val="Intense Reference"/>
    <w:uiPriority w:val="32"/>
    <w:qFormat/>
    <w:rsid w:val="00584A56"/>
    <w:rPr>
      <w:b/>
      <w:bCs/>
      <w:smallCaps/>
      <w:color w:val="auto"/>
      <w:spacing w:val="5"/>
      <w:u w:val="single"/>
    </w:rPr>
  </w:style>
  <w:style w:type="paragraph" w:customStyle="1" w:styleId="2ColumnHeading">
    <w:name w:val="2Column Heading"/>
    <w:basedOn w:val="BodyText"/>
    <w:qFormat/>
    <w:rsid w:val="00584A56"/>
    <w:pPr>
      <w:spacing w:after="60"/>
      <w:ind w:left="-2268"/>
    </w:pPr>
    <w:rPr>
      <w:b/>
    </w:rPr>
  </w:style>
  <w:style w:type="paragraph" w:customStyle="1" w:styleId="Heading1TOC">
    <w:name w:val="Heading1 TOC"/>
    <w:basedOn w:val="Normal"/>
    <w:qFormat/>
    <w:rsid w:val="00584A56"/>
    <w:pPr>
      <w:spacing w:before="240" w:after="120"/>
    </w:pPr>
    <w:rPr>
      <w:rFonts w:ascii="Times New Roman" w:hAnsi="Times New Roman"/>
      <w:b/>
      <w:sz w:val="32"/>
    </w:rPr>
  </w:style>
  <w:style w:type="paragraph" w:customStyle="1" w:styleId="Heading2TOC">
    <w:name w:val="Heading2 TOC"/>
    <w:basedOn w:val="Normal"/>
    <w:qFormat/>
    <w:rsid w:val="00584A56"/>
    <w:pPr>
      <w:spacing w:before="240" w:after="60"/>
    </w:pPr>
    <w:rPr>
      <w:rFonts w:ascii="Times New Roman" w:hAnsi="Times New Roman"/>
      <w:b/>
      <w:sz w:val="28"/>
    </w:rPr>
  </w:style>
  <w:style w:type="character" w:customStyle="1" w:styleId="Underline">
    <w:name w:val="Underline"/>
    <w:qFormat/>
    <w:rsid w:val="00584A56"/>
    <w:rPr>
      <w:u w:val="single"/>
    </w:rPr>
  </w:style>
  <w:style w:type="paragraph" w:styleId="BalloonText">
    <w:name w:val="Balloon Text"/>
    <w:basedOn w:val="Normal"/>
    <w:link w:val="BalloonTextChar"/>
    <w:rsid w:val="00584A56"/>
    <w:rPr>
      <w:rFonts w:ascii="Tahoma" w:hAnsi="Tahoma" w:cs="Tahoma"/>
      <w:sz w:val="16"/>
      <w:szCs w:val="16"/>
    </w:rPr>
  </w:style>
  <w:style w:type="character" w:customStyle="1" w:styleId="BalloonTextChar">
    <w:name w:val="Balloon Text Char"/>
    <w:link w:val="BalloonText"/>
    <w:rsid w:val="00584A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4A5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84A5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1726</Words>
  <Characters>10997</Characters>
  <Application>Microsoft Office Word</Application>
  <DocSecurity>0</DocSecurity>
  <Lines>373</Lines>
  <Paragraphs>226</Paragraphs>
  <ScaleCrop>false</ScaleCrop>
  <Company>Author-it Software Corporation Ltd.</Company>
  <LinksUpToDate>false</LinksUpToDate>
  <CharactersWithSpaces>12636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CPPFES2035A Identify, inspect and test fire and smoke doors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2012-05-26T06:15:00Z</dcterms:created>
  <dcterms:modified xsi:type="dcterms:W3CDTF">2012-05-26T06:16:00Z</dcterms:modified>
</cp:coreProperties>
</file>