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360" w:rsidP="00924360">
      <w:pPr>
        <w:pStyle w:val="Title"/>
      </w:pPr>
      <w:r>
        <w:fldChar w:fldCharType="begin"/>
      </w:r>
      <w:r>
        <w:instrText xml:space="preserve"> TITLE   \* MERGEFORMAT </w:instrText>
      </w:r>
      <w:r>
        <w:fldChar w:fldCharType="separate"/>
      </w:r>
      <w:r>
        <w:t>CPPFES2011A Install portable fire extinguishers and fire blankets</w:t>
      </w:r>
      <w:r>
        <w:fldChar w:fldCharType="end"/>
      </w:r>
    </w:p>
    <w:p w:rsidR="00924360" w:rsidP="00924360">
      <w:pPr>
        <w:pStyle w:val="Version"/>
        <w:sectPr w:rsidSect="000E6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A2E" w:rsidP="000E6A2E">
      <w:pPr>
        <w:pStyle w:val="SuperHeading"/>
      </w:pPr>
      <w:r w:rsidRPr="000E6A2E">
        <w:t>CPPFES2011A Install portable fire extinguishers and fire blankets</w:t>
      </w:r>
    </w:p>
    <w:p w:rsidR="00000000" w:rsidRPr="000E6A2E" w:rsidP="000E6A2E">
      <w:pPr>
        <w:pStyle w:val="Heading1"/>
      </w:pPr>
      <w:bookmarkStart w:id="1" w:name="O_359487"/>
      <w:bookmarkEnd w:id="1"/>
      <w:r w:rsidRPr="000E6A2E">
        <w:t>Modification History</w:t>
      </w:r>
    </w:p>
    <w:p w:rsidR="00000000" w:rsidRPr="000E6A2E" w:rsidP="000E6A2E">
      <w:pPr>
        <w:pStyle w:val="BodyText"/>
      </w:pPr>
      <w:r w:rsidRPr="000E6A2E">
        <w:t>Revised unit</w:t>
      </w:r>
    </w:p>
    <w:p w:rsidR="00000000" w:rsidRPr="000E6A2E" w:rsidP="000E6A2E">
      <w:pPr>
        <w:pStyle w:val="BodyText"/>
      </w:pPr>
      <w:r w:rsidRPr="000E6A2E">
        <w:t>Element structure and performance criteria changed to reflect workplace requirements</w:t>
      </w:r>
    </w:p>
    <w:p w:rsidR="00000000" w:rsidRPr="000E6A2E" w:rsidP="000E6A2E">
      <w:pPr>
        <w:pStyle w:val="BodyText"/>
      </w:pPr>
      <w:r w:rsidRPr="000E6A2E">
        <w:t>All references to smoke alarms removed</w:t>
      </w:r>
    </w:p>
    <w:p w:rsidR="00000000" w:rsidRPr="000E6A2E" w:rsidP="000E6A2E">
      <w:pPr>
        <w:pStyle w:val="BodyText"/>
      </w:pPr>
      <w:r w:rsidRPr="000E6A2E">
        <w:t>Skills and kn</w:t>
      </w:r>
      <w:r w:rsidRPr="000E6A2E">
        <w:t>owledge requirements and the range statement updated</w:t>
      </w:r>
    </w:p>
    <w:p w:rsidR="00924360" w:rsidP="000E6A2E">
      <w:pPr>
        <w:pStyle w:val="BodyText"/>
      </w:pPr>
      <w:r w:rsidRPr="000E6A2E">
        <w:t>Unit based on PRMPFES11B Install portable fire extinguishers, fire blankets and smoke alarms</w:t>
      </w:r>
    </w:p>
    <w:p w:rsidR="00924360" w:rsidP="000E6A2E">
      <w:pPr>
        <w:pStyle w:val="BodyText"/>
      </w:pPr>
    </w:p>
    <w:p w:rsidR="00000000" w:rsidRPr="000E6A2E" w:rsidP="000E6A2E">
      <w:pPr>
        <w:pStyle w:val="Heading1"/>
      </w:pPr>
      <w:bookmarkStart w:id="2" w:name="O_359488"/>
      <w:bookmarkEnd w:id="2"/>
      <w:r w:rsidRPr="000E6A2E">
        <w:t>Unit Descriptor</w:t>
      </w:r>
    </w:p>
    <w:p w:rsidR="00924360" w:rsidP="000E6A2E">
      <w:pPr>
        <w:pStyle w:val="BodyText"/>
      </w:pPr>
      <w:r w:rsidRPr="000E6A2E">
        <w:t xml:space="preserve">This unit of competency specifies the outcomes required to install portable </w:t>
      </w:r>
      <w:r w:rsidRPr="000E6A2E">
        <w:t xml:space="preserve">fire extinguishers and fire blankets at a customer’s premises. </w:t>
      </w:r>
    </w:p>
    <w:p w:rsidR="00924360" w:rsidP="000E6A2E">
      <w:pPr>
        <w:pStyle w:val="BodyText"/>
      </w:pPr>
    </w:p>
    <w:p w:rsidR="00000000" w:rsidRPr="000E6A2E" w:rsidP="000E6A2E">
      <w:pPr>
        <w:pStyle w:val="Heading1"/>
      </w:pPr>
      <w:bookmarkStart w:id="3" w:name="O_359489"/>
      <w:bookmarkEnd w:id="3"/>
      <w:r w:rsidRPr="000E6A2E">
        <w:t>Application of the Unit</w:t>
      </w:r>
    </w:p>
    <w:p w:rsidR="00000000" w:rsidRPr="000E6A2E" w:rsidP="000E6A2E">
      <w:pPr>
        <w:pStyle w:val="BodyText"/>
      </w:pPr>
      <w:r w:rsidRPr="000E6A2E">
        <w:t>This unit of competency supports fire service technicians responsible for installing portable fire extinguishers and fire blankets.</w:t>
      </w:r>
    </w:p>
    <w:p w:rsidR="00000000" w:rsidRPr="000E6A2E" w:rsidP="000E6A2E">
      <w:pPr>
        <w:pStyle w:val="AllowPageBreak"/>
      </w:pPr>
    </w:p>
    <w:p w:rsidR="00000000" w:rsidRPr="000E6A2E" w:rsidP="000E6A2E">
      <w:pPr>
        <w:pStyle w:val="Heading1"/>
      </w:pPr>
      <w:bookmarkStart w:id="4" w:name="O_359490"/>
      <w:bookmarkEnd w:id="4"/>
      <w:r w:rsidRPr="000E6A2E">
        <w:t>Licensing/Regulatory Information</w:t>
      </w:r>
    </w:p>
    <w:p w:rsidR="00000000" w:rsidRPr="000E6A2E" w:rsidP="000E6A2E">
      <w:pPr>
        <w:pStyle w:val="BodyText"/>
      </w:pPr>
      <w:r w:rsidRPr="000E6A2E">
        <w:t>Work in this area must be completed according to relevant legislative, industry, customer and organisational requirements, including occupational health and safety (OHS) policies and procedures.</w:t>
      </w:r>
    </w:p>
    <w:p w:rsidR="00000000" w:rsidRPr="000E6A2E" w:rsidP="000E6A2E">
      <w:pPr>
        <w:pStyle w:val="BodyText"/>
      </w:pPr>
      <w:r w:rsidRPr="000E6A2E">
        <w:t>Different states and territo</w:t>
      </w:r>
      <w:r w:rsidRPr="000E6A2E">
        <w:t>ries may have regulatory mechanisms that apply to this unit. Candidates are advised to check for regulatory limitations.</w:t>
      </w:r>
    </w:p>
    <w:p w:rsidR="00000000" w:rsidRPr="000E6A2E" w:rsidP="000E6A2E">
      <w:pPr>
        <w:pStyle w:val="AllowPageBreak"/>
      </w:pPr>
    </w:p>
    <w:p w:rsidR="00000000" w:rsidRPr="000E6A2E" w:rsidP="000E6A2E">
      <w:pPr>
        <w:pStyle w:val="Heading1"/>
      </w:pPr>
      <w:bookmarkStart w:id="5" w:name="O_359491"/>
      <w:bookmarkEnd w:id="5"/>
      <w:r w:rsidRPr="000E6A2E">
        <w:t>Pre-Requisites</w:t>
      </w:r>
    </w:p>
    <w:p w:rsidR="00000000" w:rsidRPr="000E6A2E" w:rsidP="000E6A2E">
      <w:pPr>
        <w:pStyle w:val="BodyText"/>
      </w:pPr>
      <w:r w:rsidRPr="000E6A2E">
        <w:t>Not applicable.</w:t>
      </w:r>
    </w:p>
    <w:p w:rsidR="00000000" w:rsidRPr="000E6A2E" w:rsidP="000E6A2E">
      <w:pPr>
        <w:pStyle w:val="AllowPageBreak"/>
      </w:pPr>
    </w:p>
    <w:p w:rsidR="00000000" w:rsidRPr="000E6A2E" w:rsidP="000E6A2E">
      <w:pPr>
        <w:pStyle w:val="Heading1"/>
      </w:pPr>
      <w:bookmarkStart w:id="6" w:name="O_359492"/>
      <w:bookmarkEnd w:id="6"/>
      <w:r w:rsidRPr="000E6A2E">
        <w:t>Employability Skills Information</w:t>
      </w:r>
    </w:p>
    <w:p w:rsidR="00000000" w:rsidRPr="000E6A2E" w:rsidP="000E6A2E">
      <w:pPr>
        <w:pStyle w:val="BodyText"/>
      </w:pPr>
      <w:r w:rsidRPr="000E6A2E">
        <w:t>This unit contains employability skil</w:t>
      </w:r>
      <w:r w:rsidRPr="000E6A2E">
        <w:t>ls.</w:t>
      </w:r>
    </w:p>
    <w:p w:rsidR="00000000" w:rsidRPr="000E6A2E" w:rsidP="000E6A2E">
      <w:pPr>
        <w:pStyle w:val="AllowPageBreak"/>
      </w:pPr>
    </w:p>
    <w:p w:rsidR="00000000" w:rsidRPr="000E6A2E" w:rsidP="000E6A2E">
      <w:pPr>
        <w:pStyle w:val="Heading1"/>
      </w:pPr>
      <w:bookmarkStart w:id="7" w:name="O_359493"/>
      <w:bookmarkEnd w:id="7"/>
      <w:r w:rsidRPr="000E6A2E">
        <w:t>Elements and Performance Criteria Pre-Content</w:t>
      </w:r>
    </w:p>
    <w:tbl>
      <w:tblPr>
        <w:tblW w:w="0" w:type="auto"/>
        <w:tblLayout w:type="fixed"/>
        <w:tblCellMar>
          <w:left w:w="62" w:type="dxa"/>
          <w:right w:w="62" w:type="dxa"/>
        </w:tblCellMar>
        <w:tblLook w:val="0000"/>
      </w:tblPr>
      <w:tblGrid>
        <w:gridCol w:w="2640"/>
        <w:gridCol w:w="6380"/>
      </w:tblGrid>
      <w:tr w:rsidTr="000E6A2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Performance criteria describe the performance needed to demonstrate achievement of the element. Where bold italicised text is used, further information is detailed in the required skills and knowledge section and the range statement. Assessment of performa</w:t>
            </w:r>
            <w:r w:rsidRPr="000E6A2E">
              <w:t>nce is to be consistent with the evidence guide.</w:t>
            </w:r>
          </w:p>
        </w:tc>
      </w:tr>
    </w:tbl>
    <w:p w:rsidR="00924360" w:rsidP="000E6A2E">
      <w:pPr>
        <w:pStyle w:val="BodyText"/>
      </w:pPr>
    </w:p>
    <w:p w:rsidR="00924360" w:rsidP="000E6A2E">
      <w:pPr>
        <w:pStyle w:val="BodyText"/>
      </w:pPr>
    </w:p>
    <w:p w:rsidR="00000000" w:rsidRPr="000E6A2E" w:rsidP="000E6A2E">
      <w:pPr>
        <w:pStyle w:val="Heading1"/>
      </w:pPr>
      <w:bookmarkStart w:id="8" w:name="O_359494"/>
      <w:bookmarkEnd w:id="8"/>
      <w:r w:rsidRPr="000E6A2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1</w:t>
            </w:r>
          </w:p>
        </w:tc>
        <w:tc>
          <w:tcPr>
            <w:tcW w:w="1962" w:type="dxa"/>
            <w:vMerge w:val="restart"/>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Apply rules and regulations to installation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1.1</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 xml:space="preserve">Requirements of relevant </w:t>
            </w:r>
            <w:r w:rsidRPr="000E6A2E">
              <w:rPr>
                <w:rStyle w:val="BoldandItalics"/>
              </w:rPr>
              <w:t>rules and regulations</w:t>
            </w:r>
            <w:r w:rsidRPr="000E6A2E">
              <w:t xml:space="preserve"> are </w:t>
            </w:r>
            <w:r w:rsidRPr="000E6A2E">
              <w:rPr>
                <w:rStyle w:val="BoldandItalics"/>
              </w:rPr>
              <w:t>confirmed</w:t>
            </w:r>
            <w:r w:rsidRPr="000E6A2E">
              <w:t xml:space="preserve"> and applied to </w:t>
            </w:r>
            <w:r w:rsidRPr="000E6A2E">
              <w:rPr>
                <w:rStyle w:val="BoldandItalics"/>
              </w:rPr>
              <w:t>work procedures</w:t>
            </w:r>
            <w:r w:rsidRPr="000E6A2E">
              <w:t>.</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1.2</w:t>
            </w:r>
          </w:p>
        </w:tc>
        <w:tc>
          <w:tcPr>
            <w:tcW w:w="561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rPr>
                <w:rStyle w:val="BoldandItalics"/>
              </w:rPr>
              <w:t>Compliance requirements are checked</w:t>
            </w:r>
            <w:r w:rsidRPr="000E6A2E">
              <w:t xml:space="preserve"> and </w:t>
            </w:r>
            <w:r w:rsidRPr="000E6A2E">
              <w:rPr>
                <w:rStyle w:val="BoldandItalics"/>
              </w:rPr>
              <w:t>action</w:t>
            </w:r>
            <w:r w:rsidRPr="000E6A2E">
              <w:t xml:space="preserve"> is taken according to </w:t>
            </w:r>
            <w:r w:rsidRPr="000E6A2E">
              <w:rPr>
                <w:rStyle w:val="BoldandItalics"/>
              </w:rPr>
              <w:t>organisational policies and procedures</w:t>
            </w:r>
            <w:r w:rsidRPr="000E6A2E">
              <w:t>.</w:t>
            </w:r>
          </w:p>
        </w:tc>
      </w:tr>
    </w:tbl>
    <w:p w:rsidR="00000000" w:rsidRPr="000E6A2E" w:rsidP="000E6A2E">
      <w:pPr>
        <w:pStyle w:val="BodyText"/>
      </w:pPr>
    </w:p>
    <w:tbl>
      <w:tblPr>
        <w:tblW w:w="0" w:type="auto"/>
        <w:tblLayout w:type="fixed"/>
        <w:tblCellMar>
          <w:left w:w="62" w:type="dxa"/>
          <w:right w:w="62" w:type="dxa"/>
        </w:tblCellMar>
        <w:tblLook w:val="0000"/>
      </w:tblPr>
      <w:tblGrid>
        <w:gridCol w:w="678"/>
        <w:gridCol w:w="1962"/>
        <w:gridCol w:w="770"/>
        <w:gridCol w:w="5610"/>
      </w:tblGrid>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2</w:t>
            </w:r>
          </w:p>
        </w:tc>
        <w:tc>
          <w:tcPr>
            <w:tcW w:w="1962" w:type="dxa"/>
            <w:vMerge w:val="restart"/>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Install portable fire extinguishers.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2.1</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Work permits are obtained prior to entering customer premises.</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2.2</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Extinguisher is selected according to hazard present in the area to be protected, and installation site compliance with requirements of relevant Australian standards is confirmed.</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2.3</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Fire extinguisher mounting brackets and fire extinguisher are fixed s</w:t>
            </w:r>
            <w:r w:rsidRPr="000E6A2E">
              <w:t xml:space="preserve">ecurely to </w:t>
            </w:r>
            <w:r w:rsidRPr="000E6A2E">
              <w:rPr>
                <w:rStyle w:val="BoldandItalics"/>
              </w:rPr>
              <w:t>location surface</w:t>
            </w:r>
            <w:r w:rsidRPr="000E6A2E">
              <w:t xml:space="preserve"> according to work procedures, </w:t>
            </w:r>
            <w:r w:rsidRPr="000E6A2E">
              <w:rPr>
                <w:rStyle w:val="BoldandItalics"/>
              </w:rPr>
              <w:t>customer requirements</w:t>
            </w:r>
            <w:r w:rsidRPr="000E6A2E">
              <w:t xml:space="preserve"> and manufacturers’ specifications.</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2.4</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Approved extinguisher location signs are positioned levelly and according to requirements of relevant Australian standards.</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2.5</w:t>
            </w:r>
          </w:p>
        </w:tc>
        <w:tc>
          <w:tcPr>
            <w:tcW w:w="561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Extinguisher is commissioned, including initial inspection, testing and tagging routine, according to relevant Australian standards.</w:t>
            </w:r>
          </w:p>
        </w:tc>
      </w:tr>
    </w:tbl>
    <w:p w:rsidR="00000000" w:rsidRPr="000E6A2E" w:rsidP="000E6A2E">
      <w:pPr>
        <w:pStyle w:val="BodyText"/>
      </w:pPr>
    </w:p>
    <w:tbl>
      <w:tblPr>
        <w:tblW w:w="0" w:type="auto"/>
        <w:tblLayout w:type="fixed"/>
        <w:tblCellMar>
          <w:left w:w="62" w:type="dxa"/>
          <w:right w:w="62" w:type="dxa"/>
        </w:tblCellMar>
        <w:tblLook w:val="0000"/>
      </w:tblPr>
      <w:tblGrid>
        <w:gridCol w:w="678"/>
        <w:gridCol w:w="1962"/>
        <w:gridCol w:w="770"/>
        <w:gridCol w:w="5610"/>
      </w:tblGrid>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3</w:t>
            </w:r>
          </w:p>
        </w:tc>
        <w:tc>
          <w:tcPr>
            <w:tcW w:w="1962" w:type="dxa"/>
            <w:vMerge w:val="restart"/>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Install portable fire extinguisher and fire cabinet combinations.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3.1</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 xml:space="preserve">Installation site is confirmed as conforming to </w:t>
            </w:r>
            <w:r w:rsidRPr="000E6A2E">
              <w:t>requirements of relevant Australian standards.</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3.2</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rPr>
                <w:rStyle w:val="BoldandItalics"/>
              </w:rPr>
              <w:t>Fire cabinet</w:t>
            </w:r>
            <w:r w:rsidRPr="000E6A2E">
              <w:t xml:space="preserve"> is installed levelly using </w:t>
            </w:r>
            <w:r w:rsidRPr="000E6A2E">
              <w:rPr>
                <w:rStyle w:val="BoldandItalics"/>
              </w:rPr>
              <w:t>fasteners</w:t>
            </w:r>
            <w:r w:rsidRPr="000E6A2E">
              <w:t xml:space="preserve"> appropriate to location surface.</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3.3</w:t>
            </w:r>
          </w:p>
        </w:tc>
        <w:tc>
          <w:tcPr>
            <w:tcW w:w="561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Approved fire extinguisher location and identification signage and labelling are provided and positioned level, according to requirements of relevant Australian standards.</w:t>
            </w:r>
          </w:p>
        </w:tc>
      </w:tr>
    </w:tbl>
    <w:p w:rsidR="00000000" w:rsidRPr="000E6A2E" w:rsidP="000E6A2E">
      <w:pPr>
        <w:pStyle w:val="BodyText"/>
      </w:pPr>
    </w:p>
    <w:tbl>
      <w:tblPr>
        <w:tblW w:w="0" w:type="auto"/>
        <w:tblLayout w:type="fixed"/>
        <w:tblCellMar>
          <w:left w:w="62" w:type="dxa"/>
          <w:right w:w="62" w:type="dxa"/>
        </w:tblCellMar>
        <w:tblLook w:val="0000"/>
      </w:tblPr>
      <w:tblGrid>
        <w:gridCol w:w="678"/>
        <w:gridCol w:w="1962"/>
        <w:gridCol w:w="770"/>
        <w:gridCol w:w="5610"/>
      </w:tblGrid>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4</w:t>
            </w:r>
          </w:p>
        </w:tc>
        <w:tc>
          <w:tcPr>
            <w:tcW w:w="1962" w:type="dxa"/>
            <w:vMerge w:val="restart"/>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Install fire blankets.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4.1</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Installation site is confirmed as appropriate according to relevant Australian standards and manufacturers’ specifications.</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4.2</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Fire blankets are installed using fasteners appropriate to location surface.</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4.3</w:t>
            </w:r>
          </w:p>
        </w:tc>
        <w:tc>
          <w:tcPr>
            <w:tcW w:w="561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Fire blanket location signs are installed</w:t>
            </w:r>
            <w:r w:rsidRPr="000E6A2E">
              <w:t xml:space="preserve"> using appropriate fasteners or adhesives, and situated according to requirements of relevant Australian standards.</w:t>
            </w:r>
          </w:p>
        </w:tc>
      </w:tr>
    </w:tbl>
    <w:p w:rsidR="00000000" w:rsidRPr="000E6A2E" w:rsidP="000E6A2E">
      <w:pPr>
        <w:pStyle w:val="BodyText"/>
      </w:pPr>
    </w:p>
    <w:tbl>
      <w:tblPr>
        <w:tblW w:w="0" w:type="auto"/>
        <w:tblLayout w:type="fixed"/>
        <w:tblCellMar>
          <w:left w:w="62" w:type="dxa"/>
          <w:right w:w="62" w:type="dxa"/>
        </w:tblCellMar>
        <w:tblLook w:val="0000"/>
      </w:tblPr>
      <w:tblGrid>
        <w:gridCol w:w="678"/>
        <w:gridCol w:w="1962"/>
        <w:gridCol w:w="770"/>
        <w:gridCol w:w="5610"/>
      </w:tblGrid>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5</w:t>
            </w:r>
          </w:p>
        </w:tc>
        <w:tc>
          <w:tcPr>
            <w:tcW w:w="1962" w:type="dxa"/>
            <w:vMerge w:val="restart"/>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Finalise work.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5.1</w:t>
            </w:r>
          </w:p>
        </w:tc>
        <w:tc>
          <w:tcPr>
            <w:tcW w:w="5610"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Customer premises are left in a clean and tidy condition on completion of installation functions.</w:t>
            </w:r>
          </w:p>
        </w:tc>
      </w:tr>
      <w:tr w:rsidTr="000E6A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t>5.2</w:t>
            </w:r>
          </w:p>
        </w:tc>
        <w:tc>
          <w:tcPr>
            <w:tcW w:w="5610" w:type="dxa"/>
            <w:tcBorders>
              <w:top w:val="nil"/>
              <w:left w:val="nil"/>
              <w:bottom w:val="nil"/>
              <w:right w:val="nil"/>
            </w:tcBorders>
            <w:tcMar>
              <w:top w:w="0" w:type="dxa"/>
              <w:left w:w="62" w:type="dxa"/>
              <w:bottom w:w="0" w:type="dxa"/>
              <w:right w:w="62" w:type="dxa"/>
            </w:tcMar>
          </w:tcPr>
          <w:p w:rsidR="00000000" w:rsidRPr="000E6A2E" w:rsidP="000E6A2E">
            <w:pPr>
              <w:pStyle w:val="BodyText"/>
            </w:pPr>
            <w:r w:rsidRPr="000E6A2E">
              <w:rPr>
                <w:rStyle w:val="BoldandItalics"/>
              </w:rPr>
              <w:t>Documentation</w:t>
            </w:r>
            <w:r w:rsidRPr="000E6A2E">
              <w:t xml:space="preserve"> is completed and distributed according to organisational requirements.</w:t>
            </w:r>
          </w:p>
        </w:tc>
      </w:tr>
    </w:tbl>
    <w:p w:rsidR="00000000" w:rsidRPr="000E6A2E" w:rsidP="000E6A2E">
      <w:pPr>
        <w:pStyle w:val="BodyText"/>
      </w:pPr>
    </w:p>
    <w:p w:rsidR="00000000" w:rsidRPr="000E6A2E" w:rsidP="000E6A2E">
      <w:pPr>
        <w:pStyle w:val="AllowPageBreak"/>
      </w:pPr>
    </w:p>
    <w:p w:rsidR="00000000" w:rsidRPr="000E6A2E" w:rsidP="000E6A2E">
      <w:pPr>
        <w:pStyle w:val="Heading1"/>
      </w:pPr>
      <w:bookmarkStart w:id="9" w:name="O_359495"/>
      <w:bookmarkEnd w:id="9"/>
      <w:r w:rsidRPr="000E6A2E">
        <w:t>Required Skills and Knowledge</w:t>
      </w:r>
    </w:p>
    <w:tbl>
      <w:tblPr>
        <w:tblW w:w="9462" w:type="dxa"/>
        <w:tblLayout w:type="fixed"/>
        <w:tblCellMar>
          <w:left w:w="62" w:type="dxa"/>
          <w:right w:w="62" w:type="dxa"/>
        </w:tblCellMar>
        <w:tblLook w:val="0000"/>
      </w:tblPr>
      <w:tblGrid>
        <w:gridCol w:w="9462"/>
      </w:tblGrid>
      <w:tr w:rsidTr="000E6A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t>This section describes the skills and knowledge required for this unit.</w:t>
            </w:r>
          </w:p>
        </w:tc>
      </w:tr>
      <w:tr w:rsidTr="000E6A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rPr>
                <w:rStyle w:val="SpecialBold"/>
              </w:rPr>
              <w:t>Required skills</w:t>
            </w:r>
          </w:p>
        </w:tc>
      </w:tr>
      <w:tr w:rsidTr="000E6A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6A2E" w:rsidP="000E6A2E">
            <w:pPr>
              <w:pStyle w:val="ListBullet"/>
            </w:pPr>
            <w:r w:rsidRPr="000E6A2E">
              <w:t xml:space="preserve">customer service skills </w:t>
            </w:r>
          </w:p>
          <w:p w:rsidR="00000000" w:rsidRPr="000E6A2E" w:rsidP="000E6A2E">
            <w:pPr>
              <w:pStyle w:val="ListBullet"/>
            </w:pPr>
            <w:r w:rsidRPr="000E6A2E">
              <w:t>language, literacy and numeracy skills to:</w:t>
            </w:r>
          </w:p>
          <w:p w:rsidR="00000000" w:rsidRPr="000E6A2E" w:rsidP="000E6A2E">
            <w:pPr>
              <w:pStyle w:val="ListBullet2"/>
            </w:pPr>
            <w:r w:rsidRPr="000E6A2E">
              <w:t>communicate with others in a clear and concise manner, verbally and in writing</w:t>
            </w:r>
          </w:p>
          <w:p w:rsidR="00000000" w:rsidRPr="000E6A2E" w:rsidP="000E6A2E">
            <w:pPr>
              <w:pStyle w:val="ListBullet2"/>
            </w:pPr>
            <w:r w:rsidRPr="000E6A2E">
              <w:t>record and report information neatly and legibly</w:t>
            </w:r>
          </w:p>
          <w:p w:rsidR="00000000" w:rsidRPr="000E6A2E" w:rsidP="000E6A2E">
            <w:pPr>
              <w:pStyle w:val="ListBullet2"/>
            </w:pPr>
            <w:r w:rsidRPr="000E6A2E">
              <w:t>read and comply with work instructions and specifications</w:t>
            </w:r>
          </w:p>
          <w:p w:rsidR="00000000" w:rsidRPr="000E6A2E" w:rsidP="000E6A2E">
            <w:pPr>
              <w:pStyle w:val="ListBullet2"/>
            </w:pPr>
            <w:r w:rsidRPr="000E6A2E">
              <w:t>read and record measurements</w:t>
            </w:r>
          </w:p>
          <w:p w:rsidR="00000000" w:rsidRPr="000E6A2E" w:rsidP="000E6A2E">
            <w:pPr>
              <w:pStyle w:val="ListBullet"/>
            </w:pPr>
            <w:r w:rsidRPr="000E6A2E">
              <w:t xml:space="preserve">planning and organising skills to: </w:t>
            </w:r>
          </w:p>
          <w:p w:rsidR="00000000" w:rsidRPr="000E6A2E" w:rsidP="000E6A2E">
            <w:pPr>
              <w:pStyle w:val="ListBullet2"/>
            </w:pPr>
            <w:r w:rsidRPr="000E6A2E">
              <w:t>estimate time to complete activities</w:t>
            </w:r>
          </w:p>
          <w:p w:rsidR="00000000" w:rsidRPr="000E6A2E" w:rsidP="000E6A2E">
            <w:pPr>
              <w:pStyle w:val="ListBullet2"/>
            </w:pPr>
            <w:r w:rsidRPr="000E6A2E">
              <w:t>prioritise tasks</w:t>
            </w:r>
          </w:p>
          <w:p w:rsidR="00000000" w:rsidRPr="000E6A2E" w:rsidP="000E6A2E">
            <w:pPr>
              <w:pStyle w:val="ListBullet"/>
            </w:pPr>
            <w:r w:rsidRPr="000E6A2E">
              <w:t>interpersonal skills to relate to people from a range of social and cultural backgrounds</w:t>
            </w:r>
          </w:p>
          <w:p w:rsidR="00000000" w:rsidRPr="000E6A2E" w:rsidP="000E6A2E">
            <w:pPr>
              <w:pStyle w:val="ListBullet"/>
            </w:pPr>
            <w:r w:rsidRPr="000E6A2E">
              <w:t xml:space="preserve">skills to work safely when: </w:t>
            </w:r>
          </w:p>
          <w:p w:rsidR="00000000" w:rsidRPr="000E6A2E" w:rsidP="000E6A2E">
            <w:pPr>
              <w:pStyle w:val="ListBullet2"/>
            </w:pPr>
            <w:r w:rsidRPr="000E6A2E">
              <w:t>applying workpl</w:t>
            </w:r>
            <w:r w:rsidRPr="000E6A2E">
              <w:t>ace housekeeping procedures</w:t>
            </w:r>
          </w:p>
          <w:p w:rsidR="00000000" w:rsidRPr="000E6A2E" w:rsidP="000E6A2E">
            <w:pPr>
              <w:pStyle w:val="ListBullet2"/>
            </w:pPr>
            <w:r w:rsidRPr="000E6A2E">
              <w:t>applying safe work methods</w:t>
            </w:r>
          </w:p>
          <w:p w:rsidR="00000000" w:rsidP="000E6A2E">
            <w:pPr>
              <w:pStyle w:val="ListBullet2"/>
              <w:rPr>
                <w:lang w:val="en-NZ"/>
              </w:rPr>
            </w:pPr>
            <w:r w:rsidRPr="000E6A2E">
              <w:t>using hand and power tools</w:t>
            </w:r>
          </w:p>
        </w:tc>
      </w:tr>
      <w:tr w:rsidTr="000E6A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E6A2E">
            <w:pPr>
              <w:pStyle w:val="BodyText"/>
              <w:rPr>
                <w:lang w:val="en-NZ"/>
              </w:rPr>
            </w:pPr>
            <w:r w:rsidRPr="000E6A2E">
              <w:rPr>
                <w:rStyle w:val="SpecialBold"/>
              </w:rPr>
              <w:t>Required knowledge</w:t>
            </w:r>
          </w:p>
        </w:tc>
      </w:tr>
      <w:tr w:rsidTr="000E6A2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E6A2E" w:rsidP="000E6A2E">
            <w:pPr>
              <w:pStyle w:val="ListBullet"/>
            </w:pPr>
            <w:r w:rsidRPr="000E6A2E">
              <w:t>action to take when a breach of health, safety or other policy occurs</w:t>
            </w:r>
          </w:p>
          <w:p w:rsidR="00000000" w:rsidRPr="000E6A2E" w:rsidP="000E6A2E">
            <w:pPr>
              <w:pStyle w:val="ListBullet"/>
            </w:pPr>
            <w:r w:rsidRPr="000E6A2E">
              <w:t>key features of legislation, regulations and codes applicable to selection, positioning and installation of portable fire extinguishers and fire blankets to meet hazard present in the area to be protected</w:t>
            </w:r>
          </w:p>
          <w:p w:rsidR="00000000" w:rsidRPr="000E6A2E" w:rsidP="000E6A2E">
            <w:pPr>
              <w:pStyle w:val="ListBullet"/>
            </w:pPr>
            <w:r w:rsidRPr="000E6A2E">
              <w:t>importance of compliance with legislation and stand</w:t>
            </w:r>
            <w:r w:rsidRPr="000E6A2E">
              <w:t>ards, and implications of:</w:t>
            </w:r>
          </w:p>
          <w:p w:rsidR="00000000" w:rsidRPr="000E6A2E" w:rsidP="000E6A2E">
            <w:pPr>
              <w:pStyle w:val="ListBullet2"/>
            </w:pPr>
            <w:r w:rsidRPr="000E6A2E">
              <w:t>not applying legislative requirements to job functions</w:t>
            </w:r>
          </w:p>
          <w:p w:rsidR="00000000" w:rsidRPr="000E6A2E" w:rsidP="000E6A2E">
            <w:pPr>
              <w:pStyle w:val="ListBullet2"/>
            </w:pPr>
            <w:r w:rsidRPr="000E6A2E">
              <w:t>incorrectly determining the installation site for a fire blanket</w:t>
            </w:r>
          </w:p>
          <w:p w:rsidR="00000000" w:rsidRPr="000E6A2E" w:rsidP="000E6A2E">
            <w:pPr>
              <w:pStyle w:val="ListBullet2"/>
            </w:pPr>
            <w:r w:rsidRPr="000E6A2E">
              <w:t>incorrectly locating fire extinguishers and fire blankets</w:t>
            </w:r>
          </w:p>
          <w:p w:rsidR="00000000" w:rsidRPr="000E6A2E" w:rsidP="000E6A2E">
            <w:pPr>
              <w:pStyle w:val="ListBullet"/>
            </w:pPr>
            <w:r w:rsidRPr="000E6A2E">
              <w:t>methods for determining the correct installation site for fire blankets</w:t>
            </w:r>
          </w:p>
          <w:p w:rsidR="00000000" w:rsidRPr="000E6A2E" w:rsidP="000E6A2E">
            <w:pPr>
              <w:pStyle w:val="ListBullet"/>
            </w:pPr>
            <w:r w:rsidRPr="000E6A2E">
              <w:t>methods for locating hidden 240-volt power cables, gas pipes, water pipes and other relevant utilities</w:t>
            </w:r>
          </w:p>
          <w:p w:rsidR="00000000" w:rsidRPr="000E6A2E" w:rsidP="000E6A2E">
            <w:pPr>
              <w:pStyle w:val="ListBullet"/>
            </w:pPr>
            <w:r w:rsidRPr="000E6A2E">
              <w:t>purpose of the Building Code of Australia (BCA) and ‘deemed to comply’ requiremen</w:t>
            </w:r>
            <w:r w:rsidRPr="000E6A2E">
              <w:t>ts relevant to installation of extinguishers and fire blankets</w:t>
            </w:r>
          </w:p>
          <w:p w:rsidR="00000000" w:rsidRPr="000E6A2E" w:rsidP="000E6A2E">
            <w:pPr>
              <w:pStyle w:val="ListBullet"/>
            </w:pPr>
            <w:r w:rsidRPr="000E6A2E">
              <w:t>reasons for installing portable fire extinguishers in fire cabinets</w:t>
            </w:r>
          </w:p>
          <w:p w:rsidR="00000000" w:rsidRPr="000E6A2E" w:rsidP="000E6A2E">
            <w:pPr>
              <w:pStyle w:val="ListBullet"/>
            </w:pPr>
            <w:r w:rsidRPr="000E6A2E">
              <w:t>special requirements of aggressive environments, such as those with high moisture, dust levels or acidity</w:t>
            </w:r>
          </w:p>
        </w:tc>
      </w:tr>
    </w:tbl>
    <w:p w:rsidR="00000000" w:rsidRPr="000E6A2E" w:rsidP="000E6A2E">
      <w:pPr>
        <w:pStyle w:val="BodyText"/>
      </w:pPr>
    </w:p>
    <w:p w:rsidR="00000000" w:rsidRPr="000E6A2E" w:rsidP="000E6A2E">
      <w:pPr>
        <w:pStyle w:val="AllowPageBreak"/>
      </w:pPr>
    </w:p>
    <w:p w:rsidR="00000000" w:rsidRPr="000E6A2E" w:rsidP="000E6A2E">
      <w:pPr>
        <w:pStyle w:val="Heading1"/>
      </w:pPr>
      <w:bookmarkStart w:id="10" w:name="O_359496"/>
      <w:bookmarkEnd w:id="10"/>
      <w:r w:rsidRPr="000E6A2E">
        <w:t>Evidence Guide</w:t>
      </w:r>
    </w:p>
    <w:tbl>
      <w:tblPr>
        <w:tblW w:w="9462" w:type="dxa"/>
        <w:tblLayout w:type="fixed"/>
        <w:tblCellMar>
          <w:left w:w="62" w:type="dxa"/>
          <w:right w:w="62" w:type="dxa"/>
        </w:tblCellMar>
        <w:tblLook w:val="0000"/>
      </w:tblPr>
      <w:tblGrid>
        <w:gridCol w:w="2700"/>
        <w:gridCol w:w="6762"/>
      </w:tblGrid>
      <w:tr w:rsidTr="000E6A2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E6A2E">
            <w:pPr>
              <w:pStyle w:val="BodyText"/>
              <w:rPr>
                <w:lang w:val="en-NZ"/>
              </w:rPr>
            </w:pPr>
            <w:r w:rsidRPr="000E6A2E">
              <w:t>The evidence guide provides advice on assessment and must be read in conjunction with the performance criteria, required skills and knowledge, range statement and the Assessment Guidelines for the Training Package.</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BodyText"/>
            </w:pPr>
            <w:r w:rsidRPr="000E6A2E">
              <w:t>T</w:t>
            </w:r>
            <w:r w:rsidRPr="000E6A2E">
              <w:t>his unit of competency could be assessed by practical demonstration of the installation of a number of portable fire extinguishers and fire blankets within customers’ premises to meet:</w:t>
            </w:r>
          </w:p>
          <w:p w:rsidR="00000000" w:rsidRPr="000E6A2E" w:rsidP="000E6A2E">
            <w:pPr>
              <w:pStyle w:val="ListBullet"/>
            </w:pPr>
            <w:r w:rsidRPr="000E6A2E">
              <w:t>customer requirements</w:t>
            </w:r>
          </w:p>
          <w:p w:rsidR="00000000" w:rsidRPr="000E6A2E" w:rsidP="000E6A2E">
            <w:pPr>
              <w:pStyle w:val="ListBullet"/>
            </w:pPr>
            <w:r w:rsidRPr="000E6A2E">
              <w:t>hazard present in the area to be protected</w:t>
            </w:r>
          </w:p>
          <w:p w:rsidR="00000000" w:rsidP="000E6A2E">
            <w:pPr>
              <w:pStyle w:val="ListBullet"/>
              <w:rPr>
                <w:lang w:val="en-NZ"/>
              </w:rPr>
            </w:pPr>
            <w:r w:rsidRPr="000E6A2E">
              <w:t>BCA a</w:t>
            </w:r>
            <w:r w:rsidRPr="000E6A2E">
              <w:t>nd relevant Australian standards.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BodyText"/>
            </w:pPr>
            <w:r w:rsidRPr="000E6A2E">
              <w:t>A person who demonstrates competency in this unit must be able to provide evidence of the required skills and knowledge specified in this unit.</w:t>
            </w:r>
          </w:p>
          <w:p w:rsidR="00000000" w:rsidRPr="000E6A2E" w:rsidP="000E6A2E">
            <w:pPr>
              <w:pStyle w:val="BodyText"/>
            </w:pPr>
            <w:r w:rsidRPr="000E6A2E">
              <w:t>In particular the person should demonstrate the ability to:</w:t>
            </w:r>
          </w:p>
          <w:p w:rsidR="00000000" w:rsidP="000E6A2E">
            <w:pPr>
              <w:pStyle w:val="ListBullet"/>
              <w:rPr>
                <w:lang w:val="en-NZ"/>
              </w:rPr>
            </w:pPr>
            <w:r w:rsidRPr="000E6A2E">
              <w:t>select, position and install portable fire extingui</w:t>
            </w:r>
            <w:r w:rsidRPr="000E6A2E">
              <w:t>shers and fire blankets to meet hazard present in the area to be protected and according to BCA and relevant Australian standards.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BodyText"/>
            </w:pPr>
            <w:r w:rsidRPr="000E6A2E">
              <w:t>Assessment of essential underpinning knowledge may be conducted in an off-s</w:t>
            </w:r>
            <w:r w:rsidRPr="000E6A2E">
              <w:t>ite context. It is to comply with relevant regulatory or Australian standards’ requirements.</w:t>
            </w:r>
          </w:p>
          <w:p w:rsidR="00000000" w:rsidRPr="000E6A2E" w:rsidP="000E6A2E">
            <w:pPr>
              <w:pStyle w:val="BodyText"/>
            </w:pPr>
            <w:r w:rsidRPr="000E6A2E">
              <w:t>Resource implications for assessment include:</w:t>
            </w:r>
          </w:p>
          <w:p w:rsidR="00000000" w:rsidRPr="000E6A2E" w:rsidP="000E6A2E">
            <w:pPr>
              <w:pStyle w:val="ListBullet"/>
            </w:pPr>
            <w:r w:rsidRPr="000E6A2E">
              <w:t>access to a customer’s premises or a simulated workplace environment</w:t>
            </w:r>
          </w:p>
          <w:p w:rsidR="00000000" w:rsidP="000E6A2E">
            <w:pPr>
              <w:pStyle w:val="ListBullet"/>
              <w:rPr>
                <w:lang w:val="en-NZ"/>
              </w:rPr>
            </w:pPr>
            <w:r w:rsidRPr="000E6A2E">
              <w:t>necessary tools, specialist equipment, manuals,</w:t>
            </w:r>
            <w:r w:rsidRPr="000E6A2E">
              <w:t xml:space="preserve"> spare parts and relevant documentation.</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BodyText"/>
            </w:pPr>
            <w:r w:rsidRPr="000E6A2E">
              <w:t>Assessment methods must:</w:t>
            </w:r>
          </w:p>
          <w:p w:rsidR="00000000" w:rsidRPr="000E6A2E" w:rsidP="000E6A2E">
            <w:pPr>
              <w:pStyle w:val="ListBullet"/>
            </w:pPr>
            <w:r w:rsidRPr="000E6A2E">
              <w:t>satisfy the endorsed Assessment Guidelines of the Property Services Training Package</w:t>
            </w:r>
          </w:p>
          <w:p w:rsidR="00000000" w:rsidRPr="000E6A2E" w:rsidP="000E6A2E">
            <w:pPr>
              <w:pStyle w:val="ListBullet"/>
            </w:pPr>
            <w:r w:rsidRPr="000E6A2E">
              <w:t>include direct observation of tasks in real or simulated work conditions, with que</w:t>
            </w:r>
            <w:r w:rsidRPr="000E6A2E">
              <w:t>stioning to confirm the ability to consistently identify and correctly interpret the essential underpinning knowledge required for practical application</w:t>
            </w:r>
          </w:p>
          <w:p w:rsidR="00000000" w:rsidRPr="000E6A2E" w:rsidP="000E6A2E">
            <w:pPr>
              <w:pStyle w:val="ListBullet"/>
            </w:pPr>
            <w:r w:rsidRPr="000E6A2E">
              <w:t>reinforce the integration of employability skills with workplace tasks and job roles</w:t>
            </w:r>
          </w:p>
          <w:p w:rsidR="00000000" w:rsidP="000E6A2E">
            <w:pPr>
              <w:pStyle w:val="ListBullet"/>
              <w:rPr>
                <w:lang w:val="en-NZ"/>
              </w:rPr>
            </w:pPr>
            <w:r w:rsidRPr="000E6A2E">
              <w:t>confirm that competency is verified and able to be transferred to other circumstances and environments.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BodyText"/>
            </w:pPr>
            <w:r w:rsidRPr="000E6A2E">
              <w:t>Reasonable adjustments for people with disabilities must be made to assessment processes where required. This could</w:t>
            </w:r>
            <w:r w:rsidRPr="000E6A2E">
              <w:t xml:space="preserve"> include access to modified equipment and other physical resources, and the provision of appropriate assessment support.</w:t>
            </w:r>
          </w:p>
          <w:p w:rsidR="00000000" w:rsidRPr="000E6A2E" w:rsidP="000E6A2E">
            <w:pPr>
              <w:pStyle w:val="BodyText"/>
            </w:pPr>
            <w:r w:rsidRPr="000E6A2E">
              <w:t>Assessment processes and techniques should as far as is practical take into account the language, literacy and numeracy capacity of the</w:t>
            </w:r>
            <w:r w:rsidRPr="000E6A2E">
              <w:t xml:space="preserve"> candidate in relation to the competency being assessed.</w:t>
            </w:r>
          </w:p>
          <w:p w:rsidR="00000000" w:rsidRPr="000E6A2E" w:rsidP="000E6A2E">
            <w:pPr>
              <w:pStyle w:val="BodyText"/>
            </w:pPr>
            <w:r w:rsidRPr="000E6A2E">
              <w:t>This unit could be assessed on its own or in combination with other units relevant to the job function, for example:</w:t>
            </w:r>
          </w:p>
          <w:p w:rsidR="00000000" w:rsidRPr="000E6A2E" w:rsidP="000E6A2E">
            <w:pPr>
              <w:pStyle w:val="ListBullet"/>
            </w:pPr>
            <w:r w:rsidRPr="000E6A2E">
              <w:t>CPPFES2004A Identify types of installed fire safety equipment and systems</w:t>
            </w:r>
          </w:p>
          <w:p w:rsidR="00000000" w:rsidRPr="000E6A2E" w:rsidP="000E6A2E">
            <w:pPr>
              <w:pStyle w:val="ListBullet"/>
            </w:pPr>
            <w:r w:rsidRPr="000E6A2E">
              <w:t>CPPFES2</w:t>
            </w:r>
            <w:r w:rsidRPr="000E6A2E">
              <w:t>006A Prepare for installation and servicing operations.</w:t>
            </w:r>
          </w:p>
        </w:tc>
      </w:tr>
    </w:tbl>
    <w:p w:rsidR="00000000" w:rsidRPr="000E6A2E" w:rsidP="000E6A2E">
      <w:pPr>
        <w:pStyle w:val="BodyText"/>
      </w:pPr>
    </w:p>
    <w:p w:rsidR="00000000" w:rsidRPr="000E6A2E" w:rsidP="000E6A2E">
      <w:pPr>
        <w:pStyle w:val="AllowPageBreak"/>
      </w:pPr>
    </w:p>
    <w:p w:rsidR="00000000" w:rsidRPr="000E6A2E" w:rsidP="000E6A2E">
      <w:pPr>
        <w:pStyle w:val="Heading1"/>
      </w:pPr>
      <w:bookmarkStart w:id="11" w:name="O_359497"/>
      <w:bookmarkEnd w:id="11"/>
      <w:r w:rsidRPr="000E6A2E">
        <w:t>Range Statement</w:t>
      </w:r>
    </w:p>
    <w:tbl>
      <w:tblPr>
        <w:tblW w:w="9462" w:type="dxa"/>
        <w:tblLayout w:type="fixed"/>
        <w:tblCellMar>
          <w:left w:w="62" w:type="dxa"/>
          <w:right w:w="62" w:type="dxa"/>
        </w:tblCellMar>
        <w:tblLook w:val="0000"/>
      </w:tblPr>
      <w:tblGrid>
        <w:gridCol w:w="2700"/>
        <w:gridCol w:w="6762"/>
      </w:tblGrid>
      <w:tr w:rsidTr="000E6A2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E6A2E">
            <w:pPr>
              <w:pStyle w:val="BodyText"/>
              <w:rPr>
                <w:lang w:val="en-NZ"/>
              </w:rPr>
            </w:pPr>
            <w:r w:rsidRPr="000E6A2E">
              <w:t>The range statement relates to the unit of competency as a whole. It allows for different work environments and situations that may affect performance. Bold italicis</w:t>
            </w:r>
            <w:r w:rsidRPr="000E6A2E">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0E6A2E">
              <w:t>regional contexts) may also be included.</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Rules and regulations</w:t>
            </w:r>
            <w:r w:rsidRPr="000E6A2E">
              <w:t xml:space="preserve"> may </w:t>
            </w:r>
            <w:r w:rsidRPr="000E6A2E">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dangerous goods regulations</w:t>
            </w:r>
          </w:p>
          <w:p w:rsidR="00000000" w:rsidRPr="000E6A2E" w:rsidP="000E6A2E">
            <w:pPr>
              <w:pStyle w:val="ListBullet"/>
            </w:pPr>
            <w:r w:rsidRPr="000E6A2E">
              <w:t>environmental regulations</w:t>
            </w:r>
          </w:p>
          <w:p w:rsidR="00000000" w:rsidRPr="000E6A2E" w:rsidP="000E6A2E">
            <w:pPr>
              <w:pStyle w:val="ListBullet"/>
            </w:pPr>
            <w:r w:rsidRPr="000E6A2E">
              <w:t>licensing arrangements</w:t>
            </w:r>
          </w:p>
          <w:p w:rsidR="00000000" w:rsidRPr="000E6A2E" w:rsidP="000E6A2E">
            <w:pPr>
              <w:pStyle w:val="ListBullet"/>
            </w:pPr>
            <w:r w:rsidRPr="000E6A2E">
              <w:t>OHS legislation, regulations and codes</w:t>
            </w:r>
          </w:p>
          <w:p w:rsidR="00000000" w:rsidRPr="000E6A2E" w:rsidP="000E6A2E">
            <w:pPr>
              <w:pStyle w:val="ListBullet"/>
            </w:pPr>
            <w:r w:rsidRPr="000E6A2E">
              <w:t>relevant commonwealth and state or territory building Acts, regulations and codes, such as the BCA</w:t>
            </w:r>
          </w:p>
          <w:p w:rsidR="00000000" w:rsidRPr="000E6A2E" w:rsidP="000E6A2E">
            <w:pPr>
              <w:pStyle w:val="ListBullet"/>
            </w:pPr>
            <w:r w:rsidRPr="000E6A2E">
              <w:t>relevant Australian standards, such as:</w:t>
            </w:r>
          </w:p>
          <w:p w:rsidR="00000000" w:rsidRPr="000E6A2E" w:rsidP="000E6A2E">
            <w:pPr>
              <w:pStyle w:val="ListBullet2"/>
            </w:pPr>
            <w:r w:rsidRPr="000E6A2E">
              <w:t>AS 2444 Portable fire extinguishers and fire blankets – Selection and location</w:t>
            </w:r>
          </w:p>
          <w:p w:rsidR="00000000" w:rsidRPr="000E6A2E" w:rsidP="000E6A2E">
            <w:pPr>
              <w:pStyle w:val="ListBullet2"/>
            </w:pPr>
            <w:r w:rsidRPr="000E6A2E">
              <w:t>note: Australian standards are frequently revised and users must always check for currency and amendments</w:t>
            </w:r>
          </w:p>
          <w:p w:rsidR="00000000" w:rsidRPr="000E6A2E" w:rsidP="000E6A2E">
            <w:pPr>
              <w:pStyle w:val="ListBullet"/>
            </w:pPr>
            <w:r w:rsidRPr="000E6A2E">
              <w:t>other relevant legislation relating to fire protection equipment, including:</w:t>
            </w:r>
          </w:p>
          <w:p w:rsidR="00000000" w:rsidRPr="000E6A2E" w:rsidP="000E6A2E">
            <w:pPr>
              <w:pStyle w:val="ListBullet2"/>
            </w:pPr>
            <w:r w:rsidRPr="000E6A2E">
              <w:t>international shipping codes</w:t>
            </w:r>
          </w:p>
          <w:p w:rsidR="00000000" w:rsidRPr="000E6A2E" w:rsidP="000E6A2E">
            <w:pPr>
              <w:pStyle w:val="ListBullet2"/>
            </w:pPr>
            <w:r w:rsidRPr="000E6A2E">
              <w:t>marine codes for different Australian Stat</w:t>
            </w:r>
            <w:r w:rsidRPr="000E6A2E">
              <w:t>es</w:t>
            </w:r>
          </w:p>
          <w:p w:rsidR="00000000" w:rsidP="000E6A2E">
            <w:pPr>
              <w:pStyle w:val="ListBullet2"/>
              <w:rPr>
                <w:lang w:val="en-NZ"/>
              </w:rPr>
            </w:pPr>
            <w:r w:rsidRPr="000E6A2E">
              <w:t>requirements of Australian petroleum industry.</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t xml:space="preserve">Requirements may be </w:t>
            </w:r>
            <w:r w:rsidRPr="000E6A2E">
              <w:rPr>
                <w:rStyle w:val="BoldandItalics"/>
              </w:rPr>
              <w:t>confirmed</w:t>
            </w:r>
            <w:r w:rsidRPr="000E6A2E">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colleagues</w:t>
            </w:r>
          </w:p>
          <w:p w:rsidR="00000000" w:rsidRPr="000E6A2E" w:rsidP="000E6A2E">
            <w:pPr>
              <w:pStyle w:val="ListBullet"/>
            </w:pPr>
            <w:r w:rsidRPr="000E6A2E">
              <w:t>managers</w:t>
            </w:r>
          </w:p>
          <w:p w:rsidR="00000000" w:rsidRPr="000E6A2E" w:rsidP="000E6A2E">
            <w:pPr>
              <w:pStyle w:val="ListBullet"/>
            </w:pPr>
            <w:r w:rsidRPr="000E6A2E">
              <w:t>supervisors</w:t>
            </w:r>
          </w:p>
          <w:p w:rsidR="00000000" w:rsidP="000E6A2E">
            <w:pPr>
              <w:pStyle w:val="ListBullet"/>
              <w:rPr>
                <w:lang w:val="en-NZ"/>
              </w:rPr>
            </w:pPr>
            <w:r w:rsidRPr="000E6A2E">
              <w:t>team leaders.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Work procedures</w:t>
            </w:r>
            <w:r w:rsidRPr="000E6A2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assignment instructions</w:t>
            </w:r>
          </w:p>
          <w:p w:rsidR="00000000" w:rsidRPr="000E6A2E" w:rsidP="000E6A2E">
            <w:pPr>
              <w:pStyle w:val="ListBullet"/>
            </w:pPr>
            <w:r w:rsidRPr="000E6A2E">
              <w:t>equipment manufacturers’ requirements</w:t>
            </w:r>
          </w:p>
          <w:p w:rsidR="00000000" w:rsidRPr="000E6A2E" w:rsidP="000E6A2E">
            <w:pPr>
              <w:pStyle w:val="ListBullet"/>
            </w:pPr>
            <w:r w:rsidRPr="000E6A2E">
              <w:t>instructions from colleagues</w:t>
            </w:r>
            <w:r w:rsidRPr="000E6A2E">
              <w:t>, supervisor or manager</w:t>
            </w:r>
          </w:p>
          <w:p w:rsidR="00000000" w:rsidRPr="000E6A2E" w:rsidP="000E6A2E">
            <w:pPr>
              <w:pStyle w:val="ListBullet"/>
            </w:pPr>
            <w:r w:rsidRPr="000E6A2E">
              <w:t>personal protective equipment requirements</w:t>
            </w:r>
          </w:p>
          <w:p w:rsidR="00000000" w:rsidRPr="000E6A2E" w:rsidP="000E6A2E">
            <w:pPr>
              <w:pStyle w:val="ListBullet"/>
            </w:pPr>
            <w:r w:rsidRPr="000E6A2E">
              <w:t>reporting and documentation requirements</w:t>
            </w:r>
          </w:p>
          <w:p w:rsidR="00000000" w:rsidP="000E6A2E">
            <w:pPr>
              <w:pStyle w:val="ListBullet"/>
              <w:rPr>
                <w:lang w:val="en-NZ"/>
              </w:rPr>
            </w:pPr>
            <w:r w:rsidRPr="000E6A2E">
              <w:t>specific customer requirements.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Checking compliance requirements</w:t>
            </w:r>
            <w:r w:rsidRPr="000E6A2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conducting commissioning tests detailed in Australian standard AS 24</w:t>
            </w:r>
            <w:r w:rsidRPr="000E6A2E">
              <w:t xml:space="preserve">44 Portable fire extinguishers and fire blankets – Selection and location, and manufacturers’ documents to verify performance of an installed, repaired or altered piece of equipment or system </w:t>
            </w:r>
          </w:p>
          <w:p w:rsidR="00000000" w:rsidP="000E6A2E">
            <w:pPr>
              <w:pStyle w:val="ListBullet"/>
              <w:rPr>
                <w:lang w:val="en-NZ"/>
              </w:rPr>
            </w:pPr>
            <w:r w:rsidRPr="000E6A2E">
              <w:t>reviewing documentation to verify that installed systems comply with relevant rules and regulations, such as fire safety statement for the building.</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 xml:space="preserve">Action </w:t>
            </w:r>
            <w:r w:rsidRPr="000E6A2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advising customer</w:t>
            </w:r>
          </w:p>
          <w:p w:rsidR="00000000" w:rsidRPr="000E6A2E" w:rsidP="000E6A2E">
            <w:pPr>
              <w:pStyle w:val="ListBullet"/>
            </w:pPr>
            <w:r w:rsidRPr="000E6A2E">
              <w:t>documenting non-compliance</w:t>
            </w:r>
          </w:p>
          <w:p w:rsidR="00000000" w:rsidRPr="000E6A2E" w:rsidP="000E6A2E">
            <w:pPr>
              <w:pStyle w:val="ListBullet"/>
            </w:pPr>
            <w:r w:rsidRPr="000E6A2E">
              <w:t>making equipment safe</w:t>
            </w:r>
          </w:p>
          <w:p w:rsidR="00000000" w:rsidP="000E6A2E">
            <w:pPr>
              <w:pStyle w:val="ListBullet"/>
              <w:rPr>
                <w:lang w:val="en-NZ"/>
              </w:rPr>
            </w:pPr>
            <w:r w:rsidRPr="000E6A2E">
              <w:t>reporting, as requ</w:t>
            </w:r>
            <w:r w:rsidRPr="000E6A2E">
              <w:t>ired.</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Organisational policies and procedures</w:t>
            </w:r>
            <w:r w:rsidRPr="000E6A2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job scheduling systems and communication devices</w:t>
            </w:r>
          </w:p>
          <w:p w:rsidR="00000000" w:rsidRPr="000E6A2E" w:rsidP="000E6A2E">
            <w:pPr>
              <w:pStyle w:val="ListBullet"/>
            </w:pPr>
            <w:r w:rsidRPr="000E6A2E">
              <w:t>personnel practices and guidelines outlining work roles, responsibilities and delegations</w:t>
            </w:r>
          </w:p>
          <w:p w:rsidR="00000000" w:rsidRPr="000E6A2E" w:rsidP="000E6A2E">
            <w:pPr>
              <w:pStyle w:val="ListBullet"/>
            </w:pPr>
            <w:r w:rsidRPr="000E6A2E">
              <w:t xml:space="preserve">recording and reporting documentation and systems </w:t>
            </w:r>
          </w:p>
          <w:p w:rsidR="00000000" w:rsidRPr="000E6A2E" w:rsidP="000E6A2E">
            <w:pPr>
              <w:pStyle w:val="ListBullet"/>
            </w:pPr>
            <w:r w:rsidRPr="000E6A2E">
              <w:t>releva</w:t>
            </w:r>
            <w:r w:rsidRPr="000E6A2E">
              <w:t>nt OHS policies, procedures and programs</w:t>
            </w:r>
          </w:p>
          <w:p w:rsidR="00000000" w:rsidRPr="000E6A2E" w:rsidP="000E6A2E">
            <w:pPr>
              <w:pStyle w:val="ListBullet"/>
            </w:pPr>
            <w:r w:rsidRPr="000E6A2E">
              <w:t>relevant rules and regulations</w:t>
            </w:r>
          </w:p>
          <w:p w:rsidR="00000000" w:rsidP="000E6A2E">
            <w:pPr>
              <w:pStyle w:val="ListBullet"/>
              <w:rPr>
                <w:lang w:val="en-NZ"/>
              </w:rPr>
            </w:pPr>
            <w:r w:rsidRPr="000E6A2E">
              <w:t>standard operating procedures, work instructions and manuals.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Location surfaces</w:t>
            </w:r>
            <w:r w:rsidRPr="000E6A2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brick</w:t>
            </w:r>
          </w:p>
          <w:p w:rsidR="00000000" w:rsidRPr="000E6A2E" w:rsidP="000E6A2E">
            <w:pPr>
              <w:pStyle w:val="ListBullet"/>
            </w:pPr>
            <w:r w:rsidRPr="000E6A2E">
              <w:t>concrete</w:t>
            </w:r>
          </w:p>
          <w:p w:rsidR="00000000" w:rsidRPr="000E6A2E" w:rsidP="000E6A2E">
            <w:pPr>
              <w:pStyle w:val="ListBullet"/>
            </w:pPr>
            <w:r w:rsidRPr="000E6A2E">
              <w:t>metal</w:t>
            </w:r>
          </w:p>
          <w:p w:rsidR="00000000" w:rsidRPr="000E6A2E" w:rsidP="000E6A2E">
            <w:pPr>
              <w:pStyle w:val="ListBullet"/>
            </w:pPr>
            <w:r w:rsidRPr="000E6A2E">
              <w:t>plaster</w:t>
            </w:r>
          </w:p>
          <w:p w:rsidR="00000000" w:rsidRPr="000E6A2E" w:rsidP="000E6A2E">
            <w:pPr>
              <w:pStyle w:val="ListBullet"/>
            </w:pPr>
            <w:r w:rsidRPr="000E6A2E">
              <w:t>plastic</w:t>
            </w:r>
          </w:p>
          <w:p w:rsidR="00000000" w:rsidP="000E6A2E">
            <w:pPr>
              <w:pStyle w:val="ListBullet"/>
              <w:rPr>
                <w:lang w:val="en-NZ"/>
              </w:rPr>
            </w:pPr>
            <w:r w:rsidRPr="000E6A2E">
              <w:t>wood.</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Customer requirements</w:t>
            </w:r>
            <w:r w:rsidRPr="000E6A2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confirming or varying service instructions</w:t>
            </w:r>
          </w:p>
          <w:p w:rsidR="00000000" w:rsidRPr="000E6A2E" w:rsidP="000E6A2E">
            <w:pPr>
              <w:pStyle w:val="ListBullet"/>
            </w:pPr>
            <w:r w:rsidRPr="000E6A2E">
              <w:t>following sign-in and sign-out procedures for entry to or exit from premises</w:t>
            </w:r>
          </w:p>
          <w:p w:rsidR="00000000" w:rsidRPr="000E6A2E" w:rsidP="000E6A2E">
            <w:pPr>
              <w:pStyle w:val="ListBullet"/>
            </w:pPr>
            <w:r w:rsidRPr="000E6A2E">
              <w:t>providing non-routine or urgent services</w:t>
            </w:r>
          </w:p>
          <w:p w:rsidR="00000000" w:rsidRPr="000E6A2E" w:rsidP="000E6A2E">
            <w:pPr>
              <w:pStyle w:val="ListBullet"/>
            </w:pPr>
            <w:r w:rsidRPr="000E6A2E">
              <w:t>providing routine services</w:t>
            </w:r>
          </w:p>
          <w:p w:rsidR="00000000" w:rsidRPr="000E6A2E" w:rsidP="000E6A2E">
            <w:pPr>
              <w:pStyle w:val="ListBullet"/>
            </w:pPr>
            <w:r w:rsidRPr="000E6A2E">
              <w:t>providing written or verbal confirmation of services provided and fu</w:t>
            </w:r>
            <w:r w:rsidRPr="000E6A2E">
              <w:t>ture maintenance schedule</w:t>
            </w:r>
          </w:p>
          <w:p w:rsidR="00000000" w:rsidP="000E6A2E">
            <w:pPr>
              <w:pStyle w:val="ListBullet"/>
              <w:rPr>
                <w:lang w:val="en-NZ"/>
              </w:rPr>
            </w:pPr>
            <w:r w:rsidRPr="000E6A2E">
              <w:t>sighting work permits.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Fire cabinets</w:t>
            </w:r>
            <w:r w:rsidRPr="000E6A2E">
              <w:t xml:space="preserve"> may include types that: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accommodate one extinguisher</w:t>
            </w:r>
          </w:p>
          <w:p w:rsidR="00000000" w:rsidP="000E6A2E">
            <w:pPr>
              <w:pStyle w:val="ListBullet"/>
              <w:rPr>
                <w:lang w:val="en-NZ"/>
              </w:rPr>
            </w:pPr>
            <w:r w:rsidRPr="000E6A2E">
              <w:t>accommodate more than one extinguisher.</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Fasteners</w:t>
            </w:r>
            <w:r w:rsidRPr="000E6A2E">
              <w:t xml:space="preserve"> should be appropriate to the location and may include those for: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fire blankets, such as:</w:t>
            </w:r>
          </w:p>
          <w:p w:rsidR="00000000" w:rsidRPr="000E6A2E" w:rsidP="000E6A2E">
            <w:pPr>
              <w:pStyle w:val="ListBullet2"/>
            </w:pPr>
            <w:r w:rsidRPr="000E6A2E">
              <w:t>cup hooks</w:t>
            </w:r>
          </w:p>
          <w:p w:rsidR="00000000" w:rsidRPr="000E6A2E" w:rsidP="000E6A2E">
            <w:pPr>
              <w:pStyle w:val="ListBullet2"/>
            </w:pPr>
            <w:r w:rsidRPr="000E6A2E">
              <w:t>screws</w:t>
            </w:r>
          </w:p>
          <w:p w:rsidR="00000000" w:rsidRPr="000E6A2E" w:rsidP="000E6A2E">
            <w:pPr>
              <w:pStyle w:val="ListBullet"/>
            </w:pPr>
            <w:r w:rsidRPr="000E6A2E">
              <w:t>fire extinguishers and fire cabinets, such as:</w:t>
            </w:r>
          </w:p>
          <w:p w:rsidR="00000000" w:rsidRPr="000E6A2E" w:rsidP="000E6A2E">
            <w:pPr>
              <w:pStyle w:val="ListBullet2"/>
            </w:pPr>
            <w:r w:rsidRPr="000E6A2E">
              <w:t>expanding bolts</w:t>
            </w:r>
          </w:p>
          <w:p w:rsidR="00000000" w:rsidRPr="000E6A2E" w:rsidP="000E6A2E">
            <w:pPr>
              <w:pStyle w:val="ListBullet2"/>
            </w:pPr>
            <w:r w:rsidRPr="000E6A2E">
              <w:t>explosive powered fasteners</w:t>
            </w:r>
          </w:p>
          <w:p w:rsidR="00000000" w:rsidRPr="000E6A2E" w:rsidP="000E6A2E">
            <w:pPr>
              <w:pStyle w:val="ListBullet2"/>
            </w:pPr>
            <w:r w:rsidRPr="000E6A2E">
              <w:t>plugs</w:t>
            </w:r>
          </w:p>
          <w:p w:rsidR="00000000" w:rsidP="000E6A2E">
            <w:pPr>
              <w:pStyle w:val="ListBullet2"/>
              <w:rPr>
                <w:lang w:val="en-NZ"/>
              </w:rPr>
            </w:pPr>
            <w:r w:rsidRPr="000E6A2E">
              <w:t>screws.</w:t>
            </w:r>
          </w:p>
        </w:tc>
      </w:tr>
      <w:tr w:rsidTr="000E6A2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A2E">
            <w:pPr>
              <w:pStyle w:val="BodyText"/>
              <w:rPr>
                <w:lang w:val="en-NZ"/>
              </w:rPr>
            </w:pPr>
            <w:r w:rsidRPr="000E6A2E">
              <w:rPr>
                <w:rStyle w:val="BoldandItalics"/>
              </w:rPr>
              <w:t xml:space="preserve">Documentation </w:t>
            </w:r>
            <w:r w:rsidRPr="000E6A2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A2E" w:rsidP="000E6A2E">
            <w:pPr>
              <w:pStyle w:val="ListBullet"/>
            </w:pPr>
            <w:r w:rsidRPr="000E6A2E">
              <w:t>application for credit forms</w:t>
            </w:r>
          </w:p>
          <w:p w:rsidR="00000000" w:rsidRPr="000E6A2E" w:rsidP="000E6A2E">
            <w:pPr>
              <w:pStyle w:val="ListBullet"/>
            </w:pPr>
            <w:r w:rsidRPr="000E6A2E">
              <w:t>certificates of inspection</w:t>
            </w:r>
          </w:p>
          <w:p w:rsidR="00000000" w:rsidRPr="000E6A2E" w:rsidP="000E6A2E">
            <w:pPr>
              <w:pStyle w:val="ListBullet"/>
            </w:pPr>
            <w:r w:rsidRPr="000E6A2E">
              <w:t>corrective action reports</w:t>
            </w:r>
          </w:p>
          <w:p w:rsidR="00000000" w:rsidRPr="000E6A2E" w:rsidP="000E6A2E">
            <w:pPr>
              <w:pStyle w:val="ListBullet"/>
            </w:pPr>
            <w:r w:rsidRPr="000E6A2E">
              <w:t>customer recommendation forms</w:t>
            </w:r>
          </w:p>
          <w:p w:rsidR="00000000" w:rsidRPr="000E6A2E" w:rsidP="000E6A2E">
            <w:pPr>
              <w:pStyle w:val="ListBullet"/>
            </w:pPr>
            <w:r w:rsidRPr="000E6A2E">
              <w:t>equipment recommendation forms</w:t>
            </w:r>
          </w:p>
          <w:p w:rsidR="00000000" w:rsidRPr="000E6A2E" w:rsidP="000E6A2E">
            <w:pPr>
              <w:pStyle w:val="ListBullet"/>
            </w:pPr>
            <w:r w:rsidRPr="000E6A2E">
              <w:t>expense claims</w:t>
            </w:r>
          </w:p>
          <w:p w:rsidR="00000000" w:rsidRPr="000E6A2E" w:rsidP="000E6A2E">
            <w:pPr>
              <w:pStyle w:val="ListBullet"/>
            </w:pPr>
            <w:r w:rsidRPr="000E6A2E">
              <w:t>job cards</w:t>
            </w:r>
          </w:p>
          <w:p w:rsidR="00000000" w:rsidRPr="000E6A2E" w:rsidP="000E6A2E">
            <w:pPr>
              <w:pStyle w:val="ListBullet"/>
            </w:pPr>
            <w:r w:rsidRPr="000E6A2E">
              <w:t>maintenance record system</w:t>
            </w:r>
          </w:p>
          <w:p w:rsidR="00000000" w:rsidRPr="000E6A2E" w:rsidP="000E6A2E">
            <w:pPr>
              <w:pStyle w:val="ListBullet"/>
            </w:pPr>
            <w:r w:rsidRPr="000E6A2E">
              <w:t>motor vehicle fleet cards</w:t>
            </w:r>
          </w:p>
          <w:p w:rsidR="00000000" w:rsidRPr="000E6A2E" w:rsidP="000E6A2E">
            <w:pPr>
              <w:pStyle w:val="ListBullet"/>
            </w:pPr>
            <w:r w:rsidRPr="000E6A2E">
              <w:t>petty cash vouchers</w:t>
            </w:r>
          </w:p>
          <w:p w:rsidR="00000000" w:rsidRPr="000E6A2E" w:rsidP="000E6A2E">
            <w:pPr>
              <w:pStyle w:val="ListBullet"/>
            </w:pPr>
            <w:r w:rsidRPr="000E6A2E">
              <w:t>product documentation</w:t>
            </w:r>
          </w:p>
          <w:p w:rsidR="00000000" w:rsidRPr="000E6A2E" w:rsidP="000E6A2E">
            <w:pPr>
              <w:pStyle w:val="ListBullet"/>
            </w:pPr>
            <w:r w:rsidRPr="000E6A2E">
              <w:t>service agreements.</w:t>
            </w:r>
          </w:p>
        </w:tc>
      </w:tr>
    </w:tbl>
    <w:p w:rsidR="00000000" w:rsidRPr="000E6A2E" w:rsidP="000E6A2E">
      <w:pPr>
        <w:pStyle w:val="BodyText"/>
      </w:pPr>
    </w:p>
    <w:p w:rsidR="00000000" w:rsidRPr="000E6A2E" w:rsidP="000E6A2E">
      <w:pPr>
        <w:pStyle w:val="AllowPageBreak"/>
      </w:pPr>
    </w:p>
    <w:p w:rsidR="00000000" w:rsidRPr="000E6A2E" w:rsidP="000E6A2E">
      <w:pPr>
        <w:pStyle w:val="Heading1"/>
      </w:pPr>
      <w:bookmarkStart w:id="12" w:name="O_359498"/>
      <w:bookmarkEnd w:id="12"/>
      <w:r w:rsidRPr="000E6A2E">
        <w:t>Un</w:t>
      </w:r>
      <w:r w:rsidRPr="000E6A2E">
        <w:t>it Sector(s)</w:t>
      </w:r>
    </w:p>
    <w:p w:rsidR="00000000" w:rsidRPr="000E6A2E" w:rsidP="000E6A2E">
      <w:pPr>
        <w:pStyle w:val="BodyText"/>
      </w:pPr>
      <w:r w:rsidRPr="000E6A2E">
        <w:t>Fire protection equipment</w:t>
      </w:r>
    </w:p>
    <w:p w:rsidR="00000000" w:rsidRPr="000E6A2E" w:rsidP="000E6A2E">
      <w:pPr>
        <w:pStyle w:val="AllowPageBreak"/>
      </w:pPr>
    </w:p>
    <w:p w:rsidR="00000000" w:rsidRPr="000E6A2E" w:rsidP="000E6A2E">
      <w:pPr>
        <w:pStyle w:val="Heading1"/>
      </w:pPr>
      <w:bookmarkStart w:id="13" w:name="O_359499"/>
      <w:bookmarkEnd w:id="13"/>
      <w:r w:rsidRPr="000E6A2E">
        <w:t>Custom Content Section</w:t>
      </w:r>
    </w:p>
    <w:p w:rsidR="00000000" w:rsidRPr="000E6A2E" w:rsidP="000E6A2E">
      <w:pPr>
        <w:pStyle w:val="BodyText"/>
      </w:pPr>
      <w:r w:rsidRPr="000E6A2E">
        <w:t>Not applicable.</w:t>
      </w:r>
    </w:p>
    <w:p w:rsidR="00000000" w:rsidRPr="000E6A2E" w:rsidP="000E6A2E"/>
    <w:sectPr w:rsidSect="000E6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4360" w:rsidP="009243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60" w:rsidP="000E6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4360" w:rsidP="000E6A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24360" w:rsidP="000E6A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4360" w:rsidP="009243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60" w:rsidP="000E6A2E">
    <w:pPr>
      <w:pStyle w:val="Header"/>
      <w:framePr w:wrap="around"/>
    </w:pPr>
    <w:r>
      <w:fldChar w:fldCharType="begin"/>
    </w:r>
    <w:r>
      <w:instrText xml:space="preserve"> TITLE   \* MERGEFORMAT </w:instrText>
    </w:r>
    <w:r>
      <w:fldChar w:fldCharType="separate"/>
    </w:r>
    <w:r>
      <w:t>CPPFES2011A Install portable fire extinguishers and fire blankets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4360" w:rsidP="000E6A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0B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A3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08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A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A2E"/>
    <w:pPr>
      <w:spacing w:before="360" w:after="60"/>
      <w:outlineLvl w:val="0"/>
    </w:pPr>
    <w:rPr>
      <w:sz w:val="32"/>
    </w:rPr>
  </w:style>
  <w:style w:type="paragraph" w:styleId="Heading2">
    <w:name w:val="heading 2"/>
    <w:basedOn w:val="HeadingBase"/>
    <w:next w:val="BodyText"/>
    <w:link w:val="Heading2Char"/>
    <w:qFormat/>
    <w:rsid w:val="000E6A2E"/>
    <w:pPr>
      <w:keepLines/>
      <w:spacing w:before="240" w:after="120"/>
      <w:outlineLvl w:val="1"/>
    </w:pPr>
    <w:rPr>
      <w:sz w:val="28"/>
      <w:szCs w:val="40"/>
    </w:rPr>
  </w:style>
  <w:style w:type="paragraph" w:styleId="Heading3">
    <w:name w:val="heading 3"/>
    <w:basedOn w:val="HeadingBase"/>
    <w:next w:val="BodyText"/>
    <w:link w:val="Heading3Char"/>
    <w:qFormat/>
    <w:rsid w:val="000E6A2E"/>
    <w:pPr>
      <w:spacing w:before="180" w:after="120"/>
      <w:outlineLvl w:val="2"/>
    </w:pPr>
    <w:rPr>
      <w:spacing w:val="-10"/>
      <w:kern w:val="32"/>
    </w:rPr>
  </w:style>
  <w:style w:type="paragraph" w:styleId="Heading4">
    <w:name w:val="heading 4"/>
    <w:basedOn w:val="HeadingBase"/>
    <w:next w:val="BodyText"/>
    <w:link w:val="Heading4Char"/>
    <w:qFormat/>
    <w:rsid w:val="000E6A2E"/>
    <w:pPr>
      <w:spacing w:before="160" w:after="120"/>
      <w:outlineLvl w:val="3"/>
    </w:pPr>
    <w:rPr>
      <w:sz w:val="22"/>
    </w:rPr>
  </w:style>
  <w:style w:type="paragraph" w:styleId="Heading5">
    <w:name w:val="heading 5"/>
    <w:basedOn w:val="HeadingBase"/>
    <w:next w:val="Normal"/>
    <w:link w:val="Heading5Char"/>
    <w:qFormat/>
    <w:rsid w:val="000E6A2E"/>
    <w:pPr>
      <w:spacing w:before="80"/>
      <w:outlineLvl w:val="4"/>
    </w:pPr>
    <w:rPr>
      <w:color w:val="918585"/>
      <w:sz w:val="20"/>
    </w:rPr>
  </w:style>
  <w:style w:type="paragraph" w:styleId="Heading6">
    <w:name w:val="heading 6"/>
    <w:basedOn w:val="HeadingBase"/>
    <w:next w:val="Normal"/>
    <w:link w:val="Heading6Char"/>
    <w:qFormat/>
    <w:rsid w:val="000E6A2E"/>
    <w:pPr>
      <w:spacing w:before="60"/>
      <w:outlineLvl w:val="5"/>
    </w:pPr>
    <w:rPr>
      <w:color w:val="918585"/>
      <w:sz w:val="20"/>
    </w:rPr>
  </w:style>
  <w:style w:type="paragraph" w:styleId="Heading7">
    <w:name w:val="heading 7"/>
    <w:basedOn w:val="Normal"/>
    <w:next w:val="Normal"/>
    <w:link w:val="Heading7Char"/>
    <w:qFormat/>
    <w:rsid w:val="000E6A2E"/>
    <w:pPr>
      <w:ind w:left="720"/>
      <w:outlineLvl w:val="6"/>
    </w:pPr>
    <w:rPr>
      <w:i/>
    </w:rPr>
  </w:style>
  <w:style w:type="paragraph" w:styleId="Heading8">
    <w:name w:val="heading 8"/>
    <w:basedOn w:val="Normal"/>
    <w:next w:val="Normal"/>
    <w:link w:val="Heading8Char"/>
    <w:qFormat/>
    <w:rsid w:val="000E6A2E"/>
    <w:pPr>
      <w:ind w:left="720"/>
      <w:outlineLvl w:val="7"/>
    </w:pPr>
    <w:rPr>
      <w:i/>
    </w:rPr>
  </w:style>
  <w:style w:type="paragraph" w:styleId="Heading9">
    <w:name w:val="heading 9"/>
    <w:basedOn w:val="Normal"/>
    <w:next w:val="Normal"/>
    <w:link w:val="Heading9Char"/>
    <w:qFormat/>
    <w:rsid w:val="000E6A2E"/>
    <w:pPr>
      <w:ind w:left="720"/>
      <w:outlineLvl w:val="8"/>
    </w:pPr>
    <w:rPr>
      <w:i/>
    </w:rPr>
  </w:style>
  <w:style w:type="character" w:default="1" w:styleId="DefaultParagraphFont">
    <w:name w:val="Default Paragraph Font"/>
    <w:uiPriority w:val="1"/>
    <w:unhideWhenUsed/>
    <w:rsid w:val="000E6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A2E"/>
  </w:style>
  <w:style w:type="character" w:customStyle="1" w:styleId="Heading1Char">
    <w:name w:val="Heading 1 Char"/>
    <w:basedOn w:val="DefaultParagraphFont"/>
    <w:link w:val="Heading1"/>
    <w:rsid w:val="000E6A2E"/>
    <w:rPr>
      <w:rFonts w:ascii="Times New Roman" w:eastAsia="Times New Roman" w:hAnsi="Times New Roman" w:cs="Times New Roman"/>
      <w:b/>
      <w:sz w:val="32"/>
      <w:szCs w:val="20"/>
      <w:lang w:eastAsia="en-US"/>
    </w:rPr>
  </w:style>
  <w:style w:type="paragraph" w:styleId="BodyText">
    <w:name w:val="Body Text"/>
    <w:basedOn w:val="Normal"/>
    <w:link w:val="BodyTextChar"/>
    <w:rsid w:val="000E6A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A2E"/>
    <w:rPr>
      <w:rFonts w:ascii="Times New Roman" w:eastAsia="Times New Roman" w:hAnsi="Times New Roman" w:cs="Times New Roman"/>
      <w:sz w:val="24"/>
      <w:lang w:val="en-US" w:eastAsia="en-US"/>
    </w:rPr>
  </w:style>
  <w:style w:type="paragraph" w:styleId="Footer">
    <w:name w:val="footer"/>
    <w:basedOn w:val="Normal"/>
    <w:link w:val="FooterChar"/>
    <w:rsid w:val="000E6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A2E"/>
    <w:rPr>
      <w:rFonts w:ascii="Times New Roman" w:eastAsia="Times New Roman" w:hAnsi="Times New Roman" w:cs="Times New Roman"/>
      <w:sz w:val="16"/>
      <w:lang w:val="en-US" w:eastAsia="en-US"/>
    </w:rPr>
  </w:style>
  <w:style w:type="paragraph" w:styleId="ListBullet">
    <w:name w:val="List Bullet"/>
    <w:basedOn w:val="List"/>
    <w:rsid w:val="000E6A2E"/>
    <w:pPr>
      <w:numPr>
        <w:numId w:val="13"/>
      </w:numPr>
      <w:tabs>
        <w:tab w:val="clear" w:pos="340"/>
      </w:tabs>
      <w:spacing w:before="40" w:after="40"/>
    </w:pPr>
  </w:style>
  <w:style w:type="character" w:customStyle="1" w:styleId="SpecialBold">
    <w:name w:val="Special Bold"/>
    <w:basedOn w:val="DefaultParagraphFont"/>
    <w:rsid w:val="000E6A2E"/>
    <w:rPr>
      <w:b/>
      <w:spacing w:val="0"/>
    </w:rPr>
  </w:style>
  <w:style w:type="paragraph" w:styleId="ListBullet2">
    <w:name w:val="List Bullet 2"/>
    <w:basedOn w:val="List2"/>
    <w:rsid w:val="000E6A2E"/>
    <w:pPr>
      <w:numPr>
        <w:numId w:val="14"/>
      </w:numPr>
      <w:tabs>
        <w:tab w:val="clear" w:pos="680"/>
      </w:tabs>
    </w:pPr>
  </w:style>
  <w:style w:type="paragraph" w:styleId="Header">
    <w:name w:val="header"/>
    <w:basedOn w:val="Normal"/>
    <w:link w:val="HeaderChar"/>
    <w:rsid w:val="000E6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A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A2E"/>
    <w:pPr>
      <w:spacing w:before="240" w:after="120"/>
      <w:outlineLvl w:val="0"/>
    </w:pPr>
    <w:rPr>
      <w:rFonts w:ascii="Times New Roman" w:hAnsi="Times New Roman"/>
      <w:b/>
      <w:sz w:val="28"/>
    </w:rPr>
  </w:style>
  <w:style w:type="paragraph" w:customStyle="1" w:styleId="AllowPageBreak">
    <w:name w:val="AllowPageBreak"/>
    <w:rsid w:val="000E6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6A2E"/>
    <w:rPr>
      <w:b/>
      <w:i/>
      <w:u w:val="none"/>
    </w:rPr>
  </w:style>
  <w:style w:type="character" w:customStyle="1" w:styleId="Heading2Char">
    <w:name w:val="Heading 2 Char"/>
    <w:basedOn w:val="DefaultParagraphFont"/>
    <w:link w:val="Heading2"/>
    <w:rsid w:val="000E6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A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A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A2E"/>
    <w:rPr>
      <w:rFonts w:ascii="Courier New" w:eastAsia="Times New Roman" w:hAnsi="Courier New" w:cs="Times New Roman"/>
      <w:i/>
      <w:szCs w:val="20"/>
      <w:lang w:val="en-US" w:eastAsia="en-US"/>
    </w:rPr>
  </w:style>
  <w:style w:type="paragraph" w:customStyle="1" w:styleId="HeadingBase">
    <w:name w:val="Heading Base"/>
    <w:rsid w:val="000E6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A2E"/>
    <w:pPr>
      <w:tabs>
        <w:tab w:val="right" w:leader="dot" w:pos="9072"/>
      </w:tabs>
      <w:ind w:left="567"/>
    </w:pPr>
    <w:rPr>
      <w:szCs w:val="22"/>
    </w:rPr>
  </w:style>
  <w:style w:type="paragraph" w:customStyle="1" w:styleId="TOCBase">
    <w:name w:val="TOC Base"/>
    <w:rsid w:val="000E6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A2E"/>
    <w:pPr>
      <w:tabs>
        <w:tab w:val="right" w:leader="dot" w:pos="9072"/>
      </w:tabs>
      <w:spacing w:before="40" w:after="40"/>
      <w:ind w:left="284"/>
    </w:pPr>
    <w:rPr>
      <w:rFonts w:ascii="Times New Roman" w:hAnsi="Times New Roman"/>
    </w:rPr>
  </w:style>
  <w:style w:type="paragraph" w:styleId="TOC1">
    <w:name w:val="toc 1"/>
    <w:basedOn w:val="TOCBase"/>
    <w:next w:val="Normal"/>
    <w:rsid w:val="000E6A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A2E"/>
    <w:pPr>
      <w:spacing w:before="5040"/>
      <w:jc w:val="center"/>
    </w:pPr>
    <w:rPr>
      <w:sz w:val="48"/>
      <w:szCs w:val="72"/>
      <w:lang w:val="en-US"/>
    </w:rPr>
  </w:style>
  <w:style w:type="character" w:customStyle="1" w:styleId="TitleChar">
    <w:name w:val="Title Char"/>
    <w:basedOn w:val="DefaultParagraphFont"/>
    <w:link w:val="Title"/>
    <w:rsid w:val="000E6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A2E"/>
    <w:pPr>
      <w:tabs>
        <w:tab w:val="left" w:pos="3600"/>
        <w:tab w:val="left" w:pos="3958"/>
      </w:tabs>
    </w:pPr>
  </w:style>
  <w:style w:type="paragraph" w:styleId="List">
    <w:name w:val="List"/>
    <w:basedOn w:val="BodyText"/>
    <w:next w:val="BodyText"/>
    <w:rsid w:val="000E6A2E"/>
    <w:pPr>
      <w:tabs>
        <w:tab w:val="left" w:pos="340"/>
      </w:tabs>
      <w:spacing w:before="60" w:after="60"/>
      <w:ind w:left="340" w:hanging="340"/>
    </w:pPr>
  </w:style>
  <w:style w:type="paragraph" w:customStyle="1" w:styleId="Note">
    <w:name w:val="Note"/>
    <w:basedOn w:val="BodyText"/>
    <w:rsid w:val="000E6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A2E"/>
    <w:pPr>
      <w:framePr w:wrap="auto" w:hAnchor="text" w:y="6049"/>
    </w:pPr>
    <w:rPr>
      <w:color w:val="000000"/>
      <w:sz w:val="40"/>
    </w:rPr>
  </w:style>
  <w:style w:type="paragraph" w:customStyle="1" w:styleId="TOCTitle">
    <w:name w:val="TOCTitle"/>
    <w:basedOn w:val="Heading1"/>
    <w:rsid w:val="000E6A2E"/>
    <w:pPr>
      <w:spacing w:after="240"/>
      <w:jc w:val="center"/>
      <w:outlineLvl w:val="9"/>
    </w:pPr>
    <w:rPr>
      <w:caps/>
    </w:rPr>
  </w:style>
  <w:style w:type="paragraph" w:customStyle="1" w:styleId="Version">
    <w:name w:val="Version"/>
    <w:rsid w:val="000E6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A2E"/>
    <w:pPr>
      <w:keepNext w:val="0"/>
      <w:tabs>
        <w:tab w:val="right" w:pos="4176"/>
      </w:tabs>
      <w:ind w:left="198" w:hanging="198"/>
    </w:pPr>
    <w:rPr>
      <w:rFonts w:ascii="Garamond" w:hAnsi="Garamond"/>
    </w:rPr>
  </w:style>
  <w:style w:type="paragraph" w:styleId="IndexHeading">
    <w:name w:val="index heading"/>
    <w:basedOn w:val="Normal"/>
    <w:next w:val="Index1"/>
    <w:semiHidden/>
    <w:rsid w:val="000E6A2E"/>
    <w:pPr>
      <w:spacing w:before="120" w:after="120"/>
    </w:pPr>
    <w:rPr>
      <w:rFonts w:ascii="Arial" w:hAnsi="Arial"/>
      <w:b/>
      <w:color w:val="918585"/>
      <w:sz w:val="24"/>
    </w:rPr>
  </w:style>
  <w:style w:type="paragraph" w:customStyle="1" w:styleId="Chapter">
    <w:name w:val="Chapter"/>
    <w:basedOn w:val="Normal"/>
    <w:rsid w:val="000E6A2E"/>
    <w:pPr>
      <w:spacing w:before="240"/>
    </w:pPr>
    <w:rPr>
      <w:rFonts w:ascii="Times New Roman" w:hAnsi="Times New Roman"/>
      <w:smallCaps/>
      <w:spacing w:val="80"/>
      <w:sz w:val="28"/>
    </w:rPr>
  </w:style>
  <w:style w:type="paragraph" w:customStyle="1" w:styleId="InChapter">
    <w:name w:val="InChapter"/>
    <w:basedOn w:val="Heading3"/>
    <w:rsid w:val="000E6A2E"/>
    <w:pPr>
      <w:spacing w:after="240"/>
      <w:outlineLvl w:val="9"/>
    </w:pPr>
    <w:rPr>
      <w:noProof/>
    </w:rPr>
  </w:style>
  <w:style w:type="paragraph" w:styleId="Index2">
    <w:name w:val="index 2"/>
    <w:basedOn w:val="Normal"/>
    <w:next w:val="Normal"/>
    <w:semiHidden/>
    <w:rsid w:val="000E6A2E"/>
    <w:pPr>
      <w:tabs>
        <w:tab w:val="right" w:pos="4176"/>
      </w:tabs>
      <w:ind w:left="568" w:hanging="284"/>
    </w:pPr>
    <w:rPr>
      <w:rFonts w:ascii="Garamond" w:hAnsi="Garamond"/>
    </w:rPr>
  </w:style>
  <w:style w:type="paragraph" w:customStyle="1" w:styleId="Byline">
    <w:name w:val="Byline"/>
    <w:rsid w:val="000E6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A2E"/>
    <w:pPr>
      <w:tabs>
        <w:tab w:val="clear" w:pos="3600"/>
        <w:tab w:val="clear" w:pos="3958"/>
      </w:tabs>
      <w:jc w:val="right"/>
    </w:pPr>
  </w:style>
  <w:style w:type="character" w:styleId="Emphasis">
    <w:name w:val="Emphasis"/>
    <w:basedOn w:val="DefaultParagraphFont"/>
    <w:qFormat/>
    <w:rsid w:val="000E6A2E"/>
    <w:rPr>
      <w:i/>
    </w:rPr>
  </w:style>
  <w:style w:type="paragraph" w:styleId="Caption">
    <w:name w:val="caption"/>
    <w:basedOn w:val="BodyText"/>
    <w:next w:val="Normal"/>
    <w:qFormat/>
    <w:rsid w:val="000E6A2E"/>
    <w:pPr>
      <w:framePr w:w="2268" w:hSpace="181" w:vSpace="181" w:wrap="around" w:vAnchor="text" w:hAnchor="page" w:x="1135" w:y="285" w:anchorLock="1"/>
    </w:pPr>
    <w:rPr>
      <w:i/>
    </w:rPr>
  </w:style>
  <w:style w:type="paragraph" w:customStyle="1" w:styleId="MiniTOCTitle">
    <w:name w:val="MiniTOCTitle"/>
    <w:basedOn w:val="Heading4"/>
    <w:rsid w:val="000E6A2E"/>
    <w:pPr>
      <w:spacing w:before="240"/>
      <w:outlineLvl w:val="9"/>
    </w:pPr>
    <w:rPr>
      <w:noProof/>
      <w:sz w:val="24"/>
    </w:rPr>
  </w:style>
  <w:style w:type="paragraph" w:customStyle="1" w:styleId="MiniTOCItem">
    <w:name w:val="MiniTOCItem"/>
    <w:basedOn w:val="ListBullet"/>
    <w:rsid w:val="000E6A2E"/>
    <w:pPr>
      <w:numPr>
        <w:numId w:val="0"/>
      </w:numPr>
      <w:tabs>
        <w:tab w:val="right" w:leader="dot" w:pos="6521"/>
      </w:tabs>
      <w:spacing w:before="0" w:after="0"/>
    </w:pPr>
  </w:style>
  <w:style w:type="paragraph" w:customStyle="1" w:styleId="TOFTitle">
    <w:name w:val="TOFTitle"/>
    <w:basedOn w:val="TOCTitle"/>
    <w:rsid w:val="000E6A2E"/>
  </w:style>
  <w:style w:type="paragraph" w:styleId="TableofFigures">
    <w:name w:val="table of figures"/>
    <w:basedOn w:val="Normal"/>
    <w:next w:val="Normal"/>
    <w:semiHidden/>
    <w:rsid w:val="000E6A2E"/>
    <w:pPr>
      <w:tabs>
        <w:tab w:val="right" w:leader="dot" w:pos="9072"/>
      </w:tabs>
      <w:ind w:left="970" w:hanging="403"/>
    </w:pPr>
    <w:rPr>
      <w:rFonts w:ascii="Times New Roman" w:hAnsi="Times New Roman"/>
      <w:b/>
    </w:rPr>
  </w:style>
  <w:style w:type="paragraph" w:styleId="ListNumber">
    <w:name w:val="List Number"/>
    <w:basedOn w:val="List"/>
    <w:rsid w:val="000E6A2E"/>
    <w:pPr>
      <w:numPr>
        <w:numId w:val="11"/>
      </w:numPr>
    </w:pPr>
  </w:style>
  <w:style w:type="character" w:customStyle="1" w:styleId="WingdingSymbols">
    <w:name w:val="Wingding Symbols"/>
    <w:rsid w:val="000E6A2E"/>
    <w:rPr>
      <w:rFonts w:ascii="Wingdings" w:hAnsi="Wingdings"/>
    </w:rPr>
  </w:style>
  <w:style w:type="paragraph" w:customStyle="1" w:styleId="TableHeading">
    <w:name w:val="Table Heading"/>
    <w:basedOn w:val="HeadingBase"/>
    <w:rsid w:val="000E6A2E"/>
    <w:pPr>
      <w:keepLines/>
      <w:pBdr>
        <w:bottom w:val="single" w:sz="6" w:space="1" w:color="918585"/>
      </w:pBdr>
      <w:spacing w:before="240"/>
    </w:pPr>
  </w:style>
  <w:style w:type="character" w:customStyle="1" w:styleId="HotSpot">
    <w:name w:val="HotSpot"/>
    <w:rsid w:val="000E6A2E"/>
    <w:rPr>
      <w:color w:val="0033CC"/>
      <w:u w:val="none"/>
    </w:rPr>
  </w:style>
  <w:style w:type="paragraph" w:customStyle="1" w:styleId="BodyTextRight">
    <w:name w:val="Body Text Right"/>
    <w:basedOn w:val="BodyText"/>
    <w:rsid w:val="000E6A2E"/>
    <w:pPr>
      <w:spacing w:before="0" w:after="0"/>
      <w:jc w:val="right"/>
    </w:pPr>
  </w:style>
  <w:style w:type="paragraph" w:styleId="Index3">
    <w:name w:val="index 3"/>
    <w:basedOn w:val="ListNumber2"/>
    <w:next w:val="Normal"/>
    <w:semiHidden/>
    <w:rsid w:val="000E6A2E"/>
    <w:pPr>
      <w:numPr>
        <w:numId w:val="0"/>
      </w:numPr>
      <w:tabs>
        <w:tab w:val="right" w:leader="dot" w:pos="4176"/>
      </w:tabs>
    </w:pPr>
  </w:style>
  <w:style w:type="paragraph" w:styleId="ListNumber2">
    <w:name w:val="List Number 2"/>
    <w:basedOn w:val="List2"/>
    <w:rsid w:val="000E6A2E"/>
    <w:pPr>
      <w:numPr>
        <w:numId w:val="10"/>
      </w:numPr>
      <w:tabs>
        <w:tab w:val="clear" w:pos="1060"/>
      </w:tabs>
    </w:pPr>
  </w:style>
  <w:style w:type="paragraph" w:customStyle="1" w:styleId="MarginNote">
    <w:name w:val="Margin Note"/>
    <w:basedOn w:val="BodyText"/>
    <w:rsid w:val="000E6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A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A2E"/>
    <w:rPr>
      <w:sz w:val="32"/>
    </w:rPr>
  </w:style>
  <w:style w:type="paragraph" w:customStyle="1" w:styleId="HeadingProcedure">
    <w:name w:val="Heading Procedure"/>
    <w:basedOn w:val="HeadingBase"/>
    <w:next w:val="Normal"/>
    <w:rsid w:val="000E6A2E"/>
    <w:pPr>
      <w:tabs>
        <w:tab w:val="left" w:pos="0"/>
      </w:tabs>
      <w:spacing w:before="120" w:after="60"/>
    </w:pPr>
    <w:rPr>
      <w:i/>
      <w:color w:val="918585"/>
      <w:sz w:val="22"/>
    </w:rPr>
  </w:style>
  <w:style w:type="paragraph" w:customStyle="1" w:styleId="TableBodyText">
    <w:name w:val="Table Body Text"/>
    <w:basedOn w:val="BodyText"/>
    <w:rsid w:val="000E6A2E"/>
    <w:pPr>
      <w:spacing w:before="60" w:after="60"/>
    </w:pPr>
  </w:style>
  <w:style w:type="paragraph" w:styleId="ListContinue">
    <w:name w:val="List Continue"/>
    <w:basedOn w:val="List"/>
    <w:rsid w:val="000E6A2E"/>
    <w:pPr>
      <w:ind w:firstLine="0"/>
    </w:pPr>
  </w:style>
  <w:style w:type="paragraph" w:customStyle="1" w:styleId="ListNote">
    <w:name w:val="List Note"/>
    <w:basedOn w:val="List"/>
    <w:rsid w:val="000E6A2E"/>
    <w:pPr>
      <w:pBdr>
        <w:top w:val="single" w:sz="6" w:space="2" w:color="918585"/>
        <w:bottom w:val="single" w:sz="6" w:space="2" w:color="918585"/>
      </w:pBdr>
      <w:tabs>
        <w:tab w:val="left" w:pos="1021"/>
      </w:tabs>
      <w:ind w:firstLine="0"/>
    </w:pPr>
  </w:style>
  <w:style w:type="paragraph" w:customStyle="1" w:styleId="Warning">
    <w:name w:val="Warning"/>
    <w:basedOn w:val="BodyText"/>
    <w:rsid w:val="000E6A2E"/>
    <w:pPr>
      <w:shd w:val="clear" w:color="auto" w:fill="D9D9D9"/>
      <w:tabs>
        <w:tab w:val="left" w:pos="992"/>
      </w:tabs>
      <w:ind w:left="119" w:right="119"/>
    </w:pPr>
    <w:rPr>
      <w:sz w:val="20"/>
    </w:rPr>
  </w:style>
  <w:style w:type="paragraph" w:customStyle="1" w:styleId="MarginIcons">
    <w:name w:val="Margin Icons"/>
    <w:basedOn w:val="BodyText"/>
    <w:rsid w:val="000E6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A2E"/>
    <w:rPr>
      <w:rFonts w:ascii="Courier New" w:hAnsi="Courier New"/>
    </w:rPr>
  </w:style>
  <w:style w:type="paragraph" w:customStyle="1" w:styleId="NoteBullet">
    <w:name w:val="Note Bullet"/>
    <w:basedOn w:val="Note"/>
    <w:rsid w:val="000E6A2E"/>
    <w:pPr>
      <w:tabs>
        <w:tab w:val="clear" w:pos="680"/>
      </w:tabs>
      <w:spacing w:before="60" w:after="60"/>
    </w:pPr>
  </w:style>
  <w:style w:type="paragraph" w:customStyle="1" w:styleId="SubHeading2">
    <w:name w:val="SubHeading2"/>
    <w:basedOn w:val="HeadingBase"/>
    <w:rsid w:val="000E6A2E"/>
    <w:pPr>
      <w:spacing w:before="240" w:after="60"/>
    </w:pPr>
    <w:rPr>
      <w:sz w:val="20"/>
    </w:rPr>
  </w:style>
  <w:style w:type="paragraph" w:customStyle="1" w:styleId="SubHeading1">
    <w:name w:val="SubHeading1"/>
    <w:basedOn w:val="HeadingBase"/>
    <w:rsid w:val="000E6A2E"/>
    <w:pPr>
      <w:spacing w:before="240" w:after="60"/>
    </w:pPr>
    <w:rPr>
      <w:color w:val="918585"/>
      <w:sz w:val="22"/>
    </w:rPr>
  </w:style>
  <w:style w:type="paragraph" w:customStyle="1" w:styleId="SideHeading">
    <w:name w:val="Side Heading"/>
    <w:basedOn w:val="HeadingBase"/>
    <w:rsid w:val="000E6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A2E"/>
    <w:pPr>
      <w:numPr>
        <w:numId w:val="12"/>
      </w:numPr>
    </w:pPr>
  </w:style>
  <w:style w:type="paragraph" w:styleId="PlainText">
    <w:name w:val="Plain Text"/>
    <w:basedOn w:val="Normal"/>
    <w:link w:val="PlainTextChar"/>
    <w:rsid w:val="000E6A2E"/>
    <w:rPr>
      <w:sz w:val="20"/>
    </w:rPr>
  </w:style>
  <w:style w:type="character" w:customStyle="1" w:styleId="PlainTextChar">
    <w:name w:val="Plain Text Char"/>
    <w:basedOn w:val="DefaultParagraphFont"/>
    <w:link w:val="PlainText"/>
    <w:rsid w:val="000E6A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A2E"/>
    <w:rPr>
      <w:b/>
      <w:smallCaps/>
    </w:rPr>
  </w:style>
  <w:style w:type="paragraph" w:customStyle="1" w:styleId="TableListNumber">
    <w:name w:val="Table List Number"/>
    <w:basedOn w:val="ListNumber"/>
    <w:rsid w:val="000E6A2E"/>
    <w:pPr>
      <w:numPr>
        <w:numId w:val="0"/>
      </w:numPr>
    </w:pPr>
  </w:style>
  <w:style w:type="paragraph" w:styleId="TOC4">
    <w:name w:val="toc 4"/>
    <w:basedOn w:val="TOCBase"/>
    <w:next w:val="Normal"/>
    <w:semiHidden/>
    <w:rsid w:val="000E6A2E"/>
    <w:pPr>
      <w:tabs>
        <w:tab w:val="right" w:leader="dot" w:pos="9071"/>
      </w:tabs>
      <w:ind w:left="1701"/>
    </w:pPr>
  </w:style>
  <w:style w:type="paragraph" w:customStyle="1" w:styleId="ListAlpha">
    <w:name w:val="List Alpha"/>
    <w:basedOn w:val="List"/>
    <w:rsid w:val="000E6A2E"/>
    <w:pPr>
      <w:numPr>
        <w:numId w:val="9"/>
      </w:numPr>
    </w:pPr>
  </w:style>
  <w:style w:type="paragraph" w:customStyle="1" w:styleId="ListAlpha2">
    <w:name w:val="List Alpha 2"/>
    <w:basedOn w:val="List2"/>
    <w:rsid w:val="000E6A2E"/>
    <w:pPr>
      <w:numPr>
        <w:numId w:val="8"/>
      </w:numPr>
    </w:pPr>
  </w:style>
  <w:style w:type="paragraph" w:styleId="List2">
    <w:name w:val="List 2"/>
    <w:basedOn w:val="BodyText"/>
    <w:rsid w:val="000E6A2E"/>
    <w:pPr>
      <w:tabs>
        <w:tab w:val="left" w:pos="680"/>
      </w:tabs>
      <w:spacing w:before="60" w:after="60"/>
      <w:ind w:left="680" w:hanging="340"/>
    </w:pPr>
  </w:style>
  <w:style w:type="paragraph" w:styleId="List3">
    <w:name w:val="List 3"/>
    <w:basedOn w:val="BodyText"/>
    <w:rsid w:val="000E6A2E"/>
    <w:pPr>
      <w:tabs>
        <w:tab w:val="left" w:pos="1021"/>
      </w:tabs>
      <w:spacing w:before="60" w:after="60"/>
      <w:ind w:left="1020" w:hanging="340"/>
    </w:pPr>
  </w:style>
  <w:style w:type="paragraph" w:styleId="List4">
    <w:name w:val="List 4"/>
    <w:basedOn w:val="BodyText"/>
    <w:rsid w:val="000E6A2E"/>
    <w:pPr>
      <w:tabs>
        <w:tab w:val="left" w:pos="1361"/>
      </w:tabs>
      <w:spacing w:before="60" w:after="60"/>
      <w:ind w:left="1361" w:hanging="340"/>
    </w:pPr>
  </w:style>
  <w:style w:type="paragraph" w:styleId="List5">
    <w:name w:val="List 5"/>
    <w:basedOn w:val="BodyText"/>
    <w:rsid w:val="000E6A2E"/>
    <w:pPr>
      <w:tabs>
        <w:tab w:val="left" w:pos="1701"/>
      </w:tabs>
      <w:spacing w:before="60" w:after="60"/>
      <w:ind w:left="1701" w:hanging="340"/>
    </w:pPr>
  </w:style>
  <w:style w:type="paragraph" w:styleId="ListBullet3">
    <w:name w:val="List Bullet 3"/>
    <w:basedOn w:val="List3"/>
    <w:rsid w:val="000E6A2E"/>
    <w:pPr>
      <w:numPr>
        <w:numId w:val="15"/>
      </w:numPr>
      <w:tabs>
        <w:tab w:val="clear" w:pos="1021"/>
      </w:tabs>
      <w:ind w:left="1037" w:hanging="357"/>
    </w:pPr>
  </w:style>
  <w:style w:type="paragraph" w:styleId="ListBullet4">
    <w:name w:val="List Bullet 4"/>
    <w:basedOn w:val="List4"/>
    <w:rsid w:val="000E6A2E"/>
    <w:pPr>
      <w:numPr>
        <w:numId w:val="3"/>
      </w:numPr>
    </w:pPr>
  </w:style>
  <w:style w:type="paragraph" w:styleId="ListBullet5">
    <w:name w:val="List Bullet 5"/>
    <w:basedOn w:val="List5"/>
    <w:rsid w:val="000E6A2E"/>
    <w:pPr>
      <w:numPr>
        <w:numId w:val="4"/>
      </w:numPr>
    </w:pPr>
  </w:style>
  <w:style w:type="paragraph" w:styleId="ListContinue2">
    <w:name w:val="List Continue 2"/>
    <w:basedOn w:val="List2"/>
    <w:rsid w:val="000E6A2E"/>
    <w:pPr>
      <w:ind w:firstLine="0"/>
    </w:pPr>
  </w:style>
  <w:style w:type="paragraph" w:styleId="ListContinue3">
    <w:name w:val="List Continue 3"/>
    <w:basedOn w:val="List3"/>
    <w:rsid w:val="000E6A2E"/>
    <w:pPr>
      <w:ind w:left="1021" w:firstLine="0"/>
    </w:pPr>
  </w:style>
  <w:style w:type="paragraph" w:styleId="ListContinue4">
    <w:name w:val="List Continue 4"/>
    <w:basedOn w:val="List4"/>
    <w:rsid w:val="000E6A2E"/>
    <w:pPr>
      <w:ind w:firstLine="0"/>
    </w:pPr>
  </w:style>
  <w:style w:type="paragraph" w:styleId="ListContinue5">
    <w:name w:val="List Continue 5"/>
    <w:basedOn w:val="List5"/>
    <w:rsid w:val="000E6A2E"/>
    <w:pPr>
      <w:ind w:firstLine="0"/>
    </w:pPr>
  </w:style>
  <w:style w:type="paragraph" w:styleId="ListNumber3">
    <w:name w:val="List Number 3"/>
    <w:basedOn w:val="List3"/>
    <w:rsid w:val="000E6A2E"/>
    <w:pPr>
      <w:numPr>
        <w:numId w:val="5"/>
      </w:numPr>
    </w:pPr>
  </w:style>
  <w:style w:type="paragraph" w:styleId="ListNumber4">
    <w:name w:val="List Number 4"/>
    <w:basedOn w:val="List4"/>
    <w:rsid w:val="000E6A2E"/>
    <w:pPr>
      <w:numPr>
        <w:numId w:val="6"/>
      </w:numPr>
    </w:pPr>
  </w:style>
  <w:style w:type="paragraph" w:styleId="ListNumber5">
    <w:name w:val="List Number 5"/>
    <w:basedOn w:val="List5"/>
    <w:rsid w:val="000E6A2E"/>
    <w:pPr>
      <w:numPr>
        <w:numId w:val="7"/>
      </w:numPr>
    </w:pPr>
  </w:style>
  <w:style w:type="paragraph" w:styleId="BlockText">
    <w:name w:val="Block Text"/>
    <w:basedOn w:val="Normal"/>
    <w:rsid w:val="000E6A2E"/>
    <w:pPr>
      <w:spacing w:after="120"/>
      <w:ind w:left="1440" w:right="1440"/>
    </w:pPr>
  </w:style>
  <w:style w:type="character" w:customStyle="1" w:styleId="Subscript">
    <w:name w:val="Subscript"/>
    <w:basedOn w:val="DefaultParagraphFont"/>
    <w:rsid w:val="000E6A2E"/>
    <w:rPr>
      <w:sz w:val="16"/>
      <w:vertAlign w:val="subscript"/>
    </w:rPr>
  </w:style>
  <w:style w:type="character" w:customStyle="1" w:styleId="Superscript">
    <w:name w:val="Superscript"/>
    <w:basedOn w:val="DefaultParagraphFont"/>
    <w:rsid w:val="000E6A2E"/>
    <w:rPr>
      <w:sz w:val="16"/>
      <w:vertAlign w:val="superscript"/>
    </w:rPr>
  </w:style>
  <w:style w:type="character" w:customStyle="1" w:styleId="Symbols">
    <w:name w:val="Symbols"/>
    <w:basedOn w:val="DefaultParagraphFont"/>
    <w:rsid w:val="000E6A2E"/>
    <w:rPr>
      <w:rFonts w:ascii="Symbol" w:hAnsi="Symbol"/>
    </w:rPr>
  </w:style>
  <w:style w:type="character" w:customStyle="1" w:styleId="MenuOptions">
    <w:name w:val="Menu Options"/>
    <w:basedOn w:val="DefaultParagraphFont"/>
    <w:rsid w:val="000E6A2E"/>
    <w:rPr>
      <w:rFonts w:ascii="Arial Narrow" w:hAnsi="Arial Narrow"/>
      <w:smallCaps/>
    </w:rPr>
  </w:style>
  <w:style w:type="character" w:customStyle="1" w:styleId="Buttons">
    <w:name w:val="Buttons"/>
    <w:basedOn w:val="DefaultParagraphFont"/>
    <w:rsid w:val="000E6A2E"/>
    <w:rPr>
      <w:b/>
    </w:rPr>
  </w:style>
  <w:style w:type="character" w:customStyle="1" w:styleId="Underlined">
    <w:name w:val="Underlined"/>
    <w:basedOn w:val="DefaultParagraphFont"/>
    <w:rsid w:val="000E6A2E"/>
    <w:rPr>
      <w:u w:val="single"/>
    </w:rPr>
  </w:style>
  <w:style w:type="paragraph" w:customStyle="1" w:styleId="TableBodyTextRight">
    <w:name w:val="Table Body Text Right"/>
    <w:basedOn w:val="TableBodyText"/>
    <w:rsid w:val="000E6A2E"/>
    <w:pPr>
      <w:widowControl w:val="0"/>
      <w:autoSpaceDE w:val="0"/>
      <w:autoSpaceDN w:val="0"/>
      <w:adjustRightInd w:val="0"/>
      <w:jc w:val="right"/>
    </w:pPr>
    <w:rPr>
      <w:rFonts w:cs="Arial"/>
      <w:szCs w:val="18"/>
    </w:rPr>
  </w:style>
  <w:style w:type="paragraph" w:customStyle="1" w:styleId="CopyrightText">
    <w:name w:val="Copyright Text"/>
    <w:basedOn w:val="BodyText"/>
    <w:rsid w:val="000E6A2E"/>
    <w:rPr>
      <w:sz w:val="18"/>
    </w:rPr>
  </w:style>
  <w:style w:type="paragraph" w:customStyle="1" w:styleId="BodySmallRight">
    <w:name w:val="Body Small Right"/>
    <w:basedOn w:val="BodyTextRight"/>
    <w:rsid w:val="000E6A2E"/>
    <w:rPr>
      <w:sz w:val="18"/>
      <w:szCs w:val="18"/>
    </w:rPr>
  </w:style>
  <w:style w:type="paragraph" w:customStyle="1" w:styleId="MarginEdition">
    <w:name w:val="Margin Edition"/>
    <w:basedOn w:val="MarginNote"/>
    <w:rsid w:val="000E6A2E"/>
    <w:pPr>
      <w:spacing w:before="0" w:after="0"/>
    </w:pPr>
    <w:rPr>
      <w:rFonts w:ascii="Times New Roman" w:hAnsi="Times New Roman"/>
      <w:color w:val="999999"/>
    </w:rPr>
  </w:style>
  <w:style w:type="paragraph" w:customStyle="1" w:styleId="Spacer">
    <w:name w:val="Spacer"/>
    <w:basedOn w:val="Normal"/>
    <w:rsid w:val="000E6A2E"/>
    <w:rPr>
      <w:sz w:val="2"/>
      <w:szCs w:val="2"/>
    </w:rPr>
  </w:style>
  <w:style w:type="character" w:customStyle="1" w:styleId="Small">
    <w:name w:val="Small"/>
    <w:basedOn w:val="DefaultParagraphFont"/>
    <w:rsid w:val="000E6A2E"/>
    <w:rPr>
      <w:sz w:val="16"/>
    </w:rPr>
  </w:style>
  <w:style w:type="paragraph" w:customStyle="1" w:styleId="WideTable">
    <w:name w:val="Wide Table"/>
    <w:basedOn w:val="Normal"/>
    <w:rsid w:val="000E6A2E"/>
    <w:pPr>
      <w:ind w:left="-1418"/>
    </w:pPr>
    <w:rPr>
      <w:sz w:val="2"/>
      <w:szCs w:val="2"/>
    </w:rPr>
  </w:style>
  <w:style w:type="character" w:styleId="PageNumber">
    <w:name w:val="page number"/>
    <w:basedOn w:val="DefaultParagraphFont"/>
    <w:rsid w:val="000E6A2E"/>
  </w:style>
  <w:style w:type="paragraph" w:styleId="Quote">
    <w:name w:val="Quote"/>
    <w:basedOn w:val="Heading1"/>
    <w:link w:val="QuoteChar"/>
    <w:qFormat/>
    <w:rsid w:val="000E6A2E"/>
    <w:rPr>
      <w:b w:val="0"/>
      <w:sz w:val="72"/>
      <w:szCs w:val="72"/>
      <w:lang w:val="en-NZ"/>
    </w:rPr>
  </w:style>
  <w:style w:type="character" w:customStyle="1" w:styleId="QuoteChar">
    <w:name w:val="Quote Char"/>
    <w:basedOn w:val="DefaultParagraphFont"/>
    <w:link w:val="Quote"/>
    <w:rsid w:val="000E6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A2E"/>
    <w:pPr>
      <w:pageBreakBefore/>
    </w:pPr>
  </w:style>
  <w:style w:type="paragraph" w:customStyle="1" w:styleId="Border">
    <w:name w:val="Border"/>
    <w:basedOn w:val="Normal"/>
    <w:qFormat/>
    <w:rsid w:val="000E6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A2E"/>
    <w:rPr>
      <w:b/>
      <w:bCs/>
      <w:i/>
      <w:iCs/>
      <w:color w:val="auto"/>
    </w:rPr>
  </w:style>
  <w:style w:type="paragraph" w:styleId="IntenseQuote">
    <w:name w:val="Intense Quote"/>
    <w:basedOn w:val="Normal"/>
    <w:next w:val="Normal"/>
    <w:link w:val="IntenseQuoteChar"/>
    <w:uiPriority w:val="30"/>
    <w:qFormat/>
    <w:rsid w:val="000E6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A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A2E"/>
    <w:rPr>
      <w:smallCaps/>
      <w:color w:val="auto"/>
      <w:u w:val="single"/>
    </w:rPr>
  </w:style>
  <w:style w:type="character" w:styleId="IntenseReference">
    <w:name w:val="Intense Reference"/>
    <w:basedOn w:val="DefaultParagraphFont"/>
    <w:uiPriority w:val="32"/>
    <w:qFormat/>
    <w:rsid w:val="000E6A2E"/>
    <w:rPr>
      <w:b/>
      <w:bCs/>
      <w:smallCaps/>
      <w:color w:val="auto"/>
      <w:spacing w:val="5"/>
      <w:u w:val="single"/>
    </w:rPr>
  </w:style>
  <w:style w:type="paragraph" w:customStyle="1" w:styleId="2ColumnHeading">
    <w:name w:val="2Column Heading"/>
    <w:basedOn w:val="BodyText"/>
    <w:qFormat/>
    <w:rsid w:val="000E6A2E"/>
    <w:pPr>
      <w:spacing w:after="60"/>
      <w:ind w:left="-2268"/>
    </w:pPr>
    <w:rPr>
      <w:b/>
    </w:rPr>
  </w:style>
  <w:style w:type="paragraph" w:customStyle="1" w:styleId="Heading1TOC">
    <w:name w:val="Heading1 TOC"/>
    <w:basedOn w:val="Normal"/>
    <w:qFormat/>
    <w:rsid w:val="000E6A2E"/>
    <w:pPr>
      <w:spacing w:before="240" w:after="120"/>
    </w:pPr>
    <w:rPr>
      <w:rFonts w:ascii="Times New Roman" w:hAnsi="Times New Roman"/>
      <w:b/>
      <w:sz w:val="32"/>
    </w:rPr>
  </w:style>
  <w:style w:type="paragraph" w:customStyle="1" w:styleId="Heading2TOC">
    <w:name w:val="Heading2 TOC"/>
    <w:basedOn w:val="Normal"/>
    <w:qFormat/>
    <w:rsid w:val="000E6A2E"/>
    <w:pPr>
      <w:spacing w:before="240" w:after="60"/>
    </w:pPr>
    <w:rPr>
      <w:rFonts w:ascii="Times New Roman" w:hAnsi="Times New Roman"/>
      <w:b/>
      <w:sz w:val="28"/>
    </w:rPr>
  </w:style>
  <w:style w:type="character" w:customStyle="1" w:styleId="Underline">
    <w:name w:val="Underline"/>
    <w:basedOn w:val="DefaultParagraphFont"/>
    <w:qFormat/>
    <w:rsid w:val="000E6A2E"/>
    <w:rPr>
      <w:u w:val="single"/>
    </w:rPr>
  </w:style>
  <w:style w:type="paragraph" w:styleId="BalloonText">
    <w:name w:val="Balloon Text"/>
    <w:basedOn w:val="Normal"/>
    <w:link w:val="BalloonTextChar"/>
    <w:rsid w:val="000E6A2E"/>
    <w:rPr>
      <w:rFonts w:ascii="Tahoma" w:hAnsi="Tahoma" w:cs="Tahoma"/>
      <w:sz w:val="16"/>
      <w:szCs w:val="16"/>
    </w:rPr>
  </w:style>
  <w:style w:type="character" w:customStyle="1" w:styleId="BalloonTextChar">
    <w:name w:val="Balloon Text Char"/>
    <w:basedOn w:val="DefaultParagraphFont"/>
    <w:link w:val="BalloonText"/>
    <w:rsid w:val="000E6A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A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A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1591</Words>
  <Characters>10291</Characters>
  <Application>Microsoft Office Word</Application>
  <DocSecurity>0</DocSecurity>
  <Lines>366</Lines>
  <Paragraphs>206</Paragraphs>
  <ScaleCrop>false</ScaleCrop>
  <Company>Author-it Software Corporation Ltd.</Company>
  <LinksUpToDate>false</LinksUpToDate>
  <CharactersWithSpaces>11788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CPPFES2011A Install portable fire extinguishers and fire blankets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2012-05-26T06:15:00Z</dcterms:created>
  <dcterms:modified xsi:type="dcterms:W3CDTF">2012-05-26T06:15:00Z</dcterms:modified>
</cp:coreProperties>
</file>