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529F" w:rsidP="007A529F">
      <w:pPr>
        <w:pStyle w:val="Title"/>
      </w:pPr>
      <w:bookmarkStart w:id="0" w:name="_GoBack"/>
      <w:bookmarkEnd w:id="0"/>
      <w:r>
        <w:fldChar w:fldCharType="begin"/>
      </w:r>
      <w:r>
        <w:instrText xml:space="preserve"> TITLE   \* MERGEFORMAT </w:instrText>
      </w:r>
      <w:r>
        <w:fldChar w:fldCharType="separate"/>
      </w:r>
      <w:r>
        <w:t>CPPFES2004A Identify types of installed fire safety equipment and systems</w:t>
      </w:r>
      <w:r>
        <w:fldChar w:fldCharType="end"/>
      </w:r>
    </w:p>
    <w:p w:rsidR="007A529F" w:rsidP="007A529F">
      <w:pPr>
        <w:pStyle w:val="Version"/>
        <w:sectPr w:rsidSect="009412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12DF" w:rsidP="009412DF">
      <w:pPr>
        <w:pStyle w:val="SuperHeading"/>
      </w:pPr>
      <w:r w:rsidRPr="009412DF">
        <w:t>CPPFES2004A Identify types of installed fire safety equipment and systems</w:t>
      </w:r>
    </w:p>
    <w:p w:rsidR="00000000" w:rsidRPr="009412DF" w:rsidP="009412DF">
      <w:pPr>
        <w:pStyle w:val="Heading1"/>
      </w:pPr>
      <w:bookmarkStart w:id="1" w:name="O_359387"/>
      <w:bookmarkEnd w:id="1"/>
      <w:r w:rsidRPr="009412DF">
        <w:t>Modification History</w:t>
      </w:r>
    </w:p>
    <w:p w:rsidR="00000000" w:rsidRPr="009412DF" w:rsidP="009412DF">
      <w:pPr>
        <w:pStyle w:val="BodyText"/>
      </w:pPr>
      <w:r w:rsidRPr="009412DF">
        <w:t>Revised unit</w:t>
      </w:r>
    </w:p>
    <w:p w:rsidR="00000000" w:rsidRPr="009412DF" w:rsidP="009412DF">
      <w:pPr>
        <w:pStyle w:val="BodyText"/>
      </w:pPr>
      <w:r w:rsidRPr="009412DF">
        <w:t>Element structure and performance criteria</w:t>
      </w:r>
      <w:r w:rsidRPr="009412DF">
        <w:t xml:space="preserve"> expanded to reflect workplace requirements</w:t>
      </w:r>
    </w:p>
    <w:p w:rsidR="00000000" w:rsidRPr="009412DF" w:rsidP="009412DF">
      <w:pPr>
        <w:pStyle w:val="BodyText"/>
      </w:pPr>
      <w:r w:rsidRPr="009412DF">
        <w:t>Skills and knowledge requirements and range statement updated</w:t>
      </w:r>
    </w:p>
    <w:p w:rsidR="007A529F" w:rsidP="009412DF">
      <w:pPr>
        <w:pStyle w:val="BodyText"/>
      </w:pPr>
      <w:r w:rsidRPr="009412DF">
        <w:t>Unit based on PRMPFES04B Identify fire protection equipment</w:t>
      </w:r>
    </w:p>
    <w:p w:rsidR="007A529F" w:rsidP="009412DF">
      <w:pPr>
        <w:pStyle w:val="BodyText"/>
      </w:pPr>
    </w:p>
    <w:p w:rsidR="00000000" w:rsidRPr="009412DF" w:rsidP="009412DF">
      <w:pPr>
        <w:pStyle w:val="Heading1"/>
      </w:pPr>
      <w:bookmarkStart w:id="2" w:name="O_359388"/>
      <w:bookmarkEnd w:id="2"/>
      <w:r w:rsidRPr="009412DF">
        <w:t>Unit Descriptor</w:t>
      </w:r>
    </w:p>
    <w:p w:rsidR="00000000" w:rsidRPr="009412DF" w:rsidP="009412DF">
      <w:pPr>
        <w:pStyle w:val="BodyText"/>
      </w:pPr>
      <w:r w:rsidRPr="009412DF">
        <w:t xml:space="preserve">This unit of competency specifies the outcomes required </w:t>
      </w:r>
      <w:r w:rsidRPr="009412DF">
        <w:t xml:space="preserve">to accurately identify fire safety equipment and systems and their function. </w:t>
      </w:r>
    </w:p>
    <w:p w:rsidR="00000000" w:rsidRPr="009412DF" w:rsidP="009412DF">
      <w:pPr>
        <w:pStyle w:val="AllowPageBreak"/>
      </w:pPr>
    </w:p>
    <w:p w:rsidR="00000000" w:rsidRPr="009412DF" w:rsidP="009412DF">
      <w:pPr>
        <w:pStyle w:val="Heading1"/>
      </w:pPr>
      <w:bookmarkStart w:id="3" w:name="O_359389"/>
      <w:bookmarkEnd w:id="3"/>
      <w:r w:rsidRPr="009412DF">
        <w:t>Application of the Unit</w:t>
      </w:r>
    </w:p>
    <w:p w:rsidR="00000000" w:rsidRPr="009412DF" w:rsidP="009412DF">
      <w:pPr>
        <w:pStyle w:val="BodyText"/>
      </w:pPr>
      <w:r w:rsidRPr="009412DF">
        <w:t>This unit of competency supports individuals responsible for interacting with customers as a representative of their organisation, discus</w:t>
      </w:r>
      <w:r w:rsidRPr="009412DF">
        <w:t>sing fire protection service needs for a variety of equipment and systems and referring customers to senior staff in the organisation for further consultation if necessary.</w:t>
      </w:r>
    </w:p>
    <w:p w:rsidR="00000000" w:rsidRPr="009412DF" w:rsidP="009412DF">
      <w:pPr>
        <w:pStyle w:val="AllowPageBreak"/>
      </w:pPr>
    </w:p>
    <w:p w:rsidR="00000000" w:rsidRPr="009412DF" w:rsidP="009412DF">
      <w:pPr>
        <w:pStyle w:val="Heading1"/>
      </w:pPr>
      <w:bookmarkStart w:id="4" w:name="O_359390"/>
      <w:bookmarkEnd w:id="4"/>
      <w:r w:rsidRPr="009412DF">
        <w:t>Licensing/Regulatory Information</w:t>
      </w:r>
    </w:p>
    <w:p w:rsidR="00000000" w:rsidRPr="009412DF" w:rsidP="009412DF">
      <w:pPr>
        <w:pStyle w:val="BodyText"/>
      </w:pPr>
      <w:r w:rsidRPr="009412DF">
        <w:t>Work in the area of identification must be completed according to relevant legislative, industry, customer and organisational requirements, including occupational health and safety (OHS) policies and procedures.</w:t>
      </w:r>
    </w:p>
    <w:p w:rsidR="00000000" w:rsidRPr="009412DF" w:rsidP="009412DF">
      <w:pPr>
        <w:pStyle w:val="BodyText"/>
      </w:pPr>
      <w:r w:rsidRPr="009412DF">
        <w:t>Different states and territories may have re</w:t>
      </w:r>
      <w:r w:rsidRPr="009412DF">
        <w:t>gulatory mechanisms that apply to this unit. Candidates are advised to check for regulatory limitations.</w:t>
      </w:r>
    </w:p>
    <w:p w:rsidR="00000000" w:rsidRPr="009412DF" w:rsidP="009412DF">
      <w:pPr>
        <w:pStyle w:val="AllowPageBreak"/>
      </w:pPr>
    </w:p>
    <w:p w:rsidR="00000000" w:rsidRPr="009412DF" w:rsidP="009412DF">
      <w:pPr>
        <w:pStyle w:val="Heading1"/>
      </w:pPr>
      <w:bookmarkStart w:id="5" w:name="O_359391"/>
      <w:bookmarkEnd w:id="5"/>
      <w:r w:rsidRPr="009412DF">
        <w:t>Pre-Requisites</w:t>
      </w:r>
    </w:p>
    <w:p w:rsidR="00000000" w:rsidRPr="009412DF" w:rsidP="009412DF">
      <w:pPr>
        <w:pStyle w:val="BodyText"/>
      </w:pPr>
      <w:r w:rsidRPr="009412DF">
        <w:t>Not applicable.</w:t>
      </w:r>
    </w:p>
    <w:p w:rsidR="00000000" w:rsidRPr="009412DF" w:rsidP="009412DF">
      <w:pPr>
        <w:pStyle w:val="AllowPageBreak"/>
      </w:pPr>
    </w:p>
    <w:p w:rsidR="00000000" w:rsidRPr="009412DF" w:rsidP="009412DF">
      <w:pPr>
        <w:pStyle w:val="Heading1"/>
      </w:pPr>
      <w:bookmarkStart w:id="6" w:name="O_359392"/>
      <w:bookmarkEnd w:id="6"/>
      <w:r w:rsidRPr="009412DF">
        <w:t>Employability Skills Information</w:t>
      </w:r>
    </w:p>
    <w:p w:rsidR="00000000" w:rsidRPr="009412DF" w:rsidP="009412DF">
      <w:pPr>
        <w:pStyle w:val="BodyText"/>
      </w:pPr>
      <w:r w:rsidRPr="009412DF">
        <w:t>This unit contains employability skills.</w:t>
      </w:r>
    </w:p>
    <w:p w:rsidR="00000000" w:rsidRPr="009412DF" w:rsidP="009412DF">
      <w:pPr>
        <w:pStyle w:val="AllowPageBreak"/>
      </w:pPr>
    </w:p>
    <w:p w:rsidR="00000000" w:rsidRPr="009412DF" w:rsidP="009412DF">
      <w:pPr>
        <w:pStyle w:val="Heading1"/>
      </w:pPr>
      <w:bookmarkStart w:id="7" w:name="O_359393"/>
      <w:bookmarkEnd w:id="7"/>
      <w:r w:rsidRPr="009412DF">
        <w:t>Elements and Performance Criteria Pre-Content</w:t>
      </w:r>
    </w:p>
    <w:tbl>
      <w:tblPr>
        <w:tblW w:w="0" w:type="auto"/>
        <w:tblLayout w:type="fixed"/>
        <w:tblCellMar>
          <w:left w:w="62" w:type="dxa"/>
          <w:right w:w="62" w:type="dxa"/>
        </w:tblCellMar>
        <w:tblLook w:val="0000"/>
      </w:tblPr>
      <w:tblGrid>
        <w:gridCol w:w="2640"/>
        <w:gridCol w:w="6380"/>
      </w:tblGrid>
      <w:tr w:rsidTr="009412D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9412DF" w:rsidP="009412DF">
            <w:pPr>
              <w:pStyle w:val="BodyText"/>
            </w:pPr>
            <w:r w:rsidRPr="009412DF">
              <w:t>Performance criteria describe the performance needed to demonstrate achievement of the element. Where bold italicised text is used, further</w:t>
            </w:r>
            <w:r w:rsidRPr="009412DF">
              <w:t xml:space="preserve"> information is detailed in the required skills and knowledge section and the range statement. Assessment of performance is to be consistent with the evidence guide.</w:t>
            </w:r>
          </w:p>
        </w:tc>
      </w:tr>
    </w:tbl>
    <w:p w:rsidR="00000000" w:rsidRPr="009412DF" w:rsidP="009412DF">
      <w:pPr>
        <w:pStyle w:val="BodyText"/>
      </w:pPr>
    </w:p>
    <w:p w:rsidR="00000000" w:rsidRPr="009412DF" w:rsidP="009412DF">
      <w:pPr>
        <w:pStyle w:val="AllowPageBreak"/>
      </w:pPr>
    </w:p>
    <w:p w:rsidR="00000000" w:rsidRPr="009412DF" w:rsidP="009412DF">
      <w:pPr>
        <w:pStyle w:val="Heading1"/>
      </w:pPr>
      <w:bookmarkStart w:id="8" w:name="O_359394"/>
      <w:bookmarkEnd w:id="8"/>
      <w:r w:rsidRPr="009412D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41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t>1</w:t>
            </w:r>
          </w:p>
        </w:tc>
        <w:tc>
          <w:tcPr>
            <w:tcW w:w="1962" w:type="dxa"/>
            <w:vMerge w:val="restart"/>
            <w:tcBorders>
              <w:top w:val="nil"/>
              <w:left w:val="nil"/>
              <w:bottom w:val="nil"/>
              <w:right w:val="nil"/>
            </w:tcBorders>
            <w:tcMar>
              <w:top w:w="0" w:type="dxa"/>
              <w:left w:w="62" w:type="dxa"/>
              <w:bottom w:w="0" w:type="dxa"/>
              <w:right w:w="62" w:type="dxa"/>
            </w:tcMar>
          </w:tcPr>
          <w:p w:rsidR="00000000" w:rsidRPr="009412DF" w:rsidP="009412DF">
            <w:pPr>
              <w:pStyle w:val="BodyText"/>
            </w:pPr>
            <w:r w:rsidRPr="009412DF">
              <w:t>Identify range of first response eq</w:t>
            </w:r>
            <w:r w:rsidRPr="009412DF">
              <w:t>uipment.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t>1.1</w:t>
            </w:r>
          </w:p>
        </w:tc>
        <w:tc>
          <w:tcPr>
            <w:tcW w:w="5610" w:type="dxa"/>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t xml:space="preserve">Range of </w:t>
            </w:r>
            <w:r w:rsidRPr="009412DF">
              <w:rPr>
                <w:rStyle w:val="BoldandItalics"/>
              </w:rPr>
              <w:t>portable fire extinguishers</w:t>
            </w:r>
            <w:r w:rsidRPr="009412DF">
              <w:t xml:space="preserve"> is identified according to types, </w:t>
            </w:r>
            <w:r w:rsidRPr="009412DF">
              <w:rPr>
                <w:rStyle w:val="BoldandItalics"/>
              </w:rPr>
              <w:t>extinguishants</w:t>
            </w:r>
            <w:r w:rsidRPr="009412DF">
              <w:t xml:space="preserve">, </w:t>
            </w:r>
            <w:r w:rsidRPr="009412DF">
              <w:rPr>
                <w:rStyle w:val="BoldandItalics"/>
              </w:rPr>
              <w:t>expellants</w:t>
            </w:r>
            <w:r w:rsidRPr="009412DF">
              <w:t>, colour-coding requirements, labelling and location signs.</w:t>
            </w:r>
          </w:p>
        </w:tc>
      </w:tr>
      <w:tr w:rsidTr="00941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t>1.2</w:t>
            </w:r>
          </w:p>
        </w:tc>
        <w:tc>
          <w:tcPr>
            <w:tcW w:w="5610" w:type="dxa"/>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t xml:space="preserve">Range of </w:t>
            </w:r>
            <w:r w:rsidRPr="009412DF">
              <w:rPr>
                <w:rStyle w:val="BoldandItalics"/>
              </w:rPr>
              <w:t>wheeled fire extinguishers</w:t>
            </w:r>
            <w:r w:rsidRPr="009412DF">
              <w:t xml:space="preserve"> is identified according to types, </w:t>
            </w:r>
            <w:r w:rsidRPr="009412DF">
              <w:t>extinguishants, expellants, standardised colour code and labelling requirements.</w:t>
            </w:r>
          </w:p>
        </w:tc>
      </w:tr>
      <w:tr w:rsidTr="00941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t>1.3</w:t>
            </w:r>
          </w:p>
        </w:tc>
        <w:tc>
          <w:tcPr>
            <w:tcW w:w="5610" w:type="dxa"/>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t xml:space="preserve">Types of </w:t>
            </w:r>
            <w:r w:rsidRPr="009412DF">
              <w:rPr>
                <w:rStyle w:val="BoldandItalics"/>
              </w:rPr>
              <w:t>fire hose reels</w:t>
            </w:r>
            <w:r w:rsidRPr="009412DF">
              <w:t xml:space="preserve"> are identified according to function and location signs.</w:t>
            </w:r>
          </w:p>
        </w:tc>
      </w:tr>
      <w:tr w:rsidTr="00941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t>1.4</w:t>
            </w:r>
          </w:p>
        </w:tc>
        <w:tc>
          <w:tcPr>
            <w:tcW w:w="5610" w:type="dxa"/>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t xml:space="preserve">Types of </w:t>
            </w:r>
            <w:r w:rsidRPr="009412DF">
              <w:rPr>
                <w:rStyle w:val="BoldandItalics"/>
              </w:rPr>
              <w:t>delivery lay flat fire hoses</w:t>
            </w:r>
            <w:r w:rsidRPr="009412DF">
              <w:t xml:space="preserve"> are identified according to class, size a</w:t>
            </w:r>
            <w:r w:rsidRPr="009412DF">
              <w:t>nd construction.</w:t>
            </w:r>
          </w:p>
        </w:tc>
      </w:tr>
      <w:tr w:rsidTr="00941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t>1.5</w:t>
            </w:r>
          </w:p>
        </w:tc>
        <w:tc>
          <w:tcPr>
            <w:tcW w:w="5610" w:type="dxa"/>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t xml:space="preserve">Types of </w:t>
            </w:r>
            <w:r w:rsidRPr="009412DF">
              <w:rPr>
                <w:rStyle w:val="BoldandItalics"/>
              </w:rPr>
              <w:t>delivery lay flat fire hose couplings</w:t>
            </w:r>
            <w:r w:rsidRPr="009412DF">
              <w:t xml:space="preserve"> are identified according to type and construction.</w:t>
            </w:r>
          </w:p>
        </w:tc>
      </w:tr>
      <w:tr w:rsidTr="00941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t>1.6</w:t>
            </w:r>
          </w:p>
        </w:tc>
        <w:tc>
          <w:tcPr>
            <w:tcW w:w="5610" w:type="dxa"/>
            <w:tcBorders>
              <w:top w:val="nil"/>
              <w:left w:val="nil"/>
              <w:bottom w:val="nil"/>
              <w:right w:val="nil"/>
            </w:tcBorders>
            <w:tcMar>
              <w:top w:w="0" w:type="dxa"/>
              <w:left w:w="62" w:type="dxa"/>
              <w:bottom w:w="0" w:type="dxa"/>
              <w:right w:w="62" w:type="dxa"/>
            </w:tcMar>
          </w:tcPr>
          <w:p w:rsidR="00000000" w:rsidRPr="009412DF" w:rsidP="009412DF">
            <w:pPr>
              <w:pStyle w:val="BodyText"/>
            </w:pPr>
            <w:r w:rsidRPr="009412DF">
              <w:t xml:space="preserve">Fire blankets and </w:t>
            </w:r>
            <w:r w:rsidRPr="009412DF">
              <w:rPr>
                <w:rStyle w:val="BoldandItalics"/>
              </w:rPr>
              <w:t>fire blanket containers</w:t>
            </w:r>
            <w:r w:rsidRPr="009412DF">
              <w:t xml:space="preserve"> are identified according to function and location signs.</w:t>
            </w:r>
          </w:p>
        </w:tc>
      </w:tr>
    </w:tbl>
    <w:p w:rsidR="00000000" w:rsidRPr="009412DF" w:rsidP="009412DF">
      <w:pPr>
        <w:pStyle w:val="BodyText"/>
      </w:pPr>
    </w:p>
    <w:tbl>
      <w:tblPr>
        <w:tblW w:w="0" w:type="auto"/>
        <w:tblLayout w:type="fixed"/>
        <w:tblCellMar>
          <w:left w:w="62" w:type="dxa"/>
          <w:right w:w="62" w:type="dxa"/>
        </w:tblCellMar>
        <w:tblLook w:val="0000"/>
      </w:tblPr>
      <w:tblGrid>
        <w:gridCol w:w="678"/>
        <w:gridCol w:w="1962"/>
        <w:gridCol w:w="770"/>
        <w:gridCol w:w="5610"/>
      </w:tblGrid>
      <w:tr w:rsidTr="00941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t>2</w:t>
            </w:r>
          </w:p>
        </w:tc>
        <w:tc>
          <w:tcPr>
            <w:tcW w:w="1962" w:type="dxa"/>
            <w:tcBorders>
              <w:top w:val="nil"/>
              <w:left w:val="nil"/>
              <w:bottom w:val="nil"/>
              <w:right w:val="nil"/>
            </w:tcBorders>
            <w:tcMar>
              <w:top w:w="0" w:type="dxa"/>
              <w:left w:w="62" w:type="dxa"/>
              <w:bottom w:w="0" w:type="dxa"/>
              <w:right w:w="62" w:type="dxa"/>
            </w:tcMar>
          </w:tcPr>
          <w:p w:rsidR="00000000" w:rsidRPr="009412DF" w:rsidP="009412DF">
            <w:pPr>
              <w:pStyle w:val="BodyText"/>
            </w:pPr>
            <w:r w:rsidRPr="009412DF">
              <w:t>Identify fire hydrant systems.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12DF" w:rsidP="009412DF">
            <w:pPr>
              <w:pStyle w:val="BodyText"/>
            </w:pPr>
            <w:r w:rsidRPr="009412DF">
              <w:t>2.1</w:t>
            </w:r>
          </w:p>
        </w:tc>
        <w:tc>
          <w:tcPr>
            <w:tcW w:w="5610" w:type="dxa"/>
            <w:tcBorders>
              <w:top w:val="nil"/>
              <w:left w:val="nil"/>
              <w:bottom w:val="nil"/>
              <w:right w:val="nil"/>
            </w:tcBorders>
            <w:tcMar>
              <w:top w:w="0" w:type="dxa"/>
              <w:left w:w="62" w:type="dxa"/>
              <w:bottom w:w="0" w:type="dxa"/>
              <w:right w:w="62" w:type="dxa"/>
            </w:tcMar>
          </w:tcPr>
          <w:p w:rsidR="00000000" w:rsidRPr="009412DF" w:rsidP="009412DF">
            <w:pPr>
              <w:pStyle w:val="BodyText"/>
            </w:pPr>
            <w:r w:rsidRPr="009412DF">
              <w:rPr>
                <w:rStyle w:val="BoldandItalics"/>
              </w:rPr>
              <w:t>Major components of fire hydrant systems</w:t>
            </w:r>
            <w:r w:rsidRPr="009412DF">
              <w:t xml:space="preserve"> are identified according to function.</w:t>
            </w:r>
          </w:p>
          <w:p w:rsidR="00000000" w:rsidRPr="009412DF" w:rsidP="009412DF">
            <w:pPr>
              <w:pStyle w:val="BodyText"/>
            </w:pPr>
          </w:p>
        </w:tc>
      </w:tr>
    </w:tbl>
    <w:p w:rsidR="00000000" w:rsidRPr="009412DF" w:rsidP="009412DF">
      <w:pPr>
        <w:pStyle w:val="BodyText"/>
      </w:pPr>
    </w:p>
    <w:tbl>
      <w:tblPr>
        <w:tblW w:w="0" w:type="auto"/>
        <w:tblLayout w:type="fixed"/>
        <w:tblCellMar>
          <w:left w:w="62" w:type="dxa"/>
          <w:right w:w="62" w:type="dxa"/>
        </w:tblCellMar>
        <w:tblLook w:val="0000"/>
      </w:tblPr>
      <w:tblGrid>
        <w:gridCol w:w="678"/>
        <w:gridCol w:w="1962"/>
        <w:gridCol w:w="770"/>
        <w:gridCol w:w="5610"/>
      </w:tblGrid>
      <w:tr w:rsidTr="00941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t>3</w:t>
            </w:r>
          </w:p>
        </w:tc>
        <w:tc>
          <w:tcPr>
            <w:tcW w:w="1962" w:type="dxa"/>
            <w:vMerge w:val="restart"/>
            <w:tcBorders>
              <w:top w:val="nil"/>
              <w:left w:val="nil"/>
              <w:bottom w:val="nil"/>
              <w:right w:val="nil"/>
            </w:tcBorders>
            <w:tcMar>
              <w:top w:w="0" w:type="dxa"/>
              <w:left w:w="62" w:type="dxa"/>
              <w:bottom w:w="0" w:type="dxa"/>
              <w:right w:w="62" w:type="dxa"/>
            </w:tcMar>
          </w:tcPr>
          <w:p w:rsidR="00000000" w:rsidRPr="009412DF" w:rsidP="009412DF">
            <w:pPr>
              <w:pStyle w:val="BodyText"/>
            </w:pPr>
            <w:r w:rsidRPr="009412DF">
              <w:t>Identify passive products and systems.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12DF" w:rsidP="009412DF">
            <w:pPr>
              <w:pStyle w:val="BodyText"/>
            </w:pPr>
            <w:r w:rsidRPr="009412DF">
              <w:t>3.1</w:t>
            </w:r>
          </w:p>
        </w:tc>
        <w:tc>
          <w:tcPr>
            <w:tcW w:w="5610" w:type="dxa"/>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rPr>
                <w:rStyle w:val="BoldandItalics"/>
              </w:rPr>
              <w:t xml:space="preserve">Fire </w:t>
            </w:r>
            <w:r w:rsidRPr="009412DF">
              <w:t>and</w:t>
            </w:r>
            <w:r w:rsidRPr="009412DF">
              <w:rPr>
                <w:rStyle w:val="BoldandItalics"/>
              </w:rPr>
              <w:t xml:space="preserve"> smoke door sets</w:t>
            </w:r>
            <w:r w:rsidRPr="009412DF">
              <w:t xml:space="preserve"> are identified according to funct</w:t>
            </w:r>
            <w:r w:rsidRPr="009412DF">
              <w:rPr>
                <w:rStyle w:val="SpecialBold"/>
              </w:rPr>
              <w:t>ion</w:t>
            </w:r>
            <w:r w:rsidRPr="009412DF">
              <w:t xml:space="preserve"> and tags. </w:t>
            </w:r>
          </w:p>
        </w:tc>
      </w:tr>
      <w:tr w:rsidTr="00941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12DF" w:rsidP="009412DF">
            <w:pPr>
              <w:pStyle w:val="BodyText"/>
            </w:pPr>
            <w:r w:rsidRPr="009412DF">
              <w:t>3.2</w:t>
            </w:r>
          </w:p>
        </w:tc>
        <w:tc>
          <w:tcPr>
            <w:tcW w:w="5610" w:type="dxa"/>
            <w:tcBorders>
              <w:top w:val="nil"/>
              <w:left w:val="nil"/>
              <w:bottom w:val="nil"/>
              <w:right w:val="nil"/>
            </w:tcBorders>
            <w:tcMar>
              <w:top w:w="0" w:type="dxa"/>
              <w:left w:w="62" w:type="dxa"/>
              <w:bottom w:w="0" w:type="dxa"/>
              <w:right w:w="62" w:type="dxa"/>
            </w:tcMar>
          </w:tcPr>
          <w:p w:rsidR="00000000" w:rsidRPr="009412DF" w:rsidP="009412DF">
            <w:pPr>
              <w:pStyle w:val="BodyText"/>
            </w:pPr>
            <w:r w:rsidRPr="009412DF">
              <w:rPr>
                <w:rStyle w:val="BoldandItalics"/>
              </w:rPr>
              <w:t>Service penetration products</w:t>
            </w:r>
            <w:r w:rsidRPr="009412DF">
              <w:t xml:space="preserve"> are identified according to function and tags.</w:t>
            </w:r>
          </w:p>
        </w:tc>
      </w:tr>
    </w:tbl>
    <w:p w:rsidR="00000000" w:rsidRPr="009412DF" w:rsidP="009412DF">
      <w:pPr>
        <w:pStyle w:val="BodyText"/>
      </w:pPr>
    </w:p>
    <w:tbl>
      <w:tblPr>
        <w:tblW w:w="0" w:type="auto"/>
        <w:tblLayout w:type="fixed"/>
        <w:tblCellMar>
          <w:left w:w="62" w:type="dxa"/>
          <w:right w:w="62" w:type="dxa"/>
        </w:tblCellMar>
        <w:tblLook w:val="0000"/>
      </w:tblPr>
      <w:tblGrid>
        <w:gridCol w:w="678"/>
        <w:gridCol w:w="1962"/>
        <w:gridCol w:w="770"/>
        <w:gridCol w:w="5610"/>
      </w:tblGrid>
      <w:tr w:rsidTr="00941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t>4</w:t>
            </w:r>
          </w:p>
        </w:tc>
        <w:tc>
          <w:tcPr>
            <w:tcW w:w="1962" w:type="dxa"/>
            <w:tcBorders>
              <w:top w:val="nil"/>
              <w:left w:val="nil"/>
              <w:bottom w:val="nil"/>
              <w:right w:val="nil"/>
            </w:tcBorders>
            <w:tcMar>
              <w:top w:w="0" w:type="dxa"/>
              <w:left w:w="62" w:type="dxa"/>
              <w:bottom w:w="0" w:type="dxa"/>
              <w:right w:w="62" w:type="dxa"/>
            </w:tcMar>
          </w:tcPr>
          <w:p w:rsidR="00000000" w:rsidRPr="009412DF" w:rsidP="009412DF">
            <w:pPr>
              <w:pStyle w:val="BodyText"/>
            </w:pPr>
            <w:r w:rsidRPr="009412DF">
              <w:t>Identify fire pumpsets.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12DF" w:rsidP="009412DF">
            <w:pPr>
              <w:pStyle w:val="BodyText"/>
            </w:pPr>
            <w:r w:rsidRPr="009412DF">
              <w:t>4.1</w:t>
            </w:r>
          </w:p>
        </w:tc>
        <w:tc>
          <w:tcPr>
            <w:tcW w:w="5610" w:type="dxa"/>
            <w:tcBorders>
              <w:top w:val="nil"/>
              <w:left w:val="nil"/>
              <w:bottom w:val="nil"/>
              <w:right w:val="nil"/>
            </w:tcBorders>
            <w:tcMar>
              <w:top w:w="0" w:type="dxa"/>
              <w:left w:w="62" w:type="dxa"/>
              <w:bottom w:w="0" w:type="dxa"/>
              <w:right w:w="62" w:type="dxa"/>
            </w:tcMar>
          </w:tcPr>
          <w:p w:rsidR="00000000" w:rsidRPr="009412DF" w:rsidP="009412DF">
            <w:pPr>
              <w:pStyle w:val="BodyText"/>
            </w:pPr>
            <w:r w:rsidRPr="009412DF">
              <w:rPr>
                <w:rStyle w:val="BoldandItalics"/>
              </w:rPr>
              <w:t>Fire pumpsets</w:t>
            </w:r>
            <w:r w:rsidRPr="009412DF">
              <w:t xml:space="preserve"> are identified according to function.</w:t>
            </w:r>
          </w:p>
          <w:p w:rsidR="00000000" w:rsidRPr="009412DF" w:rsidP="009412DF">
            <w:pPr>
              <w:pStyle w:val="BodyText"/>
            </w:pPr>
          </w:p>
        </w:tc>
      </w:tr>
    </w:tbl>
    <w:p w:rsidR="00000000" w:rsidRPr="009412DF" w:rsidP="009412DF">
      <w:pPr>
        <w:pStyle w:val="BodyText"/>
      </w:pPr>
    </w:p>
    <w:tbl>
      <w:tblPr>
        <w:tblW w:w="0" w:type="auto"/>
        <w:tblLayout w:type="fixed"/>
        <w:tblCellMar>
          <w:left w:w="62" w:type="dxa"/>
          <w:right w:w="62" w:type="dxa"/>
        </w:tblCellMar>
        <w:tblLook w:val="0000"/>
      </w:tblPr>
      <w:tblGrid>
        <w:gridCol w:w="678"/>
        <w:gridCol w:w="1962"/>
        <w:gridCol w:w="770"/>
        <w:gridCol w:w="5610"/>
      </w:tblGrid>
      <w:tr w:rsidTr="00941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t>5</w:t>
            </w:r>
          </w:p>
        </w:tc>
        <w:tc>
          <w:tcPr>
            <w:tcW w:w="1962" w:type="dxa"/>
            <w:vMerge w:val="restart"/>
            <w:tcBorders>
              <w:top w:val="nil"/>
              <w:left w:val="nil"/>
              <w:bottom w:val="nil"/>
              <w:right w:val="nil"/>
            </w:tcBorders>
            <w:tcMar>
              <w:top w:w="0" w:type="dxa"/>
              <w:left w:w="62" w:type="dxa"/>
              <w:bottom w:w="0" w:type="dxa"/>
              <w:right w:w="62" w:type="dxa"/>
            </w:tcMar>
          </w:tcPr>
          <w:p w:rsidR="00000000" w:rsidRPr="009412DF" w:rsidP="009412DF">
            <w:pPr>
              <w:pStyle w:val="BodyText"/>
            </w:pPr>
            <w:r w:rsidRPr="009412DF">
              <w:t>Identify automatic fire-suppression systems.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12DF" w:rsidP="009412DF">
            <w:pPr>
              <w:pStyle w:val="BodyText"/>
            </w:pPr>
            <w:r w:rsidRPr="009412DF">
              <w:t>5.1</w:t>
            </w:r>
          </w:p>
        </w:tc>
        <w:tc>
          <w:tcPr>
            <w:tcW w:w="5610" w:type="dxa"/>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rPr>
                <w:rStyle w:val="BoldandItalics"/>
              </w:rPr>
              <w:t>Automatic sprinkler alarm systems</w:t>
            </w:r>
            <w:r w:rsidRPr="009412DF">
              <w:t xml:space="preserve"> are identified according to function.</w:t>
            </w:r>
          </w:p>
        </w:tc>
      </w:tr>
      <w:tr w:rsidTr="00941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12DF" w:rsidP="009412DF">
            <w:pPr>
              <w:pStyle w:val="BodyText"/>
            </w:pPr>
            <w:r w:rsidRPr="009412DF">
              <w:t>5.2</w:t>
            </w:r>
          </w:p>
        </w:tc>
        <w:tc>
          <w:tcPr>
            <w:tcW w:w="5610" w:type="dxa"/>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rPr>
                <w:rStyle w:val="BoldandItalics"/>
              </w:rPr>
              <w:t>Pre-engineered fire-suppression systems</w:t>
            </w:r>
            <w:r w:rsidRPr="009412DF">
              <w:t xml:space="preserve"> are identified according to function.</w:t>
            </w:r>
          </w:p>
        </w:tc>
      </w:tr>
      <w:tr w:rsidTr="00941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12DF" w:rsidP="009412DF">
            <w:pPr>
              <w:pStyle w:val="BodyText"/>
            </w:pPr>
            <w:r w:rsidRPr="009412DF">
              <w:t>5.3</w:t>
            </w:r>
          </w:p>
        </w:tc>
        <w:tc>
          <w:tcPr>
            <w:tcW w:w="5610" w:type="dxa"/>
            <w:tcBorders>
              <w:top w:val="nil"/>
              <w:left w:val="nil"/>
              <w:bottom w:val="nil"/>
              <w:right w:val="nil"/>
            </w:tcBorders>
            <w:tcMar>
              <w:top w:w="0" w:type="dxa"/>
              <w:left w:w="62" w:type="dxa"/>
              <w:bottom w:w="0" w:type="dxa"/>
              <w:right w:w="62" w:type="dxa"/>
            </w:tcMar>
          </w:tcPr>
          <w:p w:rsidR="00000000" w:rsidRPr="009412DF" w:rsidP="009412DF">
            <w:pPr>
              <w:pStyle w:val="BodyText"/>
            </w:pPr>
            <w:r w:rsidRPr="009412DF">
              <w:rPr>
                <w:rStyle w:val="BoldandItalics"/>
              </w:rPr>
              <w:t>Gaseous fire-suppression systems</w:t>
            </w:r>
            <w:r w:rsidRPr="009412DF">
              <w:t xml:space="preserve"> are identified according to function.</w:t>
            </w:r>
          </w:p>
        </w:tc>
      </w:tr>
    </w:tbl>
    <w:p w:rsidR="00000000" w:rsidRPr="009412DF" w:rsidP="009412DF">
      <w:pPr>
        <w:pStyle w:val="BodyText"/>
      </w:pPr>
    </w:p>
    <w:tbl>
      <w:tblPr>
        <w:tblW w:w="0" w:type="auto"/>
        <w:tblLayout w:type="fixed"/>
        <w:tblCellMar>
          <w:left w:w="62" w:type="dxa"/>
          <w:right w:w="62" w:type="dxa"/>
        </w:tblCellMar>
        <w:tblLook w:val="0000"/>
      </w:tblPr>
      <w:tblGrid>
        <w:gridCol w:w="678"/>
        <w:gridCol w:w="1962"/>
        <w:gridCol w:w="770"/>
        <w:gridCol w:w="5610"/>
      </w:tblGrid>
      <w:tr w:rsidTr="00941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t>6</w:t>
            </w:r>
          </w:p>
        </w:tc>
        <w:tc>
          <w:tcPr>
            <w:tcW w:w="1962" w:type="dxa"/>
            <w:vMerge w:val="restart"/>
            <w:tcBorders>
              <w:top w:val="nil"/>
              <w:left w:val="nil"/>
              <w:bottom w:val="nil"/>
              <w:right w:val="nil"/>
            </w:tcBorders>
            <w:tcMar>
              <w:top w:w="0" w:type="dxa"/>
              <w:left w:w="62" w:type="dxa"/>
              <w:bottom w:w="0" w:type="dxa"/>
              <w:right w:w="62" w:type="dxa"/>
            </w:tcMar>
          </w:tcPr>
          <w:p w:rsidR="00000000" w:rsidRPr="009412DF" w:rsidP="009412DF">
            <w:pPr>
              <w:pStyle w:val="BodyText"/>
            </w:pPr>
            <w:r w:rsidRPr="009412DF">
              <w:t>Identify electrical life safety equipment and systems.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12DF" w:rsidP="009412DF">
            <w:pPr>
              <w:pStyle w:val="BodyText"/>
            </w:pPr>
            <w:r w:rsidRPr="009412DF">
              <w:t>6.1</w:t>
            </w:r>
          </w:p>
        </w:tc>
        <w:tc>
          <w:tcPr>
            <w:tcW w:w="5610" w:type="dxa"/>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rPr>
                <w:rStyle w:val="BoldandItalics"/>
              </w:rPr>
              <w:t>Automatic fire detection and alarm systems</w:t>
            </w:r>
            <w:r w:rsidRPr="009412DF">
              <w:t xml:space="preserve"> are identified according to function.</w:t>
            </w:r>
          </w:p>
        </w:tc>
      </w:tr>
      <w:tr w:rsidTr="00941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12DF" w:rsidP="009412DF">
            <w:pPr>
              <w:pStyle w:val="BodyText"/>
            </w:pPr>
            <w:r w:rsidRPr="009412DF">
              <w:t>6.2</w:t>
            </w:r>
          </w:p>
        </w:tc>
        <w:tc>
          <w:tcPr>
            <w:tcW w:w="5610" w:type="dxa"/>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rPr>
                <w:rStyle w:val="BoldandItalics"/>
              </w:rPr>
              <w:t>Smoke alarms</w:t>
            </w:r>
            <w:r w:rsidRPr="009412DF">
              <w:t xml:space="preserve"> </w:t>
            </w:r>
            <w:r w:rsidRPr="009412DF">
              <w:rPr>
                <w:rStyle w:val="BoldandItalics"/>
              </w:rPr>
              <w:t>and</w:t>
            </w:r>
            <w:r w:rsidRPr="009412DF">
              <w:t xml:space="preserve"> </w:t>
            </w:r>
            <w:r w:rsidRPr="009412DF">
              <w:rPr>
                <w:rStyle w:val="BoldandItalics"/>
              </w:rPr>
              <w:t>heat alarms</w:t>
            </w:r>
            <w:r w:rsidRPr="009412DF">
              <w:t xml:space="preserve"> are identified according to function. </w:t>
            </w:r>
          </w:p>
        </w:tc>
      </w:tr>
      <w:tr w:rsidTr="00941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12DF" w:rsidP="009412DF">
            <w:pPr>
              <w:pStyle w:val="BodyText"/>
            </w:pPr>
            <w:r w:rsidRPr="009412DF">
              <w:t>6.3</w:t>
            </w:r>
          </w:p>
        </w:tc>
        <w:tc>
          <w:tcPr>
            <w:tcW w:w="5610" w:type="dxa"/>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rPr>
                <w:rStyle w:val="BoldandItalics"/>
              </w:rPr>
              <w:t>Sound s</w:t>
            </w:r>
            <w:r w:rsidRPr="009412DF">
              <w:rPr>
                <w:rStyle w:val="BoldandItalics"/>
              </w:rPr>
              <w:t>ystems for emergency purposes</w:t>
            </w:r>
            <w:r w:rsidRPr="009412DF">
              <w:t xml:space="preserve"> are identified according to function.</w:t>
            </w:r>
          </w:p>
        </w:tc>
      </w:tr>
      <w:tr w:rsidTr="00941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12DF" w:rsidP="009412DF">
            <w:pPr>
              <w:pStyle w:val="BodyText"/>
            </w:pPr>
            <w:r w:rsidRPr="009412DF">
              <w:t>6.4</w:t>
            </w:r>
          </w:p>
        </w:tc>
        <w:tc>
          <w:tcPr>
            <w:tcW w:w="5610" w:type="dxa"/>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rPr>
                <w:rStyle w:val="BoldandItalics"/>
              </w:rPr>
              <w:t>Intercom systems for emergency purposes</w:t>
            </w:r>
            <w:r w:rsidRPr="009412DF">
              <w:t xml:space="preserve"> are identified according to function.</w:t>
            </w:r>
          </w:p>
        </w:tc>
      </w:tr>
      <w:tr w:rsidTr="00941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412DF" w:rsidP="009412DF">
            <w:pPr>
              <w:pStyle w:val="BodyText"/>
            </w:pPr>
            <w:r w:rsidRPr="009412DF">
              <w:t>6.5</w:t>
            </w:r>
          </w:p>
        </w:tc>
        <w:tc>
          <w:tcPr>
            <w:tcW w:w="5610" w:type="dxa"/>
            <w:tcBorders>
              <w:top w:val="nil"/>
              <w:left w:val="nil"/>
              <w:bottom w:val="nil"/>
              <w:right w:val="nil"/>
            </w:tcBorders>
            <w:tcMar>
              <w:top w:w="0" w:type="dxa"/>
              <w:left w:w="62" w:type="dxa"/>
              <w:bottom w:w="0" w:type="dxa"/>
              <w:right w:w="62" w:type="dxa"/>
            </w:tcMar>
          </w:tcPr>
          <w:p w:rsidR="00000000" w:rsidRPr="009412DF" w:rsidP="009412DF">
            <w:pPr>
              <w:pStyle w:val="BodyText"/>
            </w:pPr>
            <w:r w:rsidRPr="009412DF">
              <w:rPr>
                <w:rStyle w:val="BoldandItalics"/>
              </w:rPr>
              <w:t xml:space="preserve">Emergency exits and lighting </w:t>
            </w:r>
            <w:r w:rsidRPr="009412DF">
              <w:t>units are identified.</w:t>
            </w:r>
          </w:p>
        </w:tc>
      </w:tr>
    </w:tbl>
    <w:p w:rsidR="00000000" w:rsidRPr="009412DF" w:rsidP="009412DF">
      <w:pPr>
        <w:pStyle w:val="BodyText"/>
      </w:pPr>
    </w:p>
    <w:tbl>
      <w:tblPr>
        <w:tblW w:w="0" w:type="auto"/>
        <w:tblLayout w:type="fixed"/>
        <w:tblCellMar>
          <w:left w:w="62" w:type="dxa"/>
          <w:right w:w="62" w:type="dxa"/>
        </w:tblCellMar>
        <w:tblLook w:val="0000"/>
      </w:tblPr>
      <w:tblGrid>
        <w:gridCol w:w="678"/>
        <w:gridCol w:w="1962"/>
        <w:gridCol w:w="770"/>
        <w:gridCol w:w="5610"/>
      </w:tblGrid>
      <w:tr w:rsidTr="00941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t>7</w:t>
            </w:r>
          </w:p>
        </w:tc>
        <w:tc>
          <w:tcPr>
            <w:tcW w:w="1962" w:type="dxa"/>
            <w:vMerge w:val="restart"/>
            <w:tcBorders>
              <w:top w:val="nil"/>
              <w:left w:val="nil"/>
              <w:bottom w:val="nil"/>
              <w:right w:val="nil"/>
            </w:tcBorders>
            <w:tcMar>
              <w:top w:w="0" w:type="dxa"/>
              <w:left w:w="62" w:type="dxa"/>
              <w:bottom w:w="0" w:type="dxa"/>
              <w:right w:w="62" w:type="dxa"/>
            </w:tcMar>
          </w:tcPr>
          <w:p w:rsidR="00000000" w:rsidRPr="009412DF" w:rsidP="009412DF">
            <w:pPr>
              <w:pStyle w:val="BodyText"/>
            </w:pPr>
            <w:r w:rsidRPr="009412DF">
              <w:t>Recognise and report on installed fire safety equipment and systems.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t>7.1</w:t>
            </w:r>
          </w:p>
        </w:tc>
        <w:tc>
          <w:tcPr>
            <w:tcW w:w="5610" w:type="dxa"/>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t>Fire safety equipment and systems are recognised at work sites and discussed with customers and colleagues.</w:t>
            </w:r>
          </w:p>
        </w:tc>
      </w:tr>
      <w:tr w:rsidTr="009412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t>7.2</w:t>
            </w:r>
          </w:p>
        </w:tc>
        <w:tc>
          <w:tcPr>
            <w:tcW w:w="5610" w:type="dxa"/>
            <w:tcBorders>
              <w:top w:val="nil"/>
              <w:left w:val="nil"/>
              <w:bottom w:val="nil"/>
              <w:right w:val="nil"/>
            </w:tcBorders>
            <w:tcMar>
              <w:top w:w="0" w:type="dxa"/>
              <w:left w:w="62" w:type="dxa"/>
              <w:bottom w:w="0" w:type="dxa"/>
              <w:right w:w="62" w:type="dxa"/>
            </w:tcMar>
          </w:tcPr>
          <w:p w:rsidR="00000000" w:rsidRPr="009412DF" w:rsidP="009412DF">
            <w:pPr>
              <w:pStyle w:val="BodyText"/>
            </w:pPr>
            <w:r w:rsidRPr="009412DF">
              <w:t xml:space="preserve">Information about installed equipment and systems is </w:t>
            </w:r>
            <w:r w:rsidRPr="009412DF">
              <w:rPr>
                <w:rStyle w:val="BoldandItalics"/>
              </w:rPr>
              <w:t>communicated</w:t>
            </w:r>
            <w:r w:rsidRPr="009412DF">
              <w:t xml:space="preserve"> </w:t>
            </w:r>
            <w:r w:rsidRPr="009412DF">
              <w:t xml:space="preserve">to </w:t>
            </w:r>
            <w:r w:rsidRPr="009412DF">
              <w:rPr>
                <w:rStyle w:val="BoldandItalics"/>
              </w:rPr>
              <w:t>relevant persons</w:t>
            </w:r>
            <w:r w:rsidRPr="009412DF">
              <w:t xml:space="preserve">. </w:t>
            </w:r>
          </w:p>
        </w:tc>
      </w:tr>
    </w:tbl>
    <w:p w:rsidR="00000000" w:rsidRPr="009412DF" w:rsidP="009412DF">
      <w:pPr>
        <w:pStyle w:val="BodyText"/>
      </w:pPr>
    </w:p>
    <w:p w:rsidR="00000000" w:rsidRPr="009412DF" w:rsidP="009412DF">
      <w:pPr>
        <w:pStyle w:val="AllowPageBreak"/>
      </w:pPr>
    </w:p>
    <w:p w:rsidR="00000000" w:rsidRPr="009412DF" w:rsidP="009412DF">
      <w:pPr>
        <w:pStyle w:val="Heading1"/>
      </w:pPr>
      <w:bookmarkStart w:id="9" w:name="O_359395"/>
      <w:bookmarkEnd w:id="9"/>
      <w:r w:rsidRPr="009412DF">
        <w:t>Required Skills and Knowledge</w:t>
      </w:r>
    </w:p>
    <w:tbl>
      <w:tblPr>
        <w:tblW w:w="9462" w:type="dxa"/>
        <w:tblLayout w:type="fixed"/>
        <w:tblCellMar>
          <w:left w:w="62" w:type="dxa"/>
          <w:right w:w="62" w:type="dxa"/>
        </w:tblCellMar>
        <w:tblLook w:val="0000"/>
      </w:tblPr>
      <w:tblGrid>
        <w:gridCol w:w="9462"/>
      </w:tblGrid>
      <w:tr w:rsidTr="009412D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t>This section describes the skills and knowledge required for this unit.</w:t>
            </w:r>
          </w:p>
        </w:tc>
      </w:tr>
      <w:tr w:rsidTr="009412D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rPr>
                <w:rStyle w:val="SpecialBold"/>
              </w:rPr>
              <w:t>Required skills</w:t>
            </w:r>
          </w:p>
        </w:tc>
      </w:tr>
      <w:tr w:rsidTr="009412D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412DF" w:rsidP="009412DF">
            <w:pPr>
              <w:pStyle w:val="ListBullet"/>
            </w:pPr>
            <w:r w:rsidRPr="009412DF">
              <w:t>language, literacy and numeracy skills to:</w:t>
            </w:r>
          </w:p>
          <w:p w:rsidR="00000000" w:rsidRPr="009412DF" w:rsidP="009412DF">
            <w:pPr>
              <w:pStyle w:val="ListBullet2"/>
            </w:pPr>
            <w:r w:rsidRPr="009412DF">
              <w:t>communicate with others clearly and concisely, verbally and in writing</w:t>
            </w:r>
          </w:p>
          <w:p w:rsidR="00000000" w:rsidRPr="009412DF" w:rsidP="009412DF">
            <w:pPr>
              <w:pStyle w:val="ListBullet2"/>
            </w:pPr>
            <w:r w:rsidRPr="009412DF">
              <w:t>read and comply with work instructions and specifications</w:t>
            </w:r>
          </w:p>
          <w:p w:rsidR="00000000" w:rsidRPr="009412DF" w:rsidP="009412DF">
            <w:pPr>
              <w:pStyle w:val="ListBullet2"/>
            </w:pPr>
            <w:r w:rsidRPr="009412DF">
              <w:t>use effective questioning and listening techniques</w:t>
            </w:r>
          </w:p>
          <w:p w:rsidR="00000000" w:rsidP="009412DF">
            <w:pPr>
              <w:pStyle w:val="ListBullet"/>
              <w:rPr>
                <w:lang w:val="en-NZ"/>
              </w:rPr>
            </w:pPr>
            <w:r w:rsidRPr="009412DF">
              <w:t>recognising installed fire safety equipment and systems</w:t>
            </w:r>
          </w:p>
        </w:tc>
      </w:tr>
      <w:tr w:rsidTr="009412D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rPr>
                <w:rStyle w:val="SpecialBold"/>
              </w:rPr>
              <w:t>Required knowledge</w:t>
            </w:r>
          </w:p>
        </w:tc>
      </w:tr>
      <w:tr w:rsidTr="009412D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412DF" w:rsidP="009412DF">
            <w:pPr>
              <w:pStyle w:val="ListBullet"/>
            </w:pPr>
            <w:r w:rsidRPr="009412DF">
              <w:t>purpose and range of Australian colour-coding system for portable and wheeled fire extinguishers, including pictographs</w:t>
            </w:r>
          </w:p>
          <w:p w:rsidR="00000000" w:rsidRPr="009412DF" w:rsidP="009412DF">
            <w:pPr>
              <w:pStyle w:val="ListBullet"/>
            </w:pPr>
            <w:r w:rsidRPr="009412DF">
              <w:t>purpose and types of:</w:t>
            </w:r>
          </w:p>
          <w:p w:rsidR="00000000" w:rsidRPr="009412DF" w:rsidP="009412DF">
            <w:pPr>
              <w:pStyle w:val="ListBullet2"/>
            </w:pPr>
            <w:r w:rsidRPr="009412DF">
              <w:t>automatic fire detection and alarm systems</w:t>
            </w:r>
          </w:p>
          <w:p w:rsidR="00000000" w:rsidRPr="009412DF" w:rsidP="009412DF">
            <w:pPr>
              <w:pStyle w:val="ListBullet2"/>
            </w:pPr>
            <w:r w:rsidRPr="009412DF">
              <w:t>automatic sprinkler alarm systems</w:t>
            </w:r>
          </w:p>
          <w:p w:rsidR="00000000" w:rsidRPr="009412DF" w:rsidP="009412DF">
            <w:pPr>
              <w:pStyle w:val="ListBullet2"/>
            </w:pPr>
            <w:r w:rsidRPr="009412DF">
              <w:t>delivery lay flat fire hoses</w:t>
            </w:r>
          </w:p>
          <w:p w:rsidR="00000000" w:rsidRPr="009412DF" w:rsidP="009412DF">
            <w:pPr>
              <w:pStyle w:val="ListBullet2"/>
            </w:pPr>
            <w:r w:rsidRPr="009412DF">
              <w:t>emergency exits and lighting units and system</w:t>
            </w:r>
          </w:p>
          <w:p w:rsidR="00000000" w:rsidRPr="009412DF" w:rsidP="009412DF">
            <w:pPr>
              <w:pStyle w:val="ListBullet2"/>
            </w:pPr>
            <w:r w:rsidRPr="009412DF">
              <w:t>fire and smoke door sets</w:t>
            </w:r>
          </w:p>
          <w:p w:rsidR="00000000" w:rsidRPr="009412DF" w:rsidP="009412DF">
            <w:pPr>
              <w:pStyle w:val="ListBullet2"/>
            </w:pPr>
            <w:r w:rsidRPr="009412DF">
              <w:t>fire blankets</w:t>
            </w:r>
          </w:p>
          <w:p w:rsidR="00000000" w:rsidRPr="009412DF" w:rsidP="009412DF">
            <w:pPr>
              <w:pStyle w:val="ListBullet2"/>
            </w:pPr>
            <w:r w:rsidRPr="009412DF">
              <w:t>fire hose reels</w:t>
            </w:r>
          </w:p>
          <w:p w:rsidR="00000000" w:rsidRPr="009412DF" w:rsidP="009412DF">
            <w:pPr>
              <w:pStyle w:val="ListBullet2"/>
            </w:pPr>
            <w:r w:rsidRPr="009412DF">
              <w:t>fire pumpsets</w:t>
            </w:r>
          </w:p>
          <w:p w:rsidR="00000000" w:rsidRPr="009412DF" w:rsidP="009412DF">
            <w:pPr>
              <w:pStyle w:val="ListBullet2"/>
            </w:pPr>
            <w:r w:rsidRPr="009412DF">
              <w:t>gaseous fire-suppression systems</w:t>
            </w:r>
          </w:p>
          <w:p w:rsidR="00000000" w:rsidRPr="009412DF" w:rsidP="009412DF">
            <w:pPr>
              <w:pStyle w:val="ListBullet2"/>
            </w:pPr>
            <w:r w:rsidRPr="009412DF">
              <w:t>intercom systems for emergency purposes</w:t>
            </w:r>
          </w:p>
          <w:p w:rsidR="00000000" w:rsidRPr="009412DF" w:rsidP="009412DF">
            <w:pPr>
              <w:pStyle w:val="ListBullet2"/>
            </w:pPr>
            <w:r w:rsidRPr="009412DF">
              <w:t xml:space="preserve">major components of fire hydrant systems </w:t>
            </w:r>
          </w:p>
          <w:p w:rsidR="00000000" w:rsidRPr="009412DF" w:rsidP="009412DF">
            <w:pPr>
              <w:pStyle w:val="ListBullet2"/>
            </w:pPr>
            <w:r w:rsidRPr="009412DF">
              <w:t xml:space="preserve">portable and wheeled fire </w:t>
            </w:r>
            <w:r w:rsidRPr="009412DF">
              <w:t>extinguishers</w:t>
            </w:r>
          </w:p>
          <w:p w:rsidR="00000000" w:rsidRPr="009412DF" w:rsidP="009412DF">
            <w:pPr>
              <w:pStyle w:val="ListBullet2"/>
            </w:pPr>
            <w:r w:rsidRPr="009412DF">
              <w:t>pre-engineered fire-suppression systems</w:t>
            </w:r>
          </w:p>
          <w:p w:rsidR="00000000" w:rsidRPr="009412DF" w:rsidP="009412DF">
            <w:pPr>
              <w:pStyle w:val="ListBullet2"/>
            </w:pPr>
            <w:r w:rsidRPr="009412DF">
              <w:t>service penetration products</w:t>
            </w:r>
          </w:p>
          <w:p w:rsidR="00000000" w:rsidRPr="009412DF" w:rsidP="009412DF">
            <w:pPr>
              <w:pStyle w:val="ListBullet2"/>
            </w:pPr>
            <w:r w:rsidRPr="009412DF">
              <w:t>smoke and heat alarms</w:t>
            </w:r>
          </w:p>
          <w:p w:rsidR="00000000" w:rsidRPr="009412DF" w:rsidP="009412DF">
            <w:pPr>
              <w:pStyle w:val="ListBullet2"/>
            </w:pPr>
            <w:r w:rsidRPr="009412DF">
              <w:t>sound systems for emergency purposes</w:t>
            </w:r>
          </w:p>
        </w:tc>
      </w:tr>
    </w:tbl>
    <w:p w:rsidR="00000000" w:rsidRPr="009412DF" w:rsidP="009412DF">
      <w:pPr>
        <w:pStyle w:val="BodyText"/>
      </w:pPr>
    </w:p>
    <w:p w:rsidR="00000000" w:rsidRPr="009412DF" w:rsidP="009412DF">
      <w:pPr>
        <w:pStyle w:val="AllowPageBreak"/>
      </w:pPr>
    </w:p>
    <w:p w:rsidR="00000000" w:rsidRPr="009412DF" w:rsidP="009412DF">
      <w:pPr>
        <w:pStyle w:val="Heading1"/>
      </w:pPr>
      <w:bookmarkStart w:id="10" w:name="O_359396"/>
      <w:bookmarkEnd w:id="10"/>
      <w:r w:rsidRPr="009412DF">
        <w:t>Evidence Guide</w:t>
      </w:r>
    </w:p>
    <w:tbl>
      <w:tblPr>
        <w:tblW w:w="9462" w:type="dxa"/>
        <w:tblLayout w:type="fixed"/>
        <w:tblCellMar>
          <w:left w:w="62" w:type="dxa"/>
          <w:right w:w="62" w:type="dxa"/>
        </w:tblCellMar>
        <w:tblLook w:val="0000"/>
      </w:tblPr>
      <w:tblGrid>
        <w:gridCol w:w="2700"/>
        <w:gridCol w:w="6762"/>
      </w:tblGrid>
      <w:tr w:rsidTr="009412DF">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t>The evidence guide provides advice on assessment and must be read in conjunction with the performance criteria, required skills and knowledge, range statement and the Assessment Guidelines for the Training Package.</w:t>
            </w:r>
          </w:p>
        </w:tc>
      </w:tr>
      <w:tr w:rsidTr="009412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DF">
            <w:pPr>
              <w:pStyle w:val="BodyText"/>
              <w:rPr>
                <w:lang w:val="en-NZ"/>
              </w:rPr>
            </w:pPr>
            <w:r w:rsidRPr="009412DF">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DF">
            <w:pPr>
              <w:pStyle w:val="BodyText"/>
              <w:rPr>
                <w:lang w:val="en-NZ"/>
              </w:rPr>
            </w:pPr>
            <w:r w:rsidRPr="009412DF">
              <w:t>This unit of com</w:t>
            </w:r>
            <w:r w:rsidRPr="009412DF">
              <w:t>petency could be assessed by observation of practical demonstration of the ability to identify the fire equipment and systems outlined in the range statement at customers’ premises.</w:t>
            </w:r>
          </w:p>
        </w:tc>
      </w:tr>
      <w:tr w:rsidTr="009412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DF">
            <w:pPr>
              <w:pStyle w:val="BodyText"/>
              <w:rPr>
                <w:lang w:val="en-NZ"/>
              </w:rPr>
            </w:pPr>
            <w:r w:rsidRPr="009412DF">
              <w:t>Critical aspects for assessment and evidence required to demonstrate comp</w:t>
            </w:r>
            <w:r w:rsidRPr="009412DF">
              <w:t>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2DF" w:rsidP="009412DF">
            <w:pPr>
              <w:pStyle w:val="BodyText"/>
            </w:pPr>
            <w:r w:rsidRPr="009412DF">
              <w:t>A person who demonstrates competency in this unit must be able to provide evidence of the required skills and knowledge specified in this unit.</w:t>
            </w:r>
          </w:p>
          <w:p w:rsidR="00000000" w:rsidRPr="009412DF" w:rsidP="009412DF">
            <w:pPr>
              <w:pStyle w:val="BodyText"/>
            </w:pPr>
            <w:r w:rsidRPr="009412DF">
              <w:t>In particular the person should demonstrate the ability to:</w:t>
            </w:r>
          </w:p>
          <w:p w:rsidR="00000000" w:rsidRPr="009412DF" w:rsidP="009412DF">
            <w:pPr>
              <w:pStyle w:val="ListBullet"/>
            </w:pPr>
            <w:r w:rsidRPr="009412DF">
              <w:t xml:space="preserve">identify a range of fire safety </w:t>
            </w:r>
            <w:r w:rsidRPr="009412DF">
              <w:t>equipment and systems, including:</w:t>
            </w:r>
          </w:p>
          <w:p w:rsidR="00000000" w:rsidRPr="009412DF" w:rsidP="009412DF">
            <w:pPr>
              <w:pStyle w:val="ListBullet2"/>
            </w:pPr>
            <w:r w:rsidRPr="009412DF">
              <w:t xml:space="preserve">automatic fire-suppression systems </w:t>
            </w:r>
          </w:p>
          <w:p w:rsidR="00000000" w:rsidRPr="009412DF" w:rsidP="009412DF">
            <w:pPr>
              <w:pStyle w:val="ListBullet2"/>
            </w:pPr>
            <w:r w:rsidRPr="009412DF">
              <w:t>electrical life safety equipment and systems</w:t>
            </w:r>
          </w:p>
          <w:p w:rsidR="00000000" w:rsidRPr="009412DF" w:rsidP="009412DF">
            <w:pPr>
              <w:pStyle w:val="ListBullet2"/>
            </w:pPr>
            <w:r w:rsidRPr="009412DF">
              <w:t>fire hydrant systems</w:t>
            </w:r>
          </w:p>
          <w:p w:rsidR="00000000" w:rsidRPr="009412DF" w:rsidP="009412DF">
            <w:pPr>
              <w:pStyle w:val="ListBullet2"/>
            </w:pPr>
            <w:r w:rsidRPr="009412DF">
              <w:t>fire pumpsets</w:t>
            </w:r>
          </w:p>
          <w:p w:rsidR="00000000" w:rsidRPr="009412DF" w:rsidP="009412DF">
            <w:pPr>
              <w:pStyle w:val="ListBullet2"/>
            </w:pPr>
            <w:r w:rsidRPr="009412DF">
              <w:t>first attack equipment</w:t>
            </w:r>
          </w:p>
          <w:p w:rsidR="00000000" w:rsidRPr="009412DF" w:rsidP="009412DF">
            <w:pPr>
              <w:pStyle w:val="ListBullet2"/>
            </w:pPr>
            <w:r w:rsidRPr="009412DF">
              <w:t xml:space="preserve">passive products and systems </w:t>
            </w:r>
          </w:p>
          <w:p w:rsidR="00000000" w:rsidP="009412DF">
            <w:pPr>
              <w:pStyle w:val="ListBullet"/>
              <w:rPr>
                <w:lang w:val="en-NZ"/>
              </w:rPr>
            </w:pPr>
            <w:r w:rsidRPr="009412DF">
              <w:t>report on fire safety equipment and systems installed at customers’ premises.</w:t>
            </w:r>
          </w:p>
        </w:tc>
      </w:tr>
      <w:tr w:rsidTr="009412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DF">
            <w:pPr>
              <w:pStyle w:val="BodyText"/>
              <w:rPr>
                <w:lang w:val="en-NZ"/>
              </w:rPr>
            </w:pPr>
            <w:r w:rsidRPr="009412DF">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2DF" w:rsidP="009412DF">
            <w:pPr>
              <w:pStyle w:val="BodyText"/>
            </w:pPr>
            <w:r w:rsidRPr="009412DF">
              <w:t>Assessment of essential underpinning knowledge may be conducted in an off-site context. It is to comply with relevant regulatory</w:t>
            </w:r>
            <w:r w:rsidRPr="009412DF">
              <w:t xml:space="preserve"> or Australian standards’ requirements.</w:t>
            </w:r>
          </w:p>
          <w:p w:rsidR="00000000" w:rsidRPr="009412DF" w:rsidP="009412DF">
            <w:pPr>
              <w:pStyle w:val="BodyText"/>
            </w:pPr>
            <w:r w:rsidRPr="009412DF">
              <w:t>Resource implications for assessment include:</w:t>
            </w:r>
          </w:p>
          <w:p w:rsidR="00000000" w:rsidRPr="009412DF" w:rsidP="009412DF">
            <w:pPr>
              <w:pStyle w:val="ListBullet"/>
            </w:pPr>
            <w:r w:rsidRPr="009412DF">
              <w:t>actual or simulated work environment</w:t>
            </w:r>
          </w:p>
          <w:p w:rsidR="00000000" w:rsidRPr="009412DF" w:rsidP="009412DF">
            <w:pPr>
              <w:pStyle w:val="ListBullet"/>
            </w:pPr>
            <w:r w:rsidRPr="009412DF">
              <w:t>product examples or clear photographs/drawings of relevant products</w:t>
            </w:r>
          </w:p>
          <w:p w:rsidR="00000000" w:rsidRPr="009412DF" w:rsidP="009412DF">
            <w:pPr>
              <w:pStyle w:val="ListBullet"/>
            </w:pPr>
            <w:r w:rsidRPr="009412DF">
              <w:t>assessment documentation</w:t>
            </w:r>
          </w:p>
          <w:p w:rsidR="00000000" w:rsidP="009412DF">
            <w:pPr>
              <w:pStyle w:val="ListBullet"/>
              <w:rPr>
                <w:lang w:val="en-NZ"/>
              </w:rPr>
            </w:pPr>
            <w:r w:rsidRPr="009412DF">
              <w:t>training and assessment record book.</w:t>
            </w:r>
          </w:p>
        </w:tc>
      </w:tr>
      <w:tr w:rsidTr="009412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DF">
            <w:pPr>
              <w:pStyle w:val="BodyText"/>
              <w:rPr>
                <w:lang w:val="en-NZ"/>
              </w:rPr>
            </w:pPr>
            <w:r w:rsidRPr="009412DF">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2DF" w:rsidP="009412DF">
            <w:pPr>
              <w:pStyle w:val="BodyText"/>
            </w:pPr>
            <w:r w:rsidRPr="009412DF">
              <w:t>Assessment methods must:</w:t>
            </w:r>
          </w:p>
          <w:p w:rsidR="00000000" w:rsidRPr="009412DF" w:rsidP="009412DF">
            <w:pPr>
              <w:pStyle w:val="ListBullet"/>
            </w:pPr>
            <w:r w:rsidRPr="009412DF">
              <w:t>satisfy the endorsed Assessment Guidelines of the Property Services Training Package</w:t>
            </w:r>
          </w:p>
          <w:p w:rsidR="00000000" w:rsidRPr="009412DF" w:rsidP="009412DF">
            <w:pPr>
              <w:pStyle w:val="ListBullet"/>
            </w:pPr>
            <w:r w:rsidRPr="009412DF">
              <w:t>include direct observation of tasks in real or simulated work conditions, with questioning to confirm the ability to consiste</w:t>
            </w:r>
            <w:r w:rsidRPr="009412DF">
              <w:t>ntly identify and correctly interpret the essential underpinning knowledge required for practical application</w:t>
            </w:r>
          </w:p>
          <w:p w:rsidR="00000000" w:rsidRPr="009412DF" w:rsidP="009412DF">
            <w:pPr>
              <w:pStyle w:val="ListBullet"/>
            </w:pPr>
            <w:r w:rsidRPr="009412DF">
              <w:t>reinforce the integration of employability skills with workplace tasks and job roles</w:t>
            </w:r>
          </w:p>
          <w:p w:rsidR="00000000" w:rsidP="009412DF">
            <w:pPr>
              <w:pStyle w:val="ListBullet"/>
              <w:rPr>
                <w:lang w:val="en-NZ"/>
              </w:rPr>
            </w:pPr>
            <w:r w:rsidRPr="009412DF">
              <w:t>confirm that competency is verified and able to be transferre</w:t>
            </w:r>
            <w:r w:rsidRPr="009412DF">
              <w:t xml:space="preserve">d to </w:t>
            </w:r>
            <w:r w:rsidRPr="009412DF">
              <w:t>other circumstances and environments.</w:t>
            </w:r>
          </w:p>
        </w:tc>
      </w:tr>
      <w:tr w:rsidTr="009412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DF">
            <w:pPr>
              <w:pStyle w:val="BodyText"/>
              <w:rPr>
                <w:lang w:val="en-NZ"/>
              </w:rPr>
            </w:pPr>
            <w:r w:rsidRPr="009412DF">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2DF" w:rsidP="009412DF">
            <w:pPr>
              <w:pStyle w:val="BodyText"/>
            </w:pPr>
            <w:r w:rsidRPr="009412DF">
              <w:t>Reasonable adjustments for people with disabilities must be made to assessment processes where required. This could include access to modified equipment and other physical reso</w:t>
            </w:r>
            <w:r w:rsidRPr="009412DF">
              <w:t>urces, and the provision of appropriate assessment support.</w:t>
            </w:r>
          </w:p>
          <w:p w:rsidR="00000000" w:rsidRPr="009412DF" w:rsidP="009412DF">
            <w:pPr>
              <w:pStyle w:val="BodyText"/>
            </w:pPr>
            <w:r w:rsidRPr="009412DF">
              <w:t>Assessment processes and techniques should as far as is practical take into account the language, literacy and numeracy capacity of the candidate in relation to the competency being assessed.</w:t>
            </w:r>
          </w:p>
          <w:p w:rsidR="00000000" w:rsidRPr="009412DF" w:rsidP="009412DF">
            <w:pPr>
              <w:pStyle w:val="BodyText"/>
            </w:pPr>
            <w:r w:rsidRPr="009412DF">
              <w:t>This</w:t>
            </w:r>
            <w:r w:rsidRPr="009412DF">
              <w:t xml:space="preserve"> unit could be assessed on its own or in combination with other units relevant to the job function, for example:</w:t>
            </w:r>
          </w:p>
          <w:p w:rsidR="00000000" w:rsidRPr="009412DF" w:rsidP="009412DF">
            <w:pPr>
              <w:pStyle w:val="ListBullet"/>
            </w:pPr>
            <w:r w:rsidRPr="009412DF">
              <w:t>CPPFES2005A Demonstrate first attack firefighting equipment</w:t>
            </w:r>
          </w:p>
          <w:p w:rsidR="00000000" w:rsidRPr="009412DF" w:rsidP="009412DF">
            <w:pPr>
              <w:pStyle w:val="ListBullet"/>
            </w:pPr>
            <w:r w:rsidRPr="009412DF">
              <w:t>CPPFES2006A Prepare for installation and servicing operations.</w:t>
            </w:r>
          </w:p>
        </w:tc>
      </w:tr>
    </w:tbl>
    <w:p w:rsidR="00000000" w:rsidRPr="009412DF" w:rsidP="009412DF">
      <w:pPr>
        <w:pStyle w:val="BodyText"/>
      </w:pPr>
    </w:p>
    <w:p w:rsidR="00000000" w:rsidRPr="009412DF" w:rsidP="009412DF">
      <w:pPr>
        <w:pStyle w:val="AllowPageBreak"/>
      </w:pPr>
    </w:p>
    <w:p w:rsidR="00000000" w:rsidRPr="009412DF" w:rsidP="009412DF">
      <w:pPr>
        <w:pStyle w:val="Heading1"/>
      </w:pPr>
      <w:bookmarkStart w:id="11" w:name="O_359397"/>
      <w:bookmarkEnd w:id="11"/>
      <w:r w:rsidRPr="009412DF">
        <w:t>Range Statement</w:t>
      </w:r>
    </w:p>
    <w:tbl>
      <w:tblPr>
        <w:tblW w:w="9462" w:type="dxa"/>
        <w:tblLayout w:type="fixed"/>
        <w:tblCellMar>
          <w:left w:w="62" w:type="dxa"/>
          <w:right w:w="62" w:type="dxa"/>
        </w:tblCellMar>
        <w:tblLook w:val="0000"/>
      </w:tblPr>
      <w:tblGrid>
        <w:gridCol w:w="2700"/>
        <w:gridCol w:w="6762"/>
      </w:tblGrid>
      <w:tr w:rsidTr="009412DF">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9412DF">
            <w:pPr>
              <w:pStyle w:val="BodyText"/>
              <w:rPr>
                <w:lang w:val="en-NZ"/>
              </w:rPr>
            </w:pPr>
            <w:r w:rsidRPr="009412DF">
              <w:t>The range statement relates to the unit of competency as a whole. It allows for different work environments and situations that may affect performance. Bold italicised wording, if used in the performance criteria, is detailed below. Essenti</w:t>
            </w:r>
            <w:r w:rsidRPr="009412DF">
              <w:t>al operating conditions that may be present with training and assessment (depending on the work situation, needs of the candidate, accessibility of the item, and local industry and regional contexts) may also be included.</w:t>
            </w:r>
          </w:p>
        </w:tc>
      </w:tr>
      <w:tr w:rsidTr="009412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DF">
            <w:pPr>
              <w:pStyle w:val="BodyText"/>
              <w:rPr>
                <w:lang w:val="en-NZ"/>
              </w:rPr>
            </w:pPr>
            <w:r w:rsidRPr="009412DF">
              <w:rPr>
                <w:rStyle w:val="BoldandItalics"/>
              </w:rPr>
              <w:t xml:space="preserve">Portable fire extinguisher </w:t>
            </w:r>
            <w:r w:rsidRPr="009412DF">
              <w:t>types</w:t>
            </w:r>
            <w:r w:rsidRPr="009412DF">
              <w:t xml:space="preserve">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2DF" w:rsidP="009412DF">
            <w:pPr>
              <w:pStyle w:val="ListBullet"/>
            </w:pPr>
            <w:r w:rsidRPr="009412DF">
              <w:t>cartridge</w:t>
            </w:r>
          </w:p>
          <w:p w:rsidR="00000000" w:rsidRPr="009412DF" w:rsidP="009412DF">
            <w:pPr>
              <w:pStyle w:val="ListBullet"/>
            </w:pPr>
            <w:r w:rsidRPr="009412DF">
              <w:t>rechargeable and non-rechargeable</w:t>
            </w:r>
          </w:p>
          <w:p w:rsidR="00000000" w:rsidRPr="009412DF" w:rsidP="009412DF">
            <w:pPr>
              <w:pStyle w:val="ListBullet"/>
            </w:pPr>
            <w:r w:rsidRPr="009412DF">
              <w:t>reversible</w:t>
            </w:r>
          </w:p>
          <w:p w:rsidR="00000000" w:rsidP="009412DF">
            <w:pPr>
              <w:pStyle w:val="ListBullet"/>
              <w:rPr>
                <w:lang w:val="en-NZ"/>
              </w:rPr>
            </w:pPr>
            <w:r w:rsidRPr="009412DF">
              <w:t>stored pressure.</w:t>
            </w:r>
          </w:p>
        </w:tc>
      </w:tr>
      <w:tr w:rsidTr="009412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DF">
            <w:pPr>
              <w:pStyle w:val="BodyText"/>
              <w:rPr>
                <w:lang w:val="en-NZ"/>
              </w:rPr>
            </w:pPr>
            <w:r w:rsidRPr="009412DF">
              <w:rPr>
                <w:rStyle w:val="BoldandItalics"/>
              </w:rPr>
              <w:t>Extinguishants</w:t>
            </w:r>
            <w:r w:rsidRPr="009412D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2DF" w:rsidP="009412DF">
            <w:pPr>
              <w:pStyle w:val="ListBullet"/>
            </w:pPr>
            <w:r w:rsidRPr="009412DF">
              <w:t>carbon dioxide</w:t>
            </w:r>
          </w:p>
          <w:p w:rsidR="00000000" w:rsidRPr="009412DF" w:rsidP="009412DF">
            <w:pPr>
              <w:pStyle w:val="ListBullet"/>
            </w:pPr>
            <w:r w:rsidRPr="009412DF">
              <w:t>foam</w:t>
            </w:r>
          </w:p>
          <w:p w:rsidR="00000000" w:rsidRPr="009412DF" w:rsidP="009412DF">
            <w:pPr>
              <w:pStyle w:val="ListBullet"/>
            </w:pPr>
            <w:r w:rsidRPr="009412DF">
              <w:t>powder</w:t>
            </w:r>
          </w:p>
          <w:p w:rsidR="00000000" w:rsidRPr="009412DF" w:rsidP="009412DF">
            <w:pPr>
              <w:pStyle w:val="ListBullet"/>
            </w:pPr>
            <w:r w:rsidRPr="009412DF">
              <w:t>vaporising liquid</w:t>
            </w:r>
          </w:p>
          <w:p w:rsidR="00000000" w:rsidRPr="009412DF" w:rsidP="009412DF">
            <w:pPr>
              <w:pStyle w:val="ListBullet"/>
            </w:pPr>
            <w:r w:rsidRPr="009412DF">
              <w:t>water</w:t>
            </w:r>
          </w:p>
          <w:p w:rsidR="00000000" w:rsidP="009412DF">
            <w:pPr>
              <w:pStyle w:val="ListBullet"/>
              <w:rPr>
                <w:lang w:val="en-NZ"/>
              </w:rPr>
            </w:pPr>
            <w:r w:rsidRPr="009412DF">
              <w:t>wet chemical.</w:t>
            </w:r>
          </w:p>
        </w:tc>
      </w:tr>
      <w:tr w:rsidTr="009412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DF">
            <w:pPr>
              <w:pStyle w:val="BodyText"/>
              <w:rPr>
                <w:lang w:val="en-NZ"/>
              </w:rPr>
            </w:pPr>
            <w:r w:rsidRPr="009412DF">
              <w:rPr>
                <w:rStyle w:val="BoldandItalics"/>
              </w:rPr>
              <w:t>Expellants</w:t>
            </w:r>
            <w:r w:rsidRPr="009412D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2DF" w:rsidP="009412DF">
            <w:pPr>
              <w:pStyle w:val="ListBullet"/>
            </w:pPr>
            <w:r w:rsidRPr="009412DF">
              <w:t>carbon dioxide</w:t>
            </w:r>
          </w:p>
          <w:p w:rsidR="00000000" w:rsidRPr="009412DF" w:rsidP="009412DF">
            <w:pPr>
              <w:pStyle w:val="ListBullet"/>
            </w:pPr>
            <w:r w:rsidRPr="009412DF">
              <w:t>dry air</w:t>
            </w:r>
          </w:p>
          <w:p w:rsidR="00000000" w:rsidP="009412DF">
            <w:pPr>
              <w:pStyle w:val="ListBullet"/>
              <w:rPr>
                <w:lang w:val="en-NZ"/>
              </w:rPr>
            </w:pPr>
            <w:r w:rsidRPr="009412DF">
              <w:t>nitrogen.</w:t>
            </w:r>
          </w:p>
        </w:tc>
      </w:tr>
      <w:tr w:rsidTr="009412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DF">
            <w:pPr>
              <w:pStyle w:val="BodyText"/>
              <w:rPr>
                <w:lang w:val="en-NZ"/>
              </w:rPr>
            </w:pPr>
            <w:r w:rsidRPr="009412DF">
              <w:rPr>
                <w:rStyle w:val="BoldandItalics"/>
              </w:rPr>
              <w:t xml:space="preserve">Wheeled fire extinguisher </w:t>
            </w:r>
            <w:r w:rsidRPr="009412DF">
              <w:t>types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2DF" w:rsidP="009412DF">
            <w:pPr>
              <w:pStyle w:val="ListBullet"/>
            </w:pPr>
            <w:r w:rsidRPr="009412DF">
              <w:t>cartridge</w:t>
            </w:r>
          </w:p>
          <w:p w:rsidR="00000000" w:rsidP="009412DF">
            <w:pPr>
              <w:pStyle w:val="ListBullet"/>
              <w:rPr>
                <w:lang w:val="en-NZ"/>
              </w:rPr>
            </w:pPr>
            <w:r w:rsidRPr="009412DF">
              <w:t>stored pressure.</w:t>
            </w:r>
          </w:p>
        </w:tc>
      </w:tr>
      <w:tr w:rsidTr="009412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DF">
            <w:pPr>
              <w:pStyle w:val="BodyText"/>
              <w:rPr>
                <w:lang w:val="en-NZ"/>
              </w:rPr>
            </w:pPr>
            <w:r w:rsidRPr="009412DF">
              <w:rPr>
                <w:rStyle w:val="BoldandItalics"/>
              </w:rPr>
              <w:t xml:space="preserve">Fire hose reel </w:t>
            </w:r>
            <w:r w:rsidRPr="009412DF">
              <w:t>types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2DF" w:rsidP="009412DF">
            <w:pPr>
              <w:pStyle w:val="ListBullet"/>
            </w:pPr>
            <w:r w:rsidRPr="009412DF">
              <w:t>swing-hinged</w:t>
            </w:r>
          </w:p>
          <w:p w:rsidR="00000000" w:rsidRPr="009412DF" w:rsidP="009412DF">
            <w:pPr>
              <w:pStyle w:val="ListBullet"/>
            </w:pPr>
            <w:r w:rsidRPr="009412DF">
              <w:t>vehicle-mounted</w:t>
            </w:r>
          </w:p>
          <w:p w:rsidR="00000000" w:rsidP="009412DF">
            <w:pPr>
              <w:pStyle w:val="ListBullet"/>
              <w:rPr>
                <w:lang w:val="en-NZ"/>
              </w:rPr>
            </w:pPr>
            <w:r w:rsidRPr="009412DF">
              <w:t>wall-mounted.</w:t>
            </w:r>
          </w:p>
        </w:tc>
      </w:tr>
      <w:tr w:rsidTr="009412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DF">
            <w:pPr>
              <w:pStyle w:val="BodyText"/>
              <w:rPr>
                <w:lang w:val="en-NZ"/>
              </w:rPr>
            </w:pPr>
            <w:r w:rsidRPr="009412DF">
              <w:rPr>
                <w:rStyle w:val="BoldandItalics"/>
              </w:rPr>
              <w:t>Delivery lay flat fire hoses</w:t>
            </w:r>
            <w:r w:rsidRPr="009412D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2DF" w:rsidP="009412DF">
            <w:pPr>
              <w:pStyle w:val="ListBullet"/>
            </w:pPr>
            <w:r w:rsidRPr="009412DF">
              <w:t>percolating and non-percolating</w:t>
            </w:r>
          </w:p>
          <w:p w:rsidR="00000000" w:rsidRPr="009412DF" w:rsidP="009412DF">
            <w:pPr>
              <w:pStyle w:val="ListBullet"/>
            </w:pPr>
            <w:r w:rsidRPr="009412DF">
              <w:t>low, medium and high classes</w:t>
            </w:r>
          </w:p>
          <w:p w:rsidR="00000000" w:rsidP="009412DF">
            <w:pPr>
              <w:pStyle w:val="ListBullet"/>
              <w:rPr>
                <w:lang w:val="en-NZ"/>
              </w:rPr>
            </w:pPr>
            <w:r w:rsidRPr="009412DF">
              <w:t xml:space="preserve">range of different hose diameters. </w:t>
            </w:r>
          </w:p>
        </w:tc>
      </w:tr>
      <w:tr w:rsidTr="009412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DF">
            <w:pPr>
              <w:pStyle w:val="BodyText"/>
              <w:rPr>
                <w:lang w:val="en-NZ"/>
              </w:rPr>
            </w:pPr>
            <w:r w:rsidRPr="009412DF">
              <w:rPr>
                <w:rStyle w:val="BoldandItalics"/>
              </w:rPr>
              <w:t>Delivery lay flat fire hose couplings</w:t>
            </w:r>
            <w:r w:rsidRPr="009412D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2DF" w:rsidP="009412DF">
            <w:pPr>
              <w:pStyle w:val="ListBullet"/>
            </w:pPr>
            <w:r w:rsidRPr="009412DF">
              <w:t>British instantaneous couplings (BIC)</w:t>
            </w:r>
          </w:p>
          <w:p w:rsidR="00000000" w:rsidRPr="009412DF" w:rsidP="009412DF">
            <w:pPr>
              <w:pStyle w:val="ListBullet"/>
            </w:pPr>
            <w:r w:rsidRPr="009412DF">
              <w:t>Storz system couplings</w:t>
            </w:r>
          </w:p>
          <w:p w:rsidR="00000000" w:rsidP="009412DF">
            <w:pPr>
              <w:pStyle w:val="ListBullet"/>
              <w:rPr>
                <w:lang w:val="en-NZ"/>
              </w:rPr>
            </w:pPr>
            <w:r w:rsidRPr="009412DF">
              <w:t>threaded.</w:t>
            </w:r>
          </w:p>
        </w:tc>
      </w:tr>
      <w:tr w:rsidTr="009412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DF">
            <w:pPr>
              <w:pStyle w:val="BodyText"/>
              <w:rPr>
                <w:lang w:val="en-NZ"/>
              </w:rPr>
            </w:pPr>
            <w:r w:rsidRPr="009412DF">
              <w:rPr>
                <w:rStyle w:val="BoldandItalics"/>
              </w:rPr>
              <w:t>Fire blanket containers</w:t>
            </w:r>
            <w:r w:rsidRPr="009412D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2DF" w:rsidP="009412DF">
            <w:pPr>
              <w:pStyle w:val="ListBullet"/>
            </w:pPr>
            <w:r w:rsidRPr="009412DF">
              <w:t>metal tubes</w:t>
            </w:r>
          </w:p>
          <w:p w:rsidR="00000000" w:rsidP="009412DF">
            <w:pPr>
              <w:pStyle w:val="ListBullet"/>
              <w:rPr>
                <w:lang w:val="en-NZ"/>
              </w:rPr>
            </w:pPr>
            <w:r w:rsidRPr="009412DF">
              <w:t>plastic and vinyl covers.</w:t>
            </w:r>
          </w:p>
        </w:tc>
      </w:tr>
      <w:tr w:rsidTr="009412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DF">
            <w:pPr>
              <w:pStyle w:val="BodyText"/>
              <w:rPr>
                <w:lang w:val="en-NZ"/>
              </w:rPr>
            </w:pPr>
            <w:r w:rsidRPr="009412DF">
              <w:rPr>
                <w:rStyle w:val="BoldandItalics"/>
              </w:rPr>
              <w:t xml:space="preserve">Major components of </w:t>
            </w:r>
            <w:r w:rsidRPr="009412DF">
              <w:rPr>
                <w:rStyle w:val="BoldandItalics"/>
              </w:rPr>
              <w:t>fire hydrant systems</w:t>
            </w:r>
            <w:r w:rsidRPr="009412D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2DF" w:rsidP="009412DF">
            <w:pPr>
              <w:pStyle w:val="ListBullet"/>
            </w:pPr>
            <w:r w:rsidRPr="009412DF">
              <w:t>backflow prevention valves</w:t>
            </w:r>
          </w:p>
          <w:p w:rsidR="00000000" w:rsidRPr="009412DF" w:rsidP="009412DF">
            <w:pPr>
              <w:pStyle w:val="ListBullet"/>
            </w:pPr>
            <w:r w:rsidRPr="009412DF">
              <w:t>external hydrant valves</w:t>
            </w:r>
          </w:p>
          <w:p w:rsidR="00000000" w:rsidRPr="009412DF" w:rsidP="009412DF">
            <w:pPr>
              <w:pStyle w:val="ListBullet"/>
            </w:pPr>
            <w:r w:rsidRPr="009412DF">
              <w:t>fire brigade booster connections</w:t>
            </w:r>
          </w:p>
          <w:p w:rsidR="00000000" w:rsidRPr="009412DF" w:rsidP="009412DF">
            <w:pPr>
              <w:pStyle w:val="ListBullet"/>
            </w:pPr>
            <w:r w:rsidRPr="009412DF">
              <w:t>internal hydrant valves:</w:t>
            </w:r>
          </w:p>
          <w:p w:rsidR="00000000" w:rsidRPr="009412DF" w:rsidP="009412DF">
            <w:pPr>
              <w:pStyle w:val="ListBullet2"/>
            </w:pPr>
            <w:r w:rsidRPr="009412DF">
              <w:t>points</w:t>
            </w:r>
          </w:p>
          <w:p w:rsidR="00000000" w:rsidRPr="009412DF" w:rsidP="009412DF">
            <w:pPr>
              <w:pStyle w:val="ListBullet2"/>
            </w:pPr>
            <w:r w:rsidRPr="009412DF">
              <w:t>landing valves</w:t>
            </w:r>
          </w:p>
          <w:p w:rsidR="00000000" w:rsidRPr="009412DF" w:rsidP="009412DF">
            <w:pPr>
              <w:pStyle w:val="ListBullet2"/>
            </w:pPr>
            <w:r w:rsidRPr="009412DF">
              <w:t>outlets</w:t>
            </w:r>
          </w:p>
          <w:p w:rsidR="00000000" w:rsidRPr="009412DF" w:rsidP="009412DF">
            <w:pPr>
              <w:pStyle w:val="ListBullet"/>
            </w:pPr>
            <w:r w:rsidRPr="009412DF">
              <w:t>pressure reducing valves (ratio valves)</w:t>
            </w:r>
          </w:p>
          <w:p w:rsidR="00000000" w:rsidRPr="009412DF" w:rsidP="009412DF">
            <w:pPr>
              <w:pStyle w:val="ListBullet"/>
            </w:pPr>
            <w:r w:rsidRPr="009412DF">
              <w:t>reticulating pipework</w:t>
            </w:r>
          </w:p>
          <w:p w:rsidR="00000000" w:rsidRPr="009412DF" w:rsidP="009412DF">
            <w:pPr>
              <w:pStyle w:val="ListBullet"/>
            </w:pPr>
            <w:r w:rsidRPr="009412DF">
              <w:t>town main reticulated hydrant ‘street’ valves</w:t>
            </w:r>
          </w:p>
          <w:p w:rsidR="00000000" w:rsidRPr="009412DF" w:rsidP="009412DF">
            <w:pPr>
              <w:pStyle w:val="ListBullet"/>
            </w:pPr>
            <w:r w:rsidRPr="009412DF">
              <w:t>water supply system, including:</w:t>
            </w:r>
          </w:p>
          <w:p w:rsidR="00000000" w:rsidRPr="009412DF" w:rsidP="009412DF">
            <w:pPr>
              <w:pStyle w:val="ListBullet2"/>
            </w:pPr>
            <w:r w:rsidRPr="009412DF">
              <w:t>tanks</w:t>
            </w:r>
          </w:p>
          <w:p w:rsidR="00000000" w:rsidP="009412DF">
            <w:pPr>
              <w:pStyle w:val="ListBullet2"/>
              <w:rPr>
                <w:lang w:val="en-NZ"/>
              </w:rPr>
            </w:pPr>
            <w:r w:rsidRPr="009412DF">
              <w:t>pumpsets.</w:t>
            </w:r>
          </w:p>
        </w:tc>
      </w:tr>
      <w:tr w:rsidTr="009412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DF">
            <w:pPr>
              <w:pStyle w:val="BodyText"/>
              <w:rPr>
                <w:lang w:val="en-NZ"/>
              </w:rPr>
            </w:pPr>
            <w:r w:rsidRPr="009412DF">
              <w:rPr>
                <w:rStyle w:val="BoldandItalics"/>
              </w:rPr>
              <w:t>Fire door sets</w:t>
            </w:r>
            <w:r w:rsidRPr="009412D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2DF" w:rsidP="009412DF">
            <w:pPr>
              <w:pStyle w:val="ListBullet"/>
            </w:pPr>
            <w:r w:rsidRPr="009412DF">
              <w:t>automatic closing</w:t>
            </w:r>
          </w:p>
          <w:p w:rsidR="00000000" w:rsidRPr="009412DF" w:rsidP="009412DF">
            <w:pPr>
              <w:pStyle w:val="ListBullet"/>
            </w:pPr>
            <w:r w:rsidRPr="009412DF">
              <w:t>one-hour or two-hour fire rated assemblies</w:t>
            </w:r>
          </w:p>
          <w:p w:rsidR="00000000" w:rsidP="009412DF">
            <w:pPr>
              <w:pStyle w:val="ListBullet"/>
              <w:rPr>
                <w:lang w:val="en-NZ"/>
              </w:rPr>
            </w:pPr>
            <w:r w:rsidRPr="009412DF">
              <w:t>self-closing or sliding.</w:t>
            </w:r>
          </w:p>
        </w:tc>
      </w:tr>
      <w:tr w:rsidTr="009412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DF">
            <w:pPr>
              <w:pStyle w:val="BodyText"/>
              <w:rPr>
                <w:lang w:val="en-NZ"/>
              </w:rPr>
            </w:pPr>
            <w:r w:rsidRPr="009412DF">
              <w:rPr>
                <w:rStyle w:val="BoldandItalics"/>
              </w:rPr>
              <w:t>Smoke door sets</w:t>
            </w:r>
            <w:r w:rsidRPr="009412D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2DF" w:rsidP="009412DF">
            <w:pPr>
              <w:pStyle w:val="ListBullet"/>
            </w:pPr>
            <w:r w:rsidRPr="009412DF">
              <w:t>automatic closing</w:t>
            </w:r>
          </w:p>
          <w:p w:rsidR="00000000" w:rsidRPr="009412DF" w:rsidP="009412DF">
            <w:pPr>
              <w:pStyle w:val="ListBullet"/>
            </w:pPr>
            <w:r w:rsidRPr="009412DF">
              <w:t>self-closing or sliding</w:t>
            </w:r>
          </w:p>
          <w:p w:rsidR="00000000" w:rsidP="009412DF">
            <w:pPr>
              <w:pStyle w:val="ListBullet"/>
              <w:rPr>
                <w:lang w:val="en-NZ"/>
              </w:rPr>
            </w:pPr>
            <w:r w:rsidRPr="009412DF">
              <w:t>solid core or fire-resistance rated.</w:t>
            </w:r>
          </w:p>
        </w:tc>
      </w:tr>
      <w:tr w:rsidTr="009412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DF">
            <w:pPr>
              <w:pStyle w:val="BodyText"/>
              <w:rPr>
                <w:lang w:val="en-NZ"/>
              </w:rPr>
            </w:pPr>
            <w:r w:rsidRPr="009412DF">
              <w:rPr>
                <w:rStyle w:val="BoldandItalics"/>
              </w:rPr>
              <w:t>Service penetration products</w:t>
            </w:r>
            <w:r w:rsidRPr="009412D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2DF" w:rsidP="009412DF">
            <w:pPr>
              <w:pStyle w:val="ListBullet"/>
            </w:pPr>
            <w:r w:rsidRPr="009412DF">
              <w:t>fire-rated gap-fillers, such as:</w:t>
            </w:r>
          </w:p>
          <w:p w:rsidR="00000000" w:rsidRPr="009412DF" w:rsidP="009412DF">
            <w:pPr>
              <w:pStyle w:val="ListBullet2"/>
            </w:pPr>
            <w:r w:rsidRPr="009412DF">
              <w:t>mortars</w:t>
            </w:r>
          </w:p>
          <w:p w:rsidR="00000000" w:rsidRPr="009412DF" w:rsidP="009412DF">
            <w:pPr>
              <w:pStyle w:val="ListBullet2"/>
            </w:pPr>
            <w:r w:rsidRPr="009412DF">
              <w:t>grouts</w:t>
            </w:r>
          </w:p>
          <w:p w:rsidR="00000000" w:rsidRPr="009412DF" w:rsidP="009412DF">
            <w:pPr>
              <w:pStyle w:val="ListBullet2"/>
            </w:pPr>
            <w:r w:rsidRPr="009412DF">
              <w:t>sealants</w:t>
            </w:r>
          </w:p>
          <w:p w:rsidR="00000000" w:rsidRPr="009412DF" w:rsidP="009412DF">
            <w:pPr>
              <w:pStyle w:val="ListBullet2"/>
            </w:pPr>
            <w:r w:rsidRPr="009412DF">
              <w:t>caulks</w:t>
            </w:r>
          </w:p>
          <w:p w:rsidR="00000000" w:rsidRPr="009412DF" w:rsidP="009412DF">
            <w:pPr>
              <w:pStyle w:val="ListBullet2"/>
            </w:pPr>
            <w:r w:rsidRPr="009412DF">
              <w:t>putties</w:t>
            </w:r>
          </w:p>
          <w:p w:rsidR="00000000" w:rsidRPr="009412DF" w:rsidP="009412DF">
            <w:pPr>
              <w:pStyle w:val="ListBullet"/>
            </w:pPr>
            <w:r w:rsidRPr="009412DF">
              <w:t>fire-rated pillows</w:t>
            </w:r>
          </w:p>
          <w:p w:rsidR="00000000" w:rsidP="009412DF">
            <w:pPr>
              <w:pStyle w:val="ListBullet"/>
              <w:rPr>
                <w:lang w:val="en-NZ"/>
              </w:rPr>
            </w:pPr>
            <w:r w:rsidRPr="009412DF">
              <w:t>fire stop collars.</w:t>
            </w:r>
          </w:p>
        </w:tc>
      </w:tr>
      <w:tr w:rsidTr="009412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DF">
            <w:pPr>
              <w:pStyle w:val="BodyText"/>
              <w:rPr>
                <w:lang w:val="en-NZ"/>
              </w:rPr>
            </w:pPr>
            <w:r w:rsidRPr="009412DF">
              <w:rPr>
                <w:rStyle w:val="BoldandItalics"/>
              </w:rPr>
              <w:t>Fire pumpsets</w:t>
            </w:r>
            <w:r w:rsidRPr="009412D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2DF" w:rsidP="009412DF">
            <w:pPr>
              <w:pStyle w:val="ListBullet"/>
            </w:pPr>
            <w:r w:rsidRPr="009412DF">
              <w:t>dedicated pumpset driven by an electric or diesel motor</w:t>
            </w:r>
          </w:p>
          <w:p w:rsidR="00000000" w:rsidP="009412DF">
            <w:pPr>
              <w:pStyle w:val="ListBullet"/>
              <w:rPr>
                <w:lang w:val="en-NZ"/>
              </w:rPr>
            </w:pPr>
            <w:r w:rsidRPr="009412DF">
              <w:t>combination of both motors that supply fire systems, such as hydrants and sprinklers.</w:t>
            </w:r>
          </w:p>
        </w:tc>
      </w:tr>
      <w:tr w:rsidTr="009412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DF">
            <w:pPr>
              <w:pStyle w:val="BodyText"/>
              <w:rPr>
                <w:lang w:val="en-NZ"/>
              </w:rPr>
            </w:pPr>
            <w:r w:rsidRPr="009412DF">
              <w:rPr>
                <w:rStyle w:val="BoldandItalics"/>
              </w:rPr>
              <w:t>Automatic sprinkler alarm systems</w:t>
            </w:r>
            <w:r w:rsidRPr="009412D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2DF" w:rsidP="009412DF">
            <w:pPr>
              <w:pStyle w:val="ListBullet"/>
            </w:pPr>
            <w:r w:rsidRPr="009412DF">
              <w:t>standard sprinkler systems that use:</w:t>
            </w:r>
          </w:p>
          <w:p w:rsidR="00000000" w:rsidRPr="009412DF" w:rsidP="009412DF">
            <w:pPr>
              <w:pStyle w:val="ListBullet2"/>
            </w:pPr>
            <w:r w:rsidRPr="009412DF">
              <w:t>concealed sprinklers</w:t>
            </w:r>
          </w:p>
          <w:p w:rsidR="00000000" w:rsidRPr="009412DF" w:rsidP="009412DF">
            <w:pPr>
              <w:pStyle w:val="ListBullet2"/>
            </w:pPr>
            <w:r w:rsidRPr="009412DF">
              <w:t>conventional sprinklers</w:t>
            </w:r>
          </w:p>
          <w:p w:rsidR="00000000" w:rsidRPr="009412DF" w:rsidP="009412DF">
            <w:pPr>
              <w:pStyle w:val="ListBullet2"/>
            </w:pPr>
            <w:r w:rsidRPr="009412DF">
              <w:t>dry pendant, dry sidewall and dry upright sprinklers</w:t>
            </w:r>
          </w:p>
          <w:p w:rsidR="00000000" w:rsidRPr="009412DF" w:rsidP="009412DF">
            <w:pPr>
              <w:pStyle w:val="ListBullet2"/>
            </w:pPr>
            <w:r w:rsidRPr="009412DF">
              <w:t>enlarged orifice sprinklers</w:t>
            </w:r>
          </w:p>
          <w:p w:rsidR="00000000" w:rsidRPr="009412DF" w:rsidP="009412DF">
            <w:pPr>
              <w:pStyle w:val="ListBullet2"/>
            </w:pPr>
            <w:r w:rsidRPr="009412DF">
              <w:t>fast response sprinklers</w:t>
            </w:r>
          </w:p>
          <w:p w:rsidR="00000000" w:rsidRPr="009412DF" w:rsidP="009412DF">
            <w:pPr>
              <w:pStyle w:val="ListBullet2"/>
            </w:pPr>
            <w:r w:rsidRPr="009412DF">
              <w:t>flush sprinklers</w:t>
            </w:r>
          </w:p>
          <w:p w:rsidR="00000000" w:rsidRPr="009412DF" w:rsidP="009412DF">
            <w:pPr>
              <w:pStyle w:val="ListBullet2"/>
            </w:pPr>
            <w:r w:rsidRPr="009412DF">
              <w:t>large, extra large and very large orifice sprinklers</w:t>
            </w:r>
          </w:p>
          <w:p w:rsidR="00000000" w:rsidRPr="009412DF" w:rsidP="009412DF">
            <w:pPr>
              <w:pStyle w:val="ListBullet2"/>
            </w:pPr>
            <w:r w:rsidRPr="009412DF">
              <w:t>recessed sprinklers</w:t>
            </w:r>
          </w:p>
          <w:p w:rsidR="00000000" w:rsidRPr="009412DF" w:rsidP="009412DF">
            <w:pPr>
              <w:pStyle w:val="ListBullet2"/>
            </w:pPr>
            <w:r w:rsidRPr="009412DF">
              <w:t>sidewall sprink</w:t>
            </w:r>
            <w:r w:rsidRPr="009412DF">
              <w:t>lers</w:t>
            </w:r>
          </w:p>
          <w:p w:rsidR="00000000" w:rsidRPr="009412DF" w:rsidP="009412DF">
            <w:pPr>
              <w:pStyle w:val="ListBullet2"/>
            </w:pPr>
            <w:r w:rsidRPr="009412DF">
              <w:t>spray or pendant sprinklers</w:t>
            </w:r>
          </w:p>
          <w:p w:rsidR="00000000" w:rsidRPr="009412DF" w:rsidP="009412DF">
            <w:pPr>
              <w:pStyle w:val="ListBullet"/>
            </w:pPr>
            <w:r w:rsidRPr="009412DF">
              <w:t>special sprinkler systems that use:</w:t>
            </w:r>
          </w:p>
          <w:p w:rsidR="00000000" w:rsidRPr="009412DF" w:rsidP="009412DF">
            <w:pPr>
              <w:pStyle w:val="ListBullet2"/>
            </w:pPr>
            <w:r w:rsidRPr="009412DF">
              <w:t>early suppression fast response (ESFR) sprinklers</w:t>
            </w:r>
          </w:p>
          <w:p w:rsidR="00000000" w:rsidRPr="009412DF" w:rsidP="009412DF">
            <w:pPr>
              <w:pStyle w:val="ListBullet2"/>
            </w:pPr>
            <w:r w:rsidRPr="009412DF">
              <w:t>extended coverage sprinklers, including enhanced protection extended coverage (EPEC) sprinklers</w:t>
            </w:r>
          </w:p>
          <w:p w:rsidR="00000000" w:rsidRPr="009412DF" w:rsidP="009412DF">
            <w:pPr>
              <w:pStyle w:val="ListBullet2"/>
            </w:pPr>
            <w:r w:rsidRPr="009412DF">
              <w:t>large drop sprinklers</w:t>
            </w:r>
          </w:p>
          <w:p w:rsidR="00000000" w:rsidRPr="009412DF" w:rsidP="009412DF">
            <w:pPr>
              <w:pStyle w:val="ListBullet2"/>
            </w:pPr>
            <w:r w:rsidRPr="009412DF">
              <w:t>residential sprinklers</w:t>
            </w:r>
          </w:p>
          <w:p w:rsidR="00000000" w:rsidP="009412DF">
            <w:pPr>
              <w:pStyle w:val="ListBullet2"/>
              <w:rPr>
                <w:lang w:val="en-NZ"/>
              </w:rPr>
            </w:pPr>
            <w:r w:rsidRPr="009412DF">
              <w:t>sealed water mist nozzles.</w:t>
            </w:r>
          </w:p>
        </w:tc>
      </w:tr>
      <w:tr w:rsidTr="009412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DF">
            <w:pPr>
              <w:pStyle w:val="BodyText"/>
              <w:rPr>
                <w:lang w:val="en-NZ"/>
              </w:rPr>
            </w:pPr>
            <w:r w:rsidRPr="009412DF">
              <w:rPr>
                <w:rStyle w:val="BoldandItalics"/>
              </w:rPr>
              <w:t>Pre-engineered fire-suppression systems</w:t>
            </w:r>
            <w:r w:rsidRPr="009412D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2DF" w:rsidP="009412DF">
            <w:pPr>
              <w:pStyle w:val="ListBullet"/>
            </w:pPr>
            <w:r w:rsidRPr="009412DF">
              <w:t>ducting used for extraction of fumes or particles</w:t>
            </w:r>
          </w:p>
          <w:p w:rsidR="00000000" w:rsidRPr="009412DF" w:rsidP="009412DF">
            <w:pPr>
              <w:pStyle w:val="ListBullet"/>
            </w:pPr>
            <w:r w:rsidRPr="009412DF">
              <w:t>electrical equipment installed in a cabinet</w:t>
            </w:r>
          </w:p>
          <w:p w:rsidR="00000000" w:rsidRPr="009412DF" w:rsidP="009412DF">
            <w:pPr>
              <w:pStyle w:val="ListBullet"/>
            </w:pPr>
            <w:r w:rsidRPr="009412DF">
              <w:t>exhaust ducting</w:t>
            </w:r>
          </w:p>
          <w:p w:rsidR="00000000" w:rsidRPr="009412DF" w:rsidP="009412DF">
            <w:pPr>
              <w:pStyle w:val="ListBullet"/>
            </w:pPr>
            <w:r w:rsidRPr="009412DF">
              <w:t>large mining vehicles</w:t>
            </w:r>
          </w:p>
          <w:p w:rsidR="00000000" w:rsidRPr="009412DF" w:rsidP="009412DF">
            <w:pPr>
              <w:pStyle w:val="ListBullet"/>
            </w:pPr>
            <w:r w:rsidRPr="009412DF">
              <w:t>mobile and transportable equipment, such as systems installed for the protection of cooking equipment</w:t>
            </w:r>
          </w:p>
          <w:p w:rsidR="00000000" w:rsidRPr="009412DF" w:rsidP="009412DF">
            <w:pPr>
              <w:pStyle w:val="ListBullet"/>
            </w:pPr>
            <w:r w:rsidRPr="009412DF">
              <w:t>major components, including:</w:t>
            </w:r>
          </w:p>
          <w:p w:rsidR="00000000" w:rsidRPr="009412DF" w:rsidP="009412DF">
            <w:pPr>
              <w:pStyle w:val="ListBullet2"/>
            </w:pPr>
            <w:r w:rsidRPr="009412DF">
              <w:t>alarm system devices</w:t>
            </w:r>
          </w:p>
          <w:p w:rsidR="00000000" w:rsidRPr="009412DF" w:rsidP="009412DF">
            <w:pPr>
              <w:pStyle w:val="ListBullet2"/>
            </w:pPr>
            <w:r w:rsidRPr="009412DF">
              <w:t xml:space="preserve">automatic fire detection devices linked to automatic release mechanism </w:t>
            </w:r>
          </w:p>
          <w:p w:rsidR="00000000" w:rsidRPr="009412DF" w:rsidP="009412DF">
            <w:pPr>
              <w:pStyle w:val="ListBullet2"/>
            </w:pPr>
            <w:r w:rsidRPr="009412DF">
              <w:t>containers of extinguishant age</w:t>
            </w:r>
            <w:r w:rsidRPr="009412DF">
              <w:t>nt</w:t>
            </w:r>
          </w:p>
          <w:p w:rsidR="00000000" w:rsidRPr="009412DF" w:rsidP="009412DF">
            <w:pPr>
              <w:pStyle w:val="ListBullet2"/>
            </w:pPr>
            <w:r w:rsidRPr="009412DF">
              <w:t>manual release mechanism</w:t>
            </w:r>
          </w:p>
          <w:p w:rsidR="00000000" w:rsidRPr="009412DF" w:rsidP="009412DF">
            <w:pPr>
              <w:pStyle w:val="ListBullet2"/>
            </w:pPr>
            <w:r w:rsidRPr="009412DF">
              <w:t>nozzles connected to pipework or tubing</w:t>
            </w:r>
          </w:p>
          <w:p w:rsidR="00000000" w:rsidP="009412DF">
            <w:pPr>
              <w:pStyle w:val="ListBullet2"/>
              <w:rPr>
                <w:lang w:val="en-NZ"/>
              </w:rPr>
            </w:pPr>
            <w:r w:rsidRPr="009412DF">
              <w:t>pipework or tubing connected to extinguishant containers.</w:t>
            </w:r>
          </w:p>
        </w:tc>
      </w:tr>
      <w:tr w:rsidTr="009412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DF">
            <w:pPr>
              <w:pStyle w:val="BodyText"/>
              <w:rPr>
                <w:lang w:val="en-NZ"/>
              </w:rPr>
            </w:pPr>
            <w:r w:rsidRPr="009412DF">
              <w:rPr>
                <w:rStyle w:val="BoldandItalics"/>
              </w:rPr>
              <w:t>Gaseous fire-suppression systems</w:t>
            </w:r>
            <w:r w:rsidRPr="009412D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2DF" w:rsidP="009412DF">
            <w:pPr>
              <w:pStyle w:val="ListBullet"/>
            </w:pPr>
            <w:r w:rsidRPr="009412DF">
              <w:t>total flood systems using a variety of extinguishing agents:</w:t>
            </w:r>
          </w:p>
          <w:p w:rsidR="00000000" w:rsidRPr="009412DF" w:rsidP="009412DF">
            <w:pPr>
              <w:pStyle w:val="ListBullet2"/>
            </w:pPr>
            <w:r w:rsidRPr="009412DF">
              <w:t>inert gaseous fire-extinguishing agents</w:t>
            </w:r>
          </w:p>
          <w:p w:rsidR="00000000" w:rsidRPr="009412DF" w:rsidP="009412DF">
            <w:pPr>
              <w:pStyle w:val="ListBullet2"/>
            </w:pPr>
            <w:r w:rsidRPr="009412DF">
              <w:t>local application systems using mainly carbon dioxide</w:t>
            </w:r>
          </w:p>
          <w:p w:rsidR="00000000" w:rsidRPr="009412DF" w:rsidP="009412DF">
            <w:pPr>
              <w:pStyle w:val="ListBullet2"/>
            </w:pPr>
            <w:r w:rsidRPr="009412DF">
              <w:t>synthetic gaseous fire-extinguishing agents – extinguishing agent handling licences (EAHL) required</w:t>
            </w:r>
          </w:p>
          <w:p w:rsidR="00000000" w:rsidRPr="009412DF" w:rsidP="009412DF">
            <w:pPr>
              <w:pStyle w:val="ListBullet"/>
            </w:pPr>
            <w:r w:rsidRPr="009412DF">
              <w:t>major components, including:</w:t>
            </w:r>
          </w:p>
          <w:p w:rsidR="00000000" w:rsidRPr="009412DF" w:rsidP="009412DF">
            <w:pPr>
              <w:pStyle w:val="ListBullet2"/>
            </w:pPr>
            <w:r w:rsidRPr="009412DF">
              <w:t>alarm system devices</w:t>
            </w:r>
          </w:p>
          <w:p w:rsidR="00000000" w:rsidRPr="009412DF" w:rsidP="009412DF">
            <w:pPr>
              <w:pStyle w:val="ListBullet2"/>
            </w:pPr>
            <w:r w:rsidRPr="009412DF">
              <w:t>automatic f</w:t>
            </w:r>
            <w:r w:rsidRPr="009412DF">
              <w:t>ire detection devices</w:t>
            </w:r>
          </w:p>
          <w:p w:rsidR="00000000" w:rsidRPr="009412DF" w:rsidP="009412DF">
            <w:pPr>
              <w:pStyle w:val="ListBullet2"/>
            </w:pPr>
            <w:r w:rsidRPr="009412DF">
              <w:t xml:space="preserve">containers of extinguishant agent </w:t>
            </w:r>
          </w:p>
          <w:p w:rsidR="00000000" w:rsidRPr="009412DF" w:rsidP="009412DF">
            <w:pPr>
              <w:pStyle w:val="ListBullet2"/>
            </w:pPr>
            <w:r w:rsidRPr="009412DF">
              <w:t>local control stations</w:t>
            </w:r>
          </w:p>
          <w:p w:rsidR="00000000" w:rsidRPr="009412DF" w:rsidP="009412DF">
            <w:pPr>
              <w:pStyle w:val="ListBullet2"/>
            </w:pPr>
            <w:r w:rsidRPr="009412DF">
              <w:t>nozzles connected to pipework</w:t>
            </w:r>
          </w:p>
          <w:p w:rsidR="00000000" w:rsidRPr="009412DF" w:rsidP="009412DF">
            <w:pPr>
              <w:pStyle w:val="ListBullet2"/>
            </w:pPr>
            <w:r w:rsidRPr="009412DF">
              <w:t xml:space="preserve">pipework connected to extinguishant containers </w:t>
            </w:r>
          </w:p>
          <w:p w:rsidR="00000000" w:rsidP="009412DF">
            <w:pPr>
              <w:pStyle w:val="ListBullet2"/>
              <w:rPr>
                <w:lang w:val="en-NZ"/>
              </w:rPr>
            </w:pPr>
            <w:r w:rsidRPr="009412DF">
              <w:t>warning devices and signs at entry points to protected space.</w:t>
            </w:r>
          </w:p>
        </w:tc>
      </w:tr>
      <w:tr w:rsidTr="009412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DF">
            <w:pPr>
              <w:pStyle w:val="BodyText"/>
              <w:rPr>
                <w:lang w:val="en-NZ"/>
              </w:rPr>
            </w:pPr>
            <w:r w:rsidRPr="009412DF">
              <w:rPr>
                <w:rStyle w:val="BoldandItalics"/>
              </w:rPr>
              <w:t>Automatic fire detection and alarm systems</w:t>
            </w:r>
            <w:r w:rsidRPr="009412D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2DF" w:rsidP="009412DF">
            <w:pPr>
              <w:pStyle w:val="ListBullet"/>
            </w:pPr>
            <w:r w:rsidRPr="009412DF">
              <w:t>flame detectors, including:</w:t>
            </w:r>
          </w:p>
          <w:p w:rsidR="00000000" w:rsidRPr="009412DF" w:rsidP="009412DF">
            <w:pPr>
              <w:pStyle w:val="ListBullet2"/>
            </w:pPr>
            <w:r w:rsidRPr="009412DF">
              <w:t>infra-red</w:t>
            </w:r>
          </w:p>
          <w:p w:rsidR="00000000" w:rsidRPr="009412DF" w:rsidP="009412DF">
            <w:pPr>
              <w:pStyle w:val="ListBullet2"/>
            </w:pPr>
            <w:r w:rsidRPr="009412DF">
              <w:t>ultraviolet</w:t>
            </w:r>
          </w:p>
          <w:p w:rsidR="00000000" w:rsidRPr="009412DF" w:rsidP="009412DF">
            <w:pPr>
              <w:pStyle w:val="ListBullet2"/>
            </w:pPr>
            <w:r w:rsidRPr="009412DF">
              <w:t>combination of both</w:t>
            </w:r>
          </w:p>
          <w:p w:rsidR="00000000" w:rsidRPr="009412DF" w:rsidP="009412DF">
            <w:pPr>
              <w:pStyle w:val="ListBullet"/>
            </w:pPr>
            <w:r w:rsidRPr="009412DF">
              <w:t>gas sensing fire detectors, including semiconductor and catalytic element types</w:t>
            </w:r>
          </w:p>
          <w:p w:rsidR="00000000" w:rsidRPr="009412DF" w:rsidP="009412DF">
            <w:pPr>
              <w:pStyle w:val="ListBullet"/>
            </w:pPr>
            <w:r w:rsidRPr="009412DF">
              <w:t>heat detectors, including point and linear types</w:t>
            </w:r>
          </w:p>
          <w:p w:rsidR="00000000" w:rsidRPr="009412DF" w:rsidP="009412DF">
            <w:pPr>
              <w:pStyle w:val="ListBullet"/>
            </w:pPr>
            <w:r w:rsidRPr="009412DF">
              <w:t>smoke detectors, including ionisation, photoelectric and air sampling</w:t>
            </w:r>
          </w:p>
          <w:p w:rsidR="00000000" w:rsidP="009412DF">
            <w:pPr>
              <w:pStyle w:val="ListBullet"/>
              <w:rPr>
                <w:lang w:val="en-NZ"/>
              </w:rPr>
            </w:pPr>
            <w:r w:rsidRPr="009412DF">
              <w:t>warning devices, such as bells, speakers and lights.</w:t>
            </w:r>
          </w:p>
        </w:tc>
      </w:tr>
      <w:tr w:rsidTr="009412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DF">
            <w:pPr>
              <w:pStyle w:val="BodyText"/>
              <w:rPr>
                <w:lang w:val="en-NZ"/>
              </w:rPr>
            </w:pPr>
            <w:r w:rsidRPr="009412DF">
              <w:rPr>
                <w:rStyle w:val="BoldandItalics"/>
              </w:rPr>
              <w:t>Smoke alarms and heat alarms</w:t>
            </w:r>
            <w:r w:rsidRPr="009412D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2DF" w:rsidP="009412DF">
            <w:pPr>
              <w:pStyle w:val="ListBullet"/>
            </w:pPr>
            <w:r w:rsidRPr="009412DF">
              <w:t>fixed temperature</w:t>
            </w:r>
          </w:p>
          <w:p w:rsidR="00000000" w:rsidRPr="009412DF" w:rsidP="009412DF">
            <w:pPr>
              <w:pStyle w:val="ListBullet"/>
            </w:pPr>
            <w:r w:rsidRPr="009412DF">
              <w:t>ionisation</w:t>
            </w:r>
          </w:p>
          <w:p w:rsidR="00000000" w:rsidP="009412DF">
            <w:pPr>
              <w:pStyle w:val="ListBullet"/>
              <w:rPr>
                <w:lang w:val="en-NZ"/>
              </w:rPr>
            </w:pPr>
            <w:r w:rsidRPr="009412DF">
              <w:t>photoelectric.</w:t>
            </w:r>
          </w:p>
        </w:tc>
      </w:tr>
      <w:tr w:rsidTr="009412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DF">
            <w:pPr>
              <w:pStyle w:val="BodyText"/>
              <w:rPr>
                <w:lang w:val="en-NZ"/>
              </w:rPr>
            </w:pPr>
            <w:r w:rsidRPr="009412DF">
              <w:rPr>
                <w:rStyle w:val="BoldandItalics"/>
              </w:rPr>
              <w:t>Sound systems for emergency purposes</w:t>
            </w:r>
            <w:r w:rsidRPr="009412D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DF">
            <w:pPr>
              <w:pStyle w:val="ListBullet"/>
              <w:rPr>
                <w:lang w:val="en-NZ"/>
              </w:rPr>
            </w:pPr>
            <w:r w:rsidRPr="009412DF">
              <w:t>warning devices, such as speakers and lights independently operated by control and indicating equipment (CIE) fit for purpose.</w:t>
            </w:r>
          </w:p>
        </w:tc>
      </w:tr>
      <w:tr w:rsidTr="009412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DF">
            <w:pPr>
              <w:pStyle w:val="BodyText"/>
              <w:rPr>
                <w:lang w:val="en-NZ"/>
              </w:rPr>
            </w:pPr>
            <w:r w:rsidRPr="009412DF">
              <w:rPr>
                <w:rStyle w:val="BoldandItalics"/>
              </w:rPr>
              <w:t xml:space="preserve">Intercom systems for emergency purposes </w:t>
            </w:r>
            <w:r w:rsidRPr="009412DF">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DF">
            <w:pPr>
              <w:pStyle w:val="ListBullet"/>
              <w:rPr>
                <w:lang w:val="en-NZ"/>
              </w:rPr>
            </w:pPr>
            <w:r w:rsidRPr="009412DF">
              <w:t>warden intercommunication points, such as telephones, distrib</w:t>
            </w:r>
            <w:r w:rsidRPr="009412DF">
              <w:t>uted throughout a building and independently operated by CIE fit for purpose and separate from all other communication equipment.</w:t>
            </w:r>
          </w:p>
        </w:tc>
      </w:tr>
      <w:tr w:rsidTr="009412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DF">
            <w:pPr>
              <w:pStyle w:val="BodyText"/>
              <w:rPr>
                <w:lang w:val="en-NZ"/>
              </w:rPr>
            </w:pPr>
            <w:r w:rsidRPr="009412DF">
              <w:rPr>
                <w:rStyle w:val="BoldandItalics"/>
              </w:rPr>
              <w:t>Emergency exits and lighting</w:t>
            </w:r>
            <w:r w:rsidRPr="009412D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2DF" w:rsidP="009412DF">
            <w:pPr>
              <w:pStyle w:val="ListBullet"/>
            </w:pPr>
            <w:r w:rsidRPr="009412DF">
              <w:t>central systems consisting of emergency luminaires powered by a battery bank with b</w:t>
            </w:r>
            <w:r w:rsidRPr="009412DF">
              <w:t>attery charger supply</w:t>
            </w:r>
          </w:p>
          <w:p w:rsidR="00000000" w:rsidRPr="009412DF" w:rsidP="009412DF">
            <w:pPr>
              <w:pStyle w:val="ListBullet"/>
            </w:pPr>
            <w:r w:rsidRPr="009412DF">
              <w:t>self-contained emergency luminaires</w:t>
            </w:r>
          </w:p>
          <w:p w:rsidR="00000000" w:rsidRPr="009412DF" w:rsidP="009412DF">
            <w:pPr>
              <w:pStyle w:val="ListBullet"/>
            </w:pPr>
            <w:r w:rsidRPr="009412DF">
              <w:t>combination of self-contained emergency luminaires and house artificial lighting</w:t>
            </w:r>
          </w:p>
          <w:p w:rsidR="00000000" w:rsidP="009412DF">
            <w:pPr>
              <w:pStyle w:val="ListBullet"/>
              <w:rPr>
                <w:lang w:val="en-NZ"/>
              </w:rPr>
            </w:pPr>
            <w:r w:rsidRPr="009412DF">
              <w:t>emergency exit luminaire signs.</w:t>
            </w:r>
          </w:p>
        </w:tc>
      </w:tr>
      <w:tr w:rsidTr="009412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DF">
            <w:pPr>
              <w:pStyle w:val="BodyText"/>
              <w:rPr>
                <w:lang w:val="en-NZ"/>
              </w:rPr>
            </w:pPr>
            <w:r w:rsidRPr="009412DF">
              <w:rPr>
                <w:rStyle w:val="BoldandItalics"/>
              </w:rPr>
              <w:t>Communication</w:t>
            </w:r>
            <w:r w:rsidRPr="009412D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2DF" w:rsidP="009412DF">
            <w:pPr>
              <w:pStyle w:val="ListBullet"/>
            </w:pPr>
            <w:r w:rsidRPr="009412DF">
              <w:t>email messages</w:t>
            </w:r>
          </w:p>
          <w:p w:rsidR="00000000" w:rsidRPr="009412DF" w:rsidP="009412DF">
            <w:pPr>
              <w:pStyle w:val="ListBullet"/>
            </w:pPr>
            <w:r w:rsidRPr="009412DF">
              <w:t>facsimiles</w:t>
            </w:r>
          </w:p>
          <w:p w:rsidR="00000000" w:rsidRPr="009412DF" w:rsidP="009412DF">
            <w:pPr>
              <w:pStyle w:val="ListBullet"/>
            </w:pPr>
            <w:r w:rsidRPr="009412DF">
              <w:t>multimedia messages (MMS)</w:t>
            </w:r>
          </w:p>
          <w:p w:rsidR="00000000" w:rsidRPr="009412DF" w:rsidP="009412DF">
            <w:pPr>
              <w:pStyle w:val="ListBullet"/>
            </w:pPr>
            <w:r w:rsidRPr="009412DF">
              <w:t>online reporting system</w:t>
            </w:r>
          </w:p>
          <w:p w:rsidR="00000000" w:rsidRPr="009412DF" w:rsidP="009412DF">
            <w:pPr>
              <w:pStyle w:val="ListBullet"/>
            </w:pPr>
            <w:r w:rsidRPr="009412DF">
              <w:t>pager messages</w:t>
            </w:r>
          </w:p>
          <w:p w:rsidR="00000000" w:rsidRPr="009412DF" w:rsidP="009412DF">
            <w:pPr>
              <w:pStyle w:val="ListBullet"/>
            </w:pPr>
            <w:r w:rsidRPr="009412DF">
              <w:t>SMS text messages</w:t>
            </w:r>
          </w:p>
          <w:p w:rsidR="00000000" w:rsidRPr="009412DF" w:rsidP="009412DF">
            <w:pPr>
              <w:pStyle w:val="ListBullet"/>
            </w:pPr>
            <w:r w:rsidRPr="009412DF">
              <w:t>verbal reports</w:t>
            </w:r>
          </w:p>
          <w:p w:rsidR="00000000" w:rsidP="009412DF">
            <w:pPr>
              <w:pStyle w:val="ListBullet"/>
              <w:rPr>
                <w:lang w:val="en-NZ"/>
              </w:rPr>
            </w:pPr>
            <w:r w:rsidRPr="009412DF">
              <w:t>written reports.</w:t>
            </w:r>
          </w:p>
        </w:tc>
      </w:tr>
      <w:tr w:rsidTr="009412D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2DF">
            <w:pPr>
              <w:pStyle w:val="BodyText"/>
              <w:rPr>
                <w:lang w:val="en-NZ"/>
              </w:rPr>
            </w:pPr>
            <w:r w:rsidRPr="009412DF">
              <w:rPr>
                <w:rStyle w:val="BoldandItalics"/>
              </w:rPr>
              <w:t>Relevant persons</w:t>
            </w:r>
            <w:r w:rsidRPr="009412D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2DF" w:rsidP="009412DF">
            <w:pPr>
              <w:pStyle w:val="ListBullet"/>
            </w:pPr>
            <w:r w:rsidRPr="009412DF">
              <w:t>colleagues, including those in other organisations</w:t>
            </w:r>
          </w:p>
          <w:p w:rsidR="00000000" w:rsidRPr="009412DF" w:rsidP="009412DF">
            <w:pPr>
              <w:pStyle w:val="ListBullet"/>
            </w:pPr>
            <w:r w:rsidRPr="009412DF">
              <w:t>customers</w:t>
            </w:r>
          </w:p>
          <w:p w:rsidR="00000000" w:rsidRPr="009412DF" w:rsidP="009412DF">
            <w:pPr>
              <w:pStyle w:val="ListBullet"/>
            </w:pPr>
            <w:r w:rsidRPr="009412DF">
              <w:t>licensing and regulatory bodies</w:t>
            </w:r>
          </w:p>
          <w:p w:rsidR="00000000" w:rsidRPr="009412DF" w:rsidP="009412DF">
            <w:pPr>
              <w:pStyle w:val="ListBullet"/>
            </w:pPr>
            <w:r w:rsidRPr="009412DF">
              <w:t>managers</w:t>
            </w:r>
          </w:p>
          <w:p w:rsidR="00000000" w:rsidRPr="009412DF" w:rsidP="009412DF">
            <w:pPr>
              <w:pStyle w:val="ListBullet"/>
            </w:pPr>
            <w:r w:rsidRPr="009412DF">
              <w:t>supervisors</w:t>
            </w:r>
          </w:p>
          <w:p w:rsidR="00000000" w:rsidRPr="009412DF" w:rsidP="009412DF">
            <w:pPr>
              <w:pStyle w:val="ListBullet"/>
            </w:pPr>
            <w:r w:rsidRPr="009412DF">
              <w:t>system and component m</w:t>
            </w:r>
            <w:r w:rsidRPr="009412DF">
              <w:t>anufacturers and suppliers</w:t>
            </w:r>
          </w:p>
          <w:p w:rsidR="00000000" w:rsidRPr="009412DF" w:rsidP="009412DF">
            <w:pPr>
              <w:pStyle w:val="ListBullet"/>
            </w:pPr>
            <w:r w:rsidRPr="009412DF">
              <w:t>team leaders</w:t>
            </w:r>
          </w:p>
          <w:p w:rsidR="00000000" w:rsidRPr="009412DF" w:rsidP="009412DF">
            <w:pPr>
              <w:pStyle w:val="ListBullet"/>
            </w:pPr>
            <w:r w:rsidRPr="009412DF">
              <w:t>trades people and contractors.</w:t>
            </w:r>
          </w:p>
        </w:tc>
      </w:tr>
    </w:tbl>
    <w:p w:rsidR="00000000" w:rsidRPr="009412DF" w:rsidP="009412DF">
      <w:pPr>
        <w:pStyle w:val="BodyText"/>
      </w:pPr>
    </w:p>
    <w:p w:rsidR="00000000" w:rsidRPr="009412DF" w:rsidP="009412DF">
      <w:pPr>
        <w:pStyle w:val="AllowPageBreak"/>
      </w:pPr>
    </w:p>
    <w:p w:rsidR="00000000" w:rsidRPr="009412DF" w:rsidP="009412DF">
      <w:pPr>
        <w:pStyle w:val="Heading1"/>
      </w:pPr>
      <w:bookmarkStart w:id="12" w:name="O_359398"/>
      <w:bookmarkEnd w:id="12"/>
      <w:r w:rsidRPr="009412DF">
        <w:t>Unit Sector(s)</w:t>
      </w:r>
    </w:p>
    <w:p w:rsidR="00000000" w:rsidRPr="009412DF" w:rsidP="009412DF">
      <w:pPr>
        <w:pStyle w:val="BodyText"/>
      </w:pPr>
      <w:r w:rsidRPr="009412DF">
        <w:t>Fire protection equipment</w:t>
      </w:r>
    </w:p>
    <w:p w:rsidR="00000000" w:rsidRPr="009412DF" w:rsidP="009412DF">
      <w:pPr>
        <w:pStyle w:val="AllowPageBreak"/>
      </w:pPr>
    </w:p>
    <w:p w:rsidR="00000000" w:rsidRPr="009412DF" w:rsidP="009412DF">
      <w:pPr>
        <w:pStyle w:val="Heading1"/>
      </w:pPr>
      <w:bookmarkStart w:id="13" w:name="O_359399"/>
      <w:bookmarkEnd w:id="13"/>
      <w:r w:rsidRPr="009412DF">
        <w:t>Custom Content Section</w:t>
      </w:r>
    </w:p>
    <w:p w:rsidR="00000000" w:rsidRPr="009412DF" w:rsidP="009412DF">
      <w:pPr>
        <w:pStyle w:val="BodyText"/>
      </w:pPr>
      <w:r w:rsidRPr="009412DF">
        <w:t>Not applicable.</w:t>
      </w:r>
    </w:p>
    <w:p w:rsidR="00000000" w:rsidRPr="009412DF" w:rsidP="009412DF"/>
    <w:sectPr w:rsidSect="009412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2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529F" w:rsidP="007A529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2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29F" w:rsidP="009412D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A529F" w:rsidP="009412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A529F" w:rsidP="009412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2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2DF" w:rsidRPr="007A529F" w:rsidP="007A52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2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29F" w:rsidRPr="002D2AF8" w:rsidP="009412DF">
    <w:pPr>
      <w:pStyle w:val="Header"/>
      <w:framePr w:wrap="around"/>
    </w:pPr>
    <w:r>
      <w:fldChar w:fldCharType="begin"/>
    </w:r>
    <w:r>
      <w:instrText xml:space="preserve"> TITLE   \* MERGEFORMAT </w:instrText>
    </w:r>
    <w:r>
      <w:fldChar w:fldCharType="separate"/>
    </w:r>
    <w:r>
      <w:t>CPPFES2004A Identify types of installed fire safety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A529F" w:rsidP="009412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FC2C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26A2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24F4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2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12DF"/>
    <w:pPr>
      <w:spacing w:before="360" w:after="60"/>
      <w:outlineLvl w:val="0"/>
    </w:pPr>
    <w:rPr>
      <w:sz w:val="32"/>
    </w:rPr>
  </w:style>
  <w:style w:type="paragraph" w:styleId="Heading2">
    <w:name w:val="heading 2"/>
    <w:basedOn w:val="HeadingBase"/>
    <w:next w:val="BodyText"/>
    <w:link w:val="Heading2Char"/>
    <w:qFormat/>
    <w:rsid w:val="009412DF"/>
    <w:pPr>
      <w:keepLines/>
      <w:spacing w:before="240" w:after="120"/>
      <w:outlineLvl w:val="1"/>
    </w:pPr>
    <w:rPr>
      <w:sz w:val="28"/>
      <w:szCs w:val="40"/>
    </w:rPr>
  </w:style>
  <w:style w:type="paragraph" w:styleId="Heading3">
    <w:name w:val="heading 3"/>
    <w:basedOn w:val="HeadingBase"/>
    <w:next w:val="BodyText"/>
    <w:link w:val="Heading3Char"/>
    <w:qFormat/>
    <w:rsid w:val="009412DF"/>
    <w:pPr>
      <w:spacing w:before="180" w:after="120"/>
      <w:outlineLvl w:val="2"/>
    </w:pPr>
    <w:rPr>
      <w:spacing w:val="-10"/>
      <w:kern w:val="32"/>
    </w:rPr>
  </w:style>
  <w:style w:type="paragraph" w:styleId="Heading4">
    <w:name w:val="heading 4"/>
    <w:basedOn w:val="HeadingBase"/>
    <w:next w:val="BodyText"/>
    <w:link w:val="Heading4Char"/>
    <w:qFormat/>
    <w:rsid w:val="009412DF"/>
    <w:pPr>
      <w:spacing w:before="160" w:after="120"/>
      <w:outlineLvl w:val="3"/>
    </w:pPr>
    <w:rPr>
      <w:sz w:val="22"/>
    </w:rPr>
  </w:style>
  <w:style w:type="paragraph" w:styleId="Heading5">
    <w:name w:val="heading 5"/>
    <w:basedOn w:val="HeadingBase"/>
    <w:next w:val="Normal"/>
    <w:link w:val="Heading5Char"/>
    <w:qFormat/>
    <w:rsid w:val="009412DF"/>
    <w:pPr>
      <w:spacing w:before="80"/>
      <w:outlineLvl w:val="4"/>
    </w:pPr>
    <w:rPr>
      <w:color w:val="918585"/>
      <w:sz w:val="20"/>
    </w:rPr>
  </w:style>
  <w:style w:type="paragraph" w:styleId="Heading6">
    <w:name w:val="heading 6"/>
    <w:basedOn w:val="HeadingBase"/>
    <w:next w:val="Normal"/>
    <w:link w:val="Heading6Char"/>
    <w:qFormat/>
    <w:rsid w:val="009412DF"/>
    <w:pPr>
      <w:spacing w:before="60"/>
      <w:outlineLvl w:val="5"/>
    </w:pPr>
    <w:rPr>
      <w:color w:val="918585"/>
      <w:sz w:val="20"/>
    </w:rPr>
  </w:style>
  <w:style w:type="paragraph" w:styleId="Heading7">
    <w:name w:val="heading 7"/>
    <w:basedOn w:val="Normal"/>
    <w:next w:val="Normal"/>
    <w:link w:val="Heading7Char"/>
    <w:qFormat/>
    <w:rsid w:val="009412DF"/>
    <w:pPr>
      <w:ind w:left="720"/>
      <w:outlineLvl w:val="6"/>
    </w:pPr>
    <w:rPr>
      <w:i/>
    </w:rPr>
  </w:style>
  <w:style w:type="paragraph" w:styleId="Heading8">
    <w:name w:val="heading 8"/>
    <w:basedOn w:val="Normal"/>
    <w:next w:val="Normal"/>
    <w:link w:val="Heading8Char"/>
    <w:qFormat/>
    <w:rsid w:val="009412DF"/>
    <w:pPr>
      <w:ind w:left="720"/>
      <w:outlineLvl w:val="7"/>
    </w:pPr>
    <w:rPr>
      <w:i/>
    </w:rPr>
  </w:style>
  <w:style w:type="paragraph" w:styleId="Heading9">
    <w:name w:val="heading 9"/>
    <w:basedOn w:val="Normal"/>
    <w:next w:val="Normal"/>
    <w:link w:val="Heading9Char"/>
    <w:qFormat/>
    <w:rsid w:val="009412DF"/>
    <w:pPr>
      <w:ind w:left="720"/>
      <w:outlineLvl w:val="8"/>
    </w:pPr>
    <w:rPr>
      <w:i/>
    </w:rPr>
  </w:style>
  <w:style w:type="character" w:default="1" w:styleId="DefaultParagraphFont">
    <w:name w:val="Default Paragraph Font"/>
    <w:uiPriority w:val="1"/>
    <w:unhideWhenUsed/>
    <w:rsid w:val="009412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12DF"/>
  </w:style>
  <w:style w:type="character" w:customStyle="1" w:styleId="Heading1Char">
    <w:name w:val="Heading 1 Char"/>
    <w:basedOn w:val="DefaultParagraphFont"/>
    <w:link w:val="Heading1"/>
    <w:rsid w:val="009412DF"/>
    <w:rPr>
      <w:rFonts w:ascii="Times New Roman" w:eastAsia="Times New Roman" w:hAnsi="Times New Roman" w:cs="Times New Roman"/>
      <w:b/>
      <w:sz w:val="32"/>
      <w:szCs w:val="20"/>
      <w:lang w:eastAsia="en-US"/>
    </w:rPr>
  </w:style>
  <w:style w:type="paragraph" w:styleId="BodyText">
    <w:name w:val="Body Text"/>
    <w:basedOn w:val="Normal"/>
    <w:link w:val="BodyTextChar"/>
    <w:rsid w:val="009412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12DF"/>
    <w:rPr>
      <w:rFonts w:ascii="Times New Roman" w:eastAsia="Times New Roman" w:hAnsi="Times New Roman" w:cs="Times New Roman"/>
      <w:sz w:val="24"/>
      <w:lang w:eastAsia="en-US"/>
    </w:rPr>
  </w:style>
  <w:style w:type="paragraph" w:styleId="Footer">
    <w:name w:val="footer"/>
    <w:basedOn w:val="Normal"/>
    <w:link w:val="FooterChar"/>
    <w:rsid w:val="009412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12DF"/>
    <w:rPr>
      <w:rFonts w:ascii="Times New Roman" w:eastAsia="Times New Roman" w:hAnsi="Times New Roman" w:cs="Times New Roman"/>
      <w:sz w:val="16"/>
      <w:lang w:eastAsia="en-US"/>
    </w:rPr>
  </w:style>
  <w:style w:type="paragraph" w:styleId="ListBullet">
    <w:name w:val="List Bullet"/>
    <w:basedOn w:val="List"/>
    <w:rsid w:val="009412DF"/>
    <w:pPr>
      <w:numPr>
        <w:numId w:val="13"/>
      </w:numPr>
      <w:tabs>
        <w:tab w:val="clear" w:pos="340"/>
      </w:tabs>
      <w:spacing w:before="40" w:after="40"/>
    </w:pPr>
  </w:style>
  <w:style w:type="character" w:customStyle="1" w:styleId="SpecialBold">
    <w:name w:val="Special Bold"/>
    <w:basedOn w:val="DefaultParagraphFont"/>
    <w:rsid w:val="009412DF"/>
    <w:rPr>
      <w:b/>
      <w:spacing w:val="0"/>
    </w:rPr>
  </w:style>
  <w:style w:type="paragraph" w:styleId="ListBullet2">
    <w:name w:val="List Bullet 2"/>
    <w:basedOn w:val="List2"/>
    <w:rsid w:val="009412DF"/>
    <w:pPr>
      <w:numPr>
        <w:numId w:val="14"/>
      </w:numPr>
      <w:tabs>
        <w:tab w:val="clear" w:pos="680"/>
      </w:tabs>
    </w:pPr>
  </w:style>
  <w:style w:type="paragraph" w:customStyle="1" w:styleId="SuperHeading">
    <w:name w:val="SuperHeading"/>
    <w:basedOn w:val="Normal"/>
    <w:rsid w:val="009412DF"/>
    <w:pPr>
      <w:spacing w:before="240" w:after="120"/>
      <w:outlineLvl w:val="0"/>
    </w:pPr>
    <w:rPr>
      <w:rFonts w:ascii="Times New Roman" w:hAnsi="Times New Roman"/>
      <w:b/>
      <w:sz w:val="28"/>
    </w:rPr>
  </w:style>
  <w:style w:type="paragraph" w:customStyle="1" w:styleId="AllowPageBreak">
    <w:name w:val="AllowPageBreak"/>
    <w:rsid w:val="009412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412DF"/>
    <w:rPr>
      <w:b/>
      <w:i/>
      <w:u w:val="none"/>
    </w:rPr>
  </w:style>
  <w:style w:type="character" w:customStyle="1" w:styleId="Heading2Char">
    <w:name w:val="Heading 2 Char"/>
    <w:basedOn w:val="DefaultParagraphFont"/>
    <w:link w:val="Heading2"/>
    <w:rsid w:val="009412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12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12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12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12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12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12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12DF"/>
    <w:rPr>
      <w:rFonts w:ascii="Courier New" w:eastAsia="Times New Roman" w:hAnsi="Courier New" w:cs="Times New Roman"/>
      <w:i/>
      <w:szCs w:val="20"/>
      <w:lang w:eastAsia="en-US"/>
    </w:rPr>
  </w:style>
  <w:style w:type="paragraph" w:customStyle="1" w:styleId="HeadingBase">
    <w:name w:val="Heading Base"/>
    <w:rsid w:val="009412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12DF"/>
    <w:pPr>
      <w:tabs>
        <w:tab w:val="right" w:leader="dot" w:pos="9072"/>
      </w:tabs>
      <w:ind w:left="567"/>
    </w:pPr>
    <w:rPr>
      <w:szCs w:val="22"/>
    </w:rPr>
  </w:style>
  <w:style w:type="paragraph" w:customStyle="1" w:styleId="TOCBase">
    <w:name w:val="TOC Base"/>
    <w:rsid w:val="009412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12DF"/>
    <w:pPr>
      <w:tabs>
        <w:tab w:val="right" w:leader="dot" w:pos="9072"/>
      </w:tabs>
      <w:spacing w:before="40" w:after="40"/>
      <w:ind w:left="284"/>
    </w:pPr>
    <w:rPr>
      <w:rFonts w:ascii="Times New Roman" w:hAnsi="Times New Roman"/>
    </w:rPr>
  </w:style>
  <w:style w:type="paragraph" w:styleId="TOC1">
    <w:name w:val="toc 1"/>
    <w:basedOn w:val="TOCBase"/>
    <w:next w:val="Normal"/>
    <w:rsid w:val="009412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12DF"/>
    <w:pPr>
      <w:spacing w:before="5040"/>
      <w:jc w:val="center"/>
    </w:pPr>
    <w:rPr>
      <w:sz w:val="48"/>
      <w:szCs w:val="72"/>
      <w:lang w:val="en-US"/>
    </w:rPr>
  </w:style>
  <w:style w:type="character" w:customStyle="1" w:styleId="TitleChar">
    <w:name w:val="Title Char"/>
    <w:basedOn w:val="DefaultParagraphFont"/>
    <w:link w:val="Title"/>
    <w:rsid w:val="009412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12DF"/>
    <w:pPr>
      <w:tabs>
        <w:tab w:val="left" w:pos="3600"/>
        <w:tab w:val="left" w:pos="3958"/>
      </w:tabs>
    </w:pPr>
  </w:style>
  <w:style w:type="paragraph" w:styleId="List">
    <w:name w:val="List"/>
    <w:basedOn w:val="BodyText"/>
    <w:next w:val="BodyText"/>
    <w:rsid w:val="009412DF"/>
    <w:pPr>
      <w:tabs>
        <w:tab w:val="left" w:pos="340"/>
      </w:tabs>
      <w:spacing w:before="60" w:after="60"/>
      <w:ind w:left="340" w:hanging="340"/>
    </w:pPr>
  </w:style>
  <w:style w:type="paragraph" w:customStyle="1" w:styleId="Note">
    <w:name w:val="Note"/>
    <w:basedOn w:val="BodyText"/>
    <w:rsid w:val="009412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12DF"/>
    <w:pPr>
      <w:framePr w:wrap="auto" w:hAnchor="text" w:y="6049"/>
    </w:pPr>
    <w:rPr>
      <w:color w:val="000000"/>
      <w:sz w:val="40"/>
    </w:rPr>
  </w:style>
  <w:style w:type="paragraph" w:customStyle="1" w:styleId="TOCTitle">
    <w:name w:val="TOCTitle"/>
    <w:basedOn w:val="Heading1"/>
    <w:rsid w:val="009412DF"/>
    <w:pPr>
      <w:spacing w:after="240"/>
      <w:jc w:val="center"/>
      <w:outlineLvl w:val="9"/>
    </w:pPr>
    <w:rPr>
      <w:caps/>
    </w:rPr>
  </w:style>
  <w:style w:type="paragraph" w:customStyle="1" w:styleId="Version">
    <w:name w:val="Version"/>
    <w:rsid w:val="009412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12DF"/>
    <w:pPr>
      <w:keepNext w:val="0"/>
      <w:tabs>
        <w:tab w:val="right" w:pos="4176"/>
      </w:tabs>
      <w:ind w:left="198" w:hanging="198"/>
    </w:pPr>
    <w:rPr>
      <w:rFonts w:ascii="Garamond" w:hAnsi="Garamond"/>
    </w:rPr>
  </w:style>
  <w:style w:type="paragraph" w:styleId="IndexHeading">
    <w:name w:val="index heading"/>
    <w:basedOn w:val="Normal"/>
    <w:next w:val="Index1"/>
    <w:semiHidden/>
    <w:rsid w:val="009412DF"/>
    <w:pPr>
      <w:spacing w:before="120" w:after="120"/>
    </w:pPr>
    <w:rPr>
      <w:rFonts w:ascii="Arial" w:hAnsi="Arial"/>
      <w:b/>
      <w:color w:val="918585"/>
      <w:sz w:val="24"/>
    </w:rPr>
  </w:style>
  <w:style w:type="paragraph" w:styleId="Header">
    <w:name w:val="header"/>
    <w:basedOn w:val="Normal"/>
    <w:link w:val="HeaderChar"/>
    <w:rsid w:val="009412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12DF"/>
    <w:rPr>
      <w:rFonts w:ascii="Times New Roman" w:eastAsia="Times New Roman" w:hAnsi="Times New Roman" w:cs="Times New Roman"/>
      <w:sz w:val="16"/>
      <w:szCs w:val="20"/>
      <w:lang w:val="en-GB" w:eastAsia="en-US"/>
    </w:rPr>
  </w:style>
  <w:style w:type="paragraph" w:customStyle="1" w:styleId="Chapter">
    <w:name w:val="Chapter"/>
    <w:basedOn w:val="Normal"/>
    <w:rsid w:val="009412DF"/>
    <w:pPr>
      <w:spacing w:before="240"/>
    </w:pPr>
    <w:rPr>
      <w:rFonts w:ascii="Times New Roman" w:hAnsi="Times New Roman"/>
      <w:smallCaps/>
      <w:spacing w:val="80"/>
      <w:sz w:val="28"/>
    </w:rPr>
  </w:style>
  <w:style w:type="paragraph" w:customStyle="1" w:styleId="InChapter">
    <w:name w:val="InChapter"/>
    <w:basedOn w:val="Heading3"/>
    <w:rsid w:val="009412DF"/>
    <w:pPr>
      <w:spacing w:after="240"/>
      <w:outlineLvl w:val="9"/>
    </w:pPr>
    <w:rPr>
      <w:noProof/>
    </w:rPr>
  </w:style>
  <w:style w:type="paragraph" w:styleId="Index2">
    <w:name w:val="index 2"/>
    <w:basedOn w:val="Normal"/>
    <w:next w:val="Normal"/>
    <w:semiHidden/>
    <w:rsid w:val="009412DF"/>
    <w:pPr>
      <w:tabs>
        <w:tab w:val="right" w:pos="4176"/>
      </w:tabs>
      <w:ind w:left="568" w:hanging="284"/>
    </w:pPr>
    <w:rPr>
      <w:rFonts w:ascii="Garamond" w:hAnsi="Garamond"/>
    </w:rPr>
  </w:style>
  <w:style w:type="paragraph" w:customStyle="1" w:styleId="Byline">
    <w:name w:val="Byline"/>
    <w:rsid w:val="009412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12DF"/>
    <w:pPr>
      <w:tabs>
        <w:tab w:val="clear" w:pos="3600"/>
        <w:tab w:val="clear" w:pos="3958"/>
      </w:tabs>
      <w:jc w:val="right"/>
    </w:pPr>
  </w:style>
  <w:style w:type="character" w:styleId="Emphasis">
    <w:name w:val="Emphasis"/>
    <w:basedOn w:val="DefaultParagraphFont"/>
    <w:qFormat/>
    <w:rsid w:val="009412DF"/>
    <w:rPr>
      <w:i/>
    </w:rPr>
  </w:style>
  <w:style w:type="paragraph" w:styleId="Caption">
    <w:name w:val="caption"/>
    <w:basedOn w:val="BodyText"/>
    <w:next w:val="Normal"/>
    <w:qFormat/>
    <w:rsid w:val="009412DF"/>
    <w:pPr>
      <w:framePr w:w="2268" w:hSpace="181" w:vSpace="181" w:wrap="around" w:vAnchor="text" w:hAnchor="page" w:x="1135" w:y="285" w:anchorLock="1"/>
    </w:pPr>
    <w:rPr>
      <w:i/>
    </w:rPr>
  </w:style>
  <w:style w:type="paragraph" w:customStyle="1" w:styleId="MiniTOCTitle">
    <w:name w:val="MiniTOCTitle"/>
    <w:basedOn w:val="Heading4"/>
    <w:rsid w:val="009412DF"/>
    <w:pPr>
      <w:spacing w:before="240"/>
      <w:outlineLvl w:val="9"/>
    </w:pPr>
    <w:rPr>
      <w:noProof/>
      <w:sz w:val="24"/>
    </w:rPr>
  </w:style>
  <w:style w:type="paragraph" w:customStyle="1" w:styleId="MiniTOCItem">
    <w:name w:val="MiniTOCItem"/>
    <w:basedOn w:val="ListBullet"/>
    <w:rsid w:val="009412DF"/>
    <w:pPr>
      <w:numPr>
        <w:numId w:val="0"/>
      </w:numPr>
      <w:tabs>
        <w:tab w:val="right" w:leader="dot" w:pos="6521"/>
      </w:tabs>
      <w:spacing w:before="0" w:after="0"/>
    </w:pPr>
  </w:style>
  <w:style w:type="paragraph" w:customStyle="1" w:styleId="TOFTitle">
    <w:name w:val="TOFTitle"/>
    <w:basedOn w:val="TOCTitle"/>
    <w:rsid w:val="009412DF"/>
  </w:style>
  <w:style w:type="paragraph" w:styleId="TableofFigures">
    <w:name w:val="table of figures"/>
    <w:basedOn w:val="Normal"/>
    <w:next w:val="Normal"/>
    <w:semiHidden/>
    <w:rsid w:val="009412DF"/>
    <w:pPr>
      <w:tabs>
        <w:tab w:val="right" w:leader="dot" w:pos="9072"/>
      </w:tabs>
      <w:ind w:left="970" w:hanging="403"/>
    </w:pPr>
    <w:rPr>
      <w:rFonts w:ascii="Times New Roman" w:hAnsi="Times New Roman"/>
      <w:b/>
    </w:rPr>
  </w:style>
  <w:style w:type="paragraph" w:styleId="ListNumber">
    <w:name w:val="List Number"/>
    <w:basedOn w:val="List"/>
    <w:rsid w:val="009412DF"/>
    <w:pPr>
      <w:numPr>
        <w:numId w:val="11"/>
      </w:numPr>
    </w:pPr>
  </w:style>
  <w:style w:type="character" w:customStyle="1" w:styleId="WingdingSymbols">
    <w:name w:val="Wingding Symbols"/>
    <w:rsid w:val="009412DF"/>
    <w:rPr>
      <w:rFonts w:ascii="Wingdings" w:hAnsi="Wingdings"/>
    </w:rPr>
  </w:style>
  <w:style w:type="paragraph" w:customStyle="1" w:styleId="TableHeading">
    <w:name w:val="Table Heading"/>
    <w:basedOn w:val="HeadingBase"/>
    <w:rsid w:val="009412DF"/>
    <w:pPr>
      <w:keepLines/>
      <w:pBdr>
        <w:bottom w:val="single" w:sz="6" w:space="1" w:color="918585"/>
      </w:pBdr>
      <w:spacing w:before="240"/>
    </w:pPr>
  </w:style>
  <w:style w:type="character" w:customStyle="1" w:styleId="HotSpot">
    <w:name w:val="HotSpot"/>
    <w:rsid w:val="009412DF"/>
    <w:rPr>
      <w:color w:val="0033CC"/>
      <w:u w:val="none"/>
    </w:rPr>
  </w:style>
  <w:style w:type="paragraph" w:customStyle="1" w:styleId="BodyTextRight">
    <w:name w:val="Body Text Right"/>
    <w:basedOn w:val="BodyText"/>
    <w:rsid w:val="009412DF"/>
    <w:pPr>
      <w:spacing w:before="0" w:after="0"/>
      <w:jc w:val="right"/>
    </w:pPr>
  </w:style>
  <w:style w:type="paragraph" w:styleId="Index3">
    <w:name w:val="index 3"/>
    <w:basedOn w:val="ListNumber2"/>
    <w:next w:val="Normal"/>
    <w:semiHidden/>
    <w:rsid w:val="009412DF"/>
    <w:pPr>
      <w:numPr>
        <w:numId w:val="0"/>
      </w:numPr>
      <w:tabs>
        <w:tab w:val="right" w:leader="dot" w:pos="4176"/>
      </w:tabs>
    </w:pPr>
  </w:style>
  <w:style w:type="paragraph" w:styleId="ListNumber2">
    <w:name w:val="List Number 2"/>
    <w:basedOn w:val="List2"/>
    <w:rsid w:val="009412DF"/>
    <w:pPr>
      <w:numPr>
        <w:numId w:val="10"/>
      </w:numPr>
      <w:tabs>
        <w:tab w:val="clear" w:pos="1060"/>
      </w:tabs>
    </w:pPr>
  </w:style>
  <w:style w:type="paragraph" w:customStyle="1" w:styleId="MarginNote">
    <w:name w:val="Margin Note"/>
    <w:basedOn w:val="BodyText"/>
    <w:rsid w:val="009412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12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12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12DF"/>
    <w:rPr>
      <w:sz w:val="32"/>
    </w:rPr>
  </w:style>
  <w:style w:type="paragraph" w:customStyle="1" w:styleId="HeadingProcedure">
    <w:name w:val="Heading Procedure"/>
    <w:basedOn w:val="HeadingBase"/>
    <w:next w:val="Normal"/>
    <w:rsid w:val="009412DF"/>
    <w:pPr>
      <w:tabs>
        <w:tab w:val="left" w:pos="0"/>
      </w:tabs>
      <w:spacing w:before="120" w:after="60"/>
    </w:pPr>
    <w:rPr>
      <w:i/>
      <w:color w:val="918585"/>
      <w:sz w:val="22"/>
    </w:rPr>
  </w:style>
  <w:style w:type="paragraph" w:customStyle="1" w:styleId="TableBodyText">
    <w:name w:val="Table Body Text"/>
    <w:basedOn w:val="BodyText"/>
    <w:rsid w:val="009412DF"/>
    <w:pPr>
      <w:spacing w:before="60" w:after="60"/>
    </w:pPr>
  </w:style>
  <w:style w:type="paragraph" w:styleId="ListContinue">
    <w:name w:val="List Continue"/>
    <w:basedOn w:val="List"/>
    <w:rsid w:val="009412DF"/>
    <w:pPr>
      <w:ind w:firstLine="0"/>
    </w:pPr>
  </w:style>
  <w:style w:type="paragraph" w:customStyle="1" w:styleId="ListNote">
    <w:name w:val="List Note"/>
    <w:basedOn w:val="List"/>
    <w:rsid w:val="009412DF"/>
    <w:pPr>
      <w:pBdr>
        <w:top w:val="single" w:sz="6" w:space="2" w:color="918585"/>
        <w:bottom w:val="single" w:sz="6" w:space="2" w:color="918585"/>
      </w:pBdr>
      <w:tabs>
        <w:tab w:val="left" w:pos="1021"/>
      </w:tabs>
      <w:ind w:firstLine="0"/>
    </w:pPr>
  </w:style>
  <w:style w:type="paragraph" w:customStyle="1" w:styleId="Warning">
    <w:name w:val="Warning"/>
    <w:basedOn w:val="BodyText"/>
    <w:rsid w:val="009412DF"/>
    <w:pPr>
      <w:shd w:val="clear" w:color="auto" w:fill="D9D9D9"/>
      <w:tabs>
        <w:tab w:val="left" w:pos="992"/>
      </w:tabs>
      <w:ind w:left="119" w:right="119"/>
    </w:pPr>
    <w:rPr>
      <w:sz w:val="20"/>
    </w:rPr>
  </w:style>
  <w:style w:type="paragraph" w:customStyle="1" w:styleId="MarginIcons">
    <w:name w:val="Margin Icons"/>
    <w:basedOn w:val="BodyText"/>
    <w:rsid w:val="009412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12DF"/>
    <w:rPr>
      <w:rFonts w:ascii="Courier New" w:hAnsi="Courier New"/>
    </w:rPr>
  </w:style>
  <w:style w:type="paragraph" w:customStyle="1" w:styleId="NoteBullet">
    <w:name w:val="Note Bullet"/>
    <w:basedOn w:val="Note"/>
    <w:rsid w:val="009412DF"/>
    <w:pPr>
      <w:tabs>
        <w:tab w:val="clear" w:pos="680"/>
      </w:tabs>
      <w:spacing w:before="60" w:after="60"/>
    </w:pPr>
  </w:style>
  <w:style w:type="paragraph" w:customStyle="1" w:styleId="SubHeading2">
    <w:name w:val="SubHeading2"/>
    <w:basedOn w:val="HeadingBase"/>
    <w:rsid w:val="009412DF"/>
    <w:pPr>
      <w:spacing w:before="240" w:after="60"/>
    </w:pPr>
    <w:rPr>
      <w:sz w:val="20"/>
    </w:rPr>
  </w:style>
  <w:style w:type="paragraph" w:customStyle="1" w:styleId="SubHeading1">
    <w:name w:val="SubHeading1"/>
    <w:basedOn w:val="HeadingBase"/>
    <w:rsid w:val="009412DF"/>
    <w:pPr>
      <w:spacing w:before="240" w:after="60"/>
    </w:pPr>
    <w:rPr>
      <w:color w:val="918585"/>
      <w:sz w:val="22"/>
    </w:rPr>
  </w:style>
  <w:style w:type="paragraph" w:customStyle="1" w:styleId="SideHeading">
    <w:name w:val="Side Heading"/>
    <w:basedOn w:val="HeadingBase"/>
    <w:rsid w:val="009412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12DF"/>
    <w:pPr>
      <w:numPr>
        <w:numId w:val="12"/>
      </w:numPr>
    </w:pPr>
  </w:style>
  <w:style w:type="paragraph" w:styleId="PlainText">
    <w:name w:val="Plain Text"/>
    <w:basedOn w:val="Normal"/>
    <w:link w:val="PlainTextChar"/>
    <w:rsid w:val="009412DF"/>
    <w:rPr>
      <w:sz w:val="20"/>
    </w:rPr>
  </w:style>
  <w:style w:type="character" w:customStyle="1" w:styleId="PlainTextChar">
    <w:name w:val="Plain Text Char"/>
    <w:basedOn w:val="DefaultParagraphFont"/>
    <w:link w:val="PlainText"/>
    <w:rsid w:val="009412DF"/>
    <w:rPr>
      <w:rFonts w:ascii="Courier New" w:eastAsia="Times New Roman" w:hAnsi="Courier New" w:cs="Times New Roman"/>
      <w:sz w:val="20"/>
      <w:szCs w:val="20"/>
      <w:lang w:eastAsia="en-US"/>
    </w:rPr>
  </w:style>
  <w:style w:type="character" w:customStyle="1" w:styleId="MenuOption">
    <w:name w:val="Menu Option"/>
    <w:basedOn w:val="DefaultParagraphFont"/>
    <w:rsid w:val="009412DF"/>
    <w:rPr>
      <w:b/>
      <w:smallCaps/>
    </w:rPr>
  </w:style>
  <w:style w:type="paragraph" w:customStyle="1" w:styleId="TableListNumber">
    <w:name w:val="Table List Number"/>
    <w:basedOn w:val="ListNumber"/>
    <w:rsid w:val="009412DF"/>
    <w:pPr>
      <w:numPr>
        <w:numId w:val="0"/>
      </w:numPr>
    </w:pPr>
  </w:style>
  <w:style w:type="paragraph" w:styleId="TOC4">
    <w:name w:val="toc 4"/>
    <w:basedOn w:val="TOCBase"/>
    <w:next w:val="Normal"/>
    <w:semiHidden/>
    <w:rsid w:val="009412DF"/>
    <w:pPr>
      <w:tabs>
        <w:tab w:val="right" w:leader="dot" w:pos="9071"/>
      </w:tabs>
      <w:ind w:left="1701"/>
    </w:pPr>
  </w:style>
  <w:style w:type="paragraph" w:customStyle="1" w:styleId="ListAlpha">
    <w:name w:val="List Alpha"/>
    <w:basedOn w:val="List"/>
    <w:rsid w:val="009412DF"/>
    <w:pPr>
      <w:numPr>
        <w:numId w:val="9"/>
      </w:numPr>
    </w:pPr>
  </w:style>
  <w:style w:type="paragraph" w:customStyle="1" w:styleId="ListAlpha2">
    <w:name w:val="List Alpha 2"/>
    <w:basedOn w:val="List2"/>
    <w:rsid w:val="009412DF"/>
    <w:pPr>
      <w:numPr>
        <w:numId w:val="8"/>
      </w:numPr>
    </w:pPr>
  </w:style>
  <w:style w:type="paragraph" w:styleId="List2">
    <w:name w:val="List 2"/>
    <w:basedOn w:val="BodyText"/>
    <w:rsid w:val="009412DF"/>
    <w:pPr>
      <w:tabs>
        <w:tab w:val="left" w:pos="680"/>
      </w:tabs>
      <w:spacing w:before="60" w:after="60"/>
      <w:ind w:left="680" w:hanging="340"/>
    </w:pPr>
  </w:style>
  <w:style w:type="paragraph" w:styleId="List3">
    <w:name w:val="List 3"/>
    <w:basedOn w:val="BodyText"/>
    <w:rsid w:val="009412DF"/>
    <w:pPr>
      <w:tabs>
        <w:tab w:val="left" w:pos="1021"/>
      </w:tabs>
      <w:spacing w:before="60" w:after="60"/>
      <w:ind w:left="1020" w:hanging="340"/>
    </w:pPr>
  </w:style>
  <w:style w:type="paragraph" w:styleId="List4">
    <w:name w:val="List 4"/>
    <w:basedOn w:val="BodyText"/>
    <w:rsid w:val="009412DF"/>
    <w:pPr>
      <w:tabs>
        <w:tab w:val="left" w:pos="1361"/>
      </w:tabs>
      <w:spacing w:before="60" w:after="60"/>
      <w:ind w:left="1361" w:hanging="340"/>
    </w:pPr>
  </w:style>
  <w:style w:type="paragraph" w:styleId="List5">
    <w:name w:val="List 5"/>
    <w:basedOn w:val="BodyText"/>
    <w:rsid w:val="009412DF"/>
    <w:pPr>
      <w:tabs>
        <w:tab w:val="left" w:pos="1701"/>
      </w:tabs>
      <w:spacing w:before="60" w:after="60"/>
      <w:ind w:left="1701" w:hanging="340"/>
    </w:pPr>
  </w:style>
  <w:style w:type="paragraph" w:styleId="ListBullet3">
    <w:name w:val="List Bullet 3"/>
    <w:basedOn w:val="List3"/>
    <w:rsid w:val="009412DF"/>
    <w:pPr>
      <w:numPr>
        <w:numId w:val="15"/>
      </w:numPr>
      <w:tabs>
        <w:tab w:val="clear" w:pos="1021"/>
      </w:tabs>
      <w:ind w:left="1037" w:hanging="357"/>
    </w:pPr>
  </w:style>
  <w:style w:type="paragraph" w:styleId="ListBullet4">
    <w:name w:val="List Bullet 4"/>
    <w:basedOn w:val="List4"/>
    <w:rsid w:val="009412DF"/>
    <w:pPr>
      <w:numPr>
        <w:numId w:val="3"/>
      </w:numPr>
    </w:pPr>
  </w:style>
  <w:style w:type="paragraph" w:styleId="ListBullet5">
    <w:name w:val="List Bullet 5"/>
    <w:basedOn w:val="List5"/>
    <w:rsid w:val="009412DF"/>
    <w:pPr>
      <w:numPr>
        <w:numId w:val="4"/>
      </w:numPr>
    </w:pPr>
  </w:style>
  <w:style w:type="paragraph" w:styleId="ListContinue2">
    <w:name w:val="List Continue 2"/>
    <w:basedOn w:val="List2"/>
    <w:rsid w:val="009412DF"/>
    <w:pPr>
      <w:ind w:firstLine="0"/>
    </w:pPr>
  </w:style>
  <w:style w:type="paragraph" w:styleId="ListContinue3">
    <w:name w:val="List Continue 3"/>
    <w:basedOn w:val="List3"/>
    <w:rsid w:val="009412DF"/>
    <w:pPr>
      <w:ind w:left="1021" w:firstLine="0"/>
    </w:pPr>
  </w:style>
  <w:style w:type="paragraph" w:styleId="ListContinue4">
    <w:name w:val="List Continue 4"/>
    <w:basedOn w:val="List4"/>
    <w:rsid w:val="009412DF"/>
    <w:pPr>
      <w:ind w:firstLine="0"/>
    </w:pPr>
  </w:style>
  <w:style w:type="paragraph" w:styleId="ListContinue5">
    <w:name w:val="List Continue 5"/>
    <w:basedOn w:val="List5"/>
    <w:rsid w:val="009412DF"/>
    <w:pPr>
      <w:ind w:firstLine="0"/>
    </w:pPr>
  </w:style>
  <w:style w:type="paragraph" w:styleId="ListNumber3">
    <w:name w:val="List Number 3"/>
    <w:basedOn w:val="List3"/>
    <w:rsid w:val="009412DF"/>
    <w:pPr>
      <w:numPr>
        <w:numId w:val="5"/>
      </w:numPr>
    </w:pPr>
  </w:style>
  <w:style w:type="paragraph" w:styleId="ListNumber4">
    <w:name w:val="List Number 4"/>
    <w:basedOn w:val="List4"/>
    <w:rsid w:val="009412DF"/>
    <w:pPr>
      <w:numPr>
        <w:numId w:val="6"/>
      </w:numPr>
    </w:pPr>
  </w:style>
  <w:style w:type="paragraph" w:styleId="ListNumber5">
    <w:name w:val="List Number 5"/>
    <w:basedOn w:val="List5"/>
    <w:rsid w:val="009412DF"/>
    <w:pPr>
      <w:numPr>
        <w:numId w:val="7"/>
      </w:numPr>
    </w:pPr>
  </w:style>
  <w:style w:type="paragraph" w:styleId="BlockText">
    <w:name w:val="Block Text"/>
    <w:basedOn w:val="Normal"/>
    <w:rsid w:val="009412DF"/>
    <w:pPr>
      <w:spacing w:after="120"/>
      <w:ind w:left="1440" w:right="1440"/>
    </w:pPr>
  </w:style>
  <w:style w:type="character" w:customStyle="1" w:styleId="Subscript">
    <w:name w:val="Subscript"/>
    <w:basedOn w:val="DefaultParagraphFont"/>
    <w:rsid w:val="009412DF"/>
    <w:rPr>
      <w:sz w:val="16"/>
      <w:vertAlign w:val="subscript"/>
    </w:rPr>
  </w:style>
  <w:style w:type="character" w:customStyle="1" w:styleId="Superscript">
    <w:name w:val="Superscript"/>
    <w:basedOn w:val="DefaultParagraphFont"/>
    <w:rsid w:val="009412DF"/>
    <w:rPr>
      <w:sz w:val="16"/>
      <w:vertAlign w:val="superscript"/>
    </w:rPr>
  </w:style>
  <w:style w:type="character" w:customStyle="1" w:styleId="Symbols">
    <w:name w:val="Symbols"/>
    <w:basedOn w:val="DefaultParagraphFont"/>
    <w:rsid w:val="009412DF"/>
    <w:rPr>
      <w:rFonts w:ascii="Symbol" w:hAnsi="Symbol"/>
    </w:rPr>
  </w:style>
  <w:style w:type="character" w:customStyle="1" w:styleId="MenuOptions">
    <w:name w:val="Menu Options"/>
    <w:basedOn w:val="DefaultParagraphFont"/>
    <w:rsid w:val="009412DF"/>
    <w:rPr>
      <w:rFonts w:ascii="Arial Narrow" w:hAnsi="Arial Narrow"/>
      <w:smallCaps/>
    </w:rPr>
  </w:style>
  <w:style w:type="character" w:customStyle="1" w:styleId="Buttons">
    <w:name w:val="Buttons"/>
    <w:basedOn w:val="DefaultParagraphFont"/>
    <w:rsid w:val="009412DF"/>
    <w:rPr>
      <w:b/>
    </w:rPr>
  </w:style>
  <w:style w:type="character" w:customStyle="1" w:styleId="Underlined">
    <w:name w:val="Underlined"/>
    <w:basedOn w:val="DefaultParagraphFont"/>
    <w:rsid w:val="009412DF"/>
    <w:rPr>
      <w:u w:val="single"/>
    </w:rPr>
  </w:style>
  <w:style w:type="paragraph" w:customStyle="1" w:styleId="TableBodyTextRight">
    <w:name w:val="Table Body Text Right"/>
    <w:basedOn w:val="TableBodyText"/>
    <w:rsid w:val="009412DF"/>
    <w:pPr>
      <w:widowControl w:val="0"/>
      <w:autoSpaceDE w:val="0"/>
      <w:autoSpaceDN w:val="0"/>
      <w:adjustRightInd w:val="0"/>
      <w:jc w:val="right"/>
    </w:pPr>
    <w:rPr>
      <w:rFonts w:cs="Arial"/>
      <w:szCs w:val="18"/>
    </w:rPr>
  </w:style>
  <w:style w:type="paragraph" w:customStyle="1" w:styleId="CopyrightText">
    <w:name w:val="Copyright Text"/>
    <w:basedOn w:val="BodyText"/>
    <w:rsid w:val="009412DF"/>
    <w:rPr>
      <w:sz w:val="18"/>
    </w:rPr>
  </w:style>
  <w:style w:type="paragraph" w:customStyle="1" w:styleId="BodySmallRight">
    <w:name w:val="Body Small Right"/>
    <w:basedOn w:val="BodyTextRight"/>
    <w:rsid w:val="009412DF"/>
    <w:rPr>
      <w:sz w:val="18"/>
      <w:szCs w:val="18"/>
    </w:rPr>
  </w:style>
  <w:style w:type="paragraph" w:customStyle="1" w:styleId="MarginEdition">
    <w:name w:val="Margin Edition"/>
    <w:basedOn w:val="MarginNote"/>
    <w:rsid w:val="009412DF"/>
    <w:pPr>
      <w:spacing w:before="0" w:after="0"/>
    </w:pPr>
    <w:rPr>
      <w:rFonts w:ascii="Times New Roman" w:hAnsi="Times New Roman"/>
      <w:color w:val="999999"/>
    </w:rPr>
  </w:style>
  <w:style w:type="paragraph" w:customStyle="1" w:styleId="Spacer">
    <w:name w:val="Spacer"/>
    <w:basedOn w:val="Normal"/>
    <w:rsid w:val="009412DF"/>
    <w:rPr>
      <w:sz w:val="2"/>
      <w:szCs w:val="2"/>
    </w:rPr>
  </w:style>
  <w:style w:type="character" w:customStyle="1" w:styleId="Small">
    <w:name w:val="Small"/>
    <w:basedOn w:val="DefaultParagraphFont"/>
    <w:rsid w:val="009412DF"/>
    <w:rPr>
      <w:sz w:val="16"/>
    </w:rPr>
  </w:style>
  <w:style w:type="paragraph" w:customStyle="1" w:styleId="WideTable">
    <w:name w:val="Wide Table"/>
    <w:basedOn w:val="Normal"/>
    <w:rsid w:val="009412DF"/>
    <w:pPr>
      <w:ind w:left="-1418"/>
    </w:pPr>
    <w:rPr>
      <w:sz w:val="2"/>
      <w:szCs w:val="2"/>
    </w:rPr>
  </w:style>
  <w:style w:type="character" w:styleId="PageNumber">
    <w:name w:val="page number"/>
    <w:basedOn w:val="DefaultParagraphFont"/>
    <w:rsid w:val="009412DF"/>
  </w:style>
  <w:style w:type="paragraph" w:styleId="Quote">
    <w:name w:val="Quote"/>
    <w:basedOn w:val="Heading1"/>
    <w:link w:val="QuoteChar"/>
    <w:qFormat/>
    <w:rsid w:val="009412DF"/>
    <w:rPr>
      <w:b w:val="0"/>
      <w:sz w:val="72"/>
      <w:szCs w:val="72"/>
      <w:lang w:val="en-NZ"/>
    </w:rPr>
  </w:style>
  <w:style w:type="character" w:customStyle="1" w:styleId="QuoteChar">
    <w:name w:val="Quote Char"/>
    <w:basedOn w:val="DefaultParagraphFont"/>
    <w:link w:val="Quote"/>
    <w:rsid w:val="009412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12DF"/>
    <w:pPr>
      <w:pageBreakBefore/>
    </w:pPr>
  </w:style>
  <w:style w:type="paragraph" w:customStyle="1" w:styleId="Border">
    <w:name w:val="Border"/>
    <w:basedOn w:val="Normal"/>
    <w:qFormat/>
    <w:rsid w:val="009412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12DF"/>
    <w:rPr>
      <w:b/>
      <w:bCs/>
      <w:i/>
      <w:iCs/>
      <w:color w:val="auto"/>
    </w:rPr>
  </w:style>
  <w:style w:type="paragraph" w:styleId="IntenseQuote">
    <w:name w:val="Intense Quote"/>
    <w:basedOn w:val="Normal"/>
    <w:next w:val="Normal"/>
    <w:link w:val="IntenseQuoteChar"/>
    <w:uiPriority w:val="30"/>
    <w:qFormat/>
    <w:rsid w:val="009412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12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12DF"/>
    <w:rPr>
      <w:smallCaps/>
      <w:color w:val="auto"/>
      <w:u w:val="single"/>
    </w:rPr>
  </w:style>
  <w:style w:type="character" w:styleId="IntenseReference">
    <w:name w:val="Intense Reference"/>
    <w:basedOn w:val="DefaultParagraphFont"/>
    <w:uiPriority w:val="32"/>
    <w:qFormat/>
    <w:rsid w:val="009412DF"/>
    <w:rPr>
      <w:b/>
      <w:bCs/>
      <w:smallCaps/>
      <w:color w:val="auto"/>
      <w:spacing w:val="5"/>
      <w:u w:val="single"/>
    </w:rPr>
  </w:style>
  <w:style w:type="paragraph" w:customStyle="1" w:styleId="2ColumnHeading">
    <w:name w:val="2Column Heading"/>
    <w:basedOn w:val="BodyText"/>
    <w:qFormat/>
    <w:rsid w:val="009412DF"/>
    <w:pPr>
      <w:spacing w:after="60"/>
      <w:ind w:left="-2268"/>
    </w:pPr>
    <w:rPr>
      <w:b/>
    </w:rPr>
  </w:style>
  <w:style w:type="paragraph" w:customStyle="1" w:styleId="Heading1TOC">
    <w:name w:val="Heading1 TOC"/>
    <w:basedOn w:val="Normal"/>
    <w:qFormat/>
    <w:rsid w:val="009412DF"/>
    <w:pPr>
      <w:spacing w:before="240" w:after="120"/>
    </w:pPr>
    <w:rPr>
      <w:rFonts w:ascii="Times New Roman" w:hAnsi="Times New Roman"/>
      <w:b/>
      <w:sz w:val="32"/>
    </w:rPr>
  </w:style>
  <w:style w:type="paragraph" w:customStyle="1" w:styleId="Heading2TOC">
    <w:name w:val="Heading2 TOC"/>
    <w:basedOn w:val="Normal"/>
    <w:qFormat/>
    <w:rsid w:val="009412DF"/>
    <w:pPr>
      <w:spacing w:before="240" w:after="60"/>
    </w:pPr>
    <w:rPr>
      <w:rFonts w:ascii="Times New Roman" w:hAnsi="Times New Roman"/>
      <w:b/>
      <w:sz w:val="28"/>
    </w:rPr>
  </w:style>
  <w:style w:type="character" w:customStyle="1" w:styleId="Underline">
    <w:name w:val="Underline"/>
    <w:basedOn w:val="DefaultParagraphFont"/>
    <w:qFormat/>
    <w:rsid w:val="009412DF"/>
    <w:rPr>
      <w:u w:val="single"/>
    </w:rPr>
  </w:style>
  <w:style w:type="paragraph" w:styleId="BalloonText">
    <w:name w:val="Balloon Text"/>
    <w:basedOn w:val="Normal"/>
    <w:link w:val="BalloonTextChar"/>
    <w:rsid w:val="009412DF"/>
    <w:rPr>
      <w:rFonts w:ascii="Tahoma" w:hAnsi="Tahoma" w:cs="Tahoma"/>
      <w:sz w:val="16"/>
      <w:szCs w:val="16"/>
    </w:rPr>
  </w:style>
  <w:style w:type="character" w:customStyle="1" w:styleId="BalloonTextChar">
    <w:name w:val="Balloon Text Char"/>
    <w:basedOn w:val="DefaultParagraphFont"/>
    <w:link w:val="BalloonText"/>
    <w:rsid w:val="009412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12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12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12DF"/>
    <w:rPr>
      <w:b/>
      <w:color w:val="660033"/>
      <w:spacing w:val="0"/>
    </w:rPr>
  </w:style>
  <w:style w:type="paragraph" w:customStyle="1" w:styleId="Nameditemlist">
    <w:name w:val="Named item list"/>
    <w:basedOn w:val="BodyText"/>
    <w:qFormat/>
    <w:rsid w:val="009412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1792</Words>
  <Characters>11703</Characters>
  <Application>Microsoft Office Word</Application>
  <DocSecurity>0</DocSecurity>
  <Lines>478</Lines>
  <Paragraphs>296</Paragraphs>
  <ScaleCrop>false</ScaleCrop>
  <Company>Author-it Software Corporation Ltd.</Company>
  <LinksUpToDate>false</LinksUpToDate>
  <CharactersWithSpaces>13380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CPPFES2004A Identify types of installed fire safety equipment and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2012-10-05T15:16:00Z</dcterms:created>
  <dcterms:modified xsi:type="dcterms:W3CDTF">2012-10-05T15:16:00Z</dcterms:modified>
</cp:coreProperties>
</file>