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B28" w:rsidP="00FE4B28">
      <w:pPr>
        <w:pStyle w:val="Title"/>
      </w:pPr>
      <w:r>
        <w:fldChar w:fldCharType="begin"/>
      </w:r>
      <w:r>
        <w:instrText xml:space="preserve"> TITLE   \* MERGEFORMAT </w:instrText>
      </w:r>
      <w:r>
        <w:fldChar w:fldCharType="separate"/>
      </w:r>
      <w:r>
        <w:t>CPPDSM6005A Develop a property investment strategy</w:t>
      </w:r>
      <w:r>
        <w:fldChar w:fldCharType="end"/>
      </w:r>
    </w:p>
    <w:p w:rsidR="00FE4B28" w:rsidP="00FE4B28">
      <w:pPr>
        <w:pStyle w:val="Version"/>
        <w:sectPr w:rsidSect="004B1E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E86" w:rsidP="004B1E86">
      <w:pPr>
        <w:pStyle w:val="SuperHeading"/>
      </w:pPr>
      <w:r w:rsidRPr="004B1E86">
        <w:t>CPPDSM6005A Develop a property investment strategy</w:t>
      </w:r>
    </w:p>
    <w:p w:rsidR="00000000" w:rsidRPr="004B1E86" w:rsidP="004B1E86">
      <w:pPr>
        <w:pStyle w:val="Heading1"/>
      </w:pPr>
      <w:bookmarkStart w:id="1" w:name="O_270146"/>
      <w:bookmarkEnd w:id="1"/>
      <w:r w:rsidRPr="004B1E86">
        <w:t>Modification History</w:t>
      </w:r>
    </w:p>
    <w:p w:rsidR="00000000" w:rsidRPr="004B1E86" w:rsidP="004B1E86">
      <w:pPr>
        <w:pStyle w:val="BodyText"/>
      </w:pPr>
      <w:r w:rsidRPr="004B1E86">
        <w:t>Not Applicable</w:t>
      </w:r>
    </w:p>
    <w:p w:rsidR="00000000" w:rsidRPr="004B1E86" w:rsidP="004B1E86">
      <w:pPr>
        <w:pStyle w:val="AllowPageBreak"/>
      </w:pPr>
    </w:p>
    <w:p w:rsidR="00000000" w:rsidRPr="004B1E86" w:rsidP="004B1E86">
      <w:pPr>
        <w:pStyle w:val="Heading1"/>
      </w:pPr>
      <w:bookmarkStart w:id="2" w:name="O_201516"/>
      <w:bookmarkEnd w:id="2"/>
      <w:r w:rsidRPr="004B1E86">
        <w:t>Unit Descriptor</w:t>
      </w:r>
    </w:p>
    <w:tbl>
      <w:tblPr>
        <w:tblW w:w="0" w:type="auto"/>
        <w:tblLayout w:type="fixed"/>
        <w:tblCellMar>
          <w:left w:w="62" w:type="dxa"/>
          <w:right w:w="62" w:type="dxa"/>
        </w:tblCellMar>
        <w:tblLook w:val="0000"/>
      </w:tblPr>
      <w:tblGrid>
        <w:gridCol w:w="2754"/>
        <w:gridCol w:w="5768"/>
      </w:tblGrid>
      <w:tr w:rsidTr="00FE4B28">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4B1E86" w:rsidP="004B1E86">
            <w:pPr>
              <w:pStyle w:val="BodyText"/>
            </w:pPr>
            <w:r w:rsidRPr="004B1E86">
              <w:t>This unit of competency specifies the outcomes required to formulate and assess a viable</w:t>
            </w:r>
            <w:r w:rsidRPr="004B1E86">
              <w:t xml:space="preserve"> property investment strategy. It requires the ability to establish investment requirements, identify market developments and trends, use standard financial analysis methods and techniques to determine investment options, and develop a risk management plan</w:t>
            </w:r>
            <w:r w:rsidRPr="004B1E86">
              <w:t xml:space="preserve">. </w:t>
            </w:r>
          </w:p>
          <w:p w:rsidR="00000000" w:rsidRPr="004B1E86" w:rsidP="004B1E86">
            <w:pPr>
              <w:pStyle w:val="BodyText"/>
            </w:pPr>
            <w:r w:rsidRPr="004B1E86">
              <w:t xml:space="preserve">The unit may form part of the licensing requirements for persons working in the property industry, including in the real estate, business broking, stock and station agency and property operations and development sectors, in those States and Territories </w:t>
            </w:r>
            <w:r w:rsidRPr="004B1E86">
              <w:t>where these are regulated activities.</w:t>
            </w:r>
          </w:p>
        </w:tc>
      </w:tr>
    </w:tbl>
    <w:p w:rsidR="00FE4B28" w:rsidP="004B1E86">
      <w:pPr>
        <w:pStyle w:val="BodyText"/>
      </w:pPr>
    </w:p>
    <w:p w:rsidR="00FE4B28" w:rsidP="004B1E86">
      <w:pPr>
        <w:pStyle w:val="BodyText"/>
      </w:pPr>
    </w:p>
    <w:p w:rsidR="00000000" w:rsidRPr="004B1E86" w:rsidP="004B1E86">
      <w:pPr>
        <w:pStyle w:val="Heading1"/>
      </w:pPr>
      <w:bookmarkStart w:id="3" w:name="O_201519"/>
      <w:bookmarkEnd w:id="3"/>
      <w:r w:rsidRPr="004B1E86">
        <w:t>Application of the Unit</w:t>
      </w:r>
    </w:p>
    <w:tbl>
      <w:tblPr>
        <w:tblW w:w="0" w:type="auto"/>
        <w:tblLayout w:type="fixed"/>
        <w:tblCellMar>
          <w:left w:w="62" w:type="dxa"/>
          <w:right w:w="62" w:type="dxa"/>
        </w:tblCellMar>
        <w:tblLook w:val="0000"/>
      </w:tblPr>
      <w:tblGrid>
        <w:gridCol w:w="2754"/>
        <w:gridCol w:w="5768"/>
      </w:tblGrid>
      <w:tr w:rsidTr="00FE4B2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4B1E86" w:rsidP="004B1E86">
            <w:pPr>
              <w:pStyle w:val="BodyText"/>
            </w:pPr>
            <w:r w:rsidRPr="004B1E86">
              <w:t>This unit of competency supports the work of those involved in formulating and assessing a viable property investment strategy.</w:t>
            </w:r>
          </w:p>
        </w:tc>
      </w:tr>
    </w:tbl>
    <w:p w:rsidR="00FE4B28" w:rsidP="004B1E86">
      <w:pPr>
        <w:pStyle w:val="BodyText"/>
      </w:pPr>
    </w:p>
    <w:p w:rsidR="00FE4B28" w:rsidP="004B1E86">
      <w:pPr>
        <w:pStyle w:val="BodyText"/>
      </w:pPr>
    </w:p>
    <w:p w:rsidR="00000000" w:rsidRPr="004B1E86" w:rsidP="004B1E86">
      <w:pPr>
        <w:pStyle w:val="Heading1"/>
      </w:pPr>
      <w:bookmarkStart w:id="4" w:name="O_278406"/>
      <w:bookmarkEnd w:id="4"/>
      <w:r w:rsidRPr="004B1E86">
        <w:t>Licensing/Regulatory Information</w:t>
      </w:r>
    </w:p>
    <w:p w:rsidR="00000000" w:rsidRPr="004B1E86" w:rsidP="004B1E86">
      <w:pPr>
        <w:pStyle w:val="BodyText"/>
      </w:pPr>
      <w:r w:rsidRPr="004B1E86">
        <w:t>Refer to Unit Descriptor</w:t>
      </w:r>
    </w:p>
    <w:p w:rsidR="00000000" w:rsidRPr="004B1E86" w:rsidP="004B1E86">
      <w:pPr>
        <w:pStyle w:val="AllowPageBreak"/>
      </w:pPr>
    </w:p>
    <w:p w:rsidR="00000000" w:rsidRPr="004B1E86" w:rsidP="004B1E86">
      <w:pPr>
        <w:pStyle w:val="Heading1"/>
      </w:pPr>
      <w:bookmarkStart w:id="5" w:name="O_201518"/>
      <w:bookmarkEnd w:id="5"/>
      <w:r w:rsidRPr="004B1E86">
        <w:t>Pre-Requisites</w:t>
      </w:r>
    </w:p>
    <w:tbl>
      <w:tblPr>
        <w:tblW w:w="0" w:type="auto"/>
        <w:tblLayout w:type="fixed"/>
        <w:tblCellMar>
          <w:left w:w="62" w:type="dxa"/>
          <w:right w:w="62" w:type="dxa"/>
        </w:tblCellMar>
        <w:tblLook w:val="0000"/>
      </w:tblPr>
      <w:tblGrid>
        <w:gridCol w:w="2754"/>
        <w:gridCol w:w="5768"/>
      </w:tblGrid>
      <w:tr w:rsidTr="00FE4B2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4B1E86" w:rsidP="004B1E86">
            <w:pPr>
              <w:pStyle w:val="BodyText"/>
            </w:pPr>
            <w:r w:rsidRPr="004B1E86">
              <w:t>Nil</w:t>
            </w:r>
          </w:p>
        </w:tc>
      </w:tr>
    </w:tbl>
    <w:p w:rsidR="00FE4B28" w:rsidP="004B1E86">
      <w:pPr>
        <w:pStyle w:val="BodyText"/>
      </w:pPr>
    </w:p>
    <w:p w:rsidR="00FE4B28" w:rsidP="004B1E86">
      <w:pPr>
        <w:pStyle w:val="BodyText"/>
      </w:pPr>
    </w:p>
    <w:p w:rsidR="00000000" w:rsidRPr="004B1E86" w:rsidP="004B1E86">
      <w:pPr>
        <w:pStyle w:val="Heading1"/>
      </w:pPr>
      <w:bookmarkStart w:id="6" w:name="O_201517"/>
      <w:bookmarkEnd w:id="6"/>
      <w:r w:rsidRPr="004B1E86">
        <w:t>Employability Skills Information</w:t>
      </w:r>
    </w:p>
    <w:tbl>
      <w:tblPr>
        <w:tblW w:w="0" w:type="auto"/>
        <w:tblLayout w:type="fixed"/>
        <w:tblCellMar>
          <w:left w:w="62" w:type="dxa"/>
          <w:right w:w="62" w:type="dxa"/>
        </w:tblCellMar>
        <w:tblLook w:val="0000"/>
      </w:tblPr>
      <w:tblGrid>
        <w:gridCol w:w="2754"/>
        <w:gridCol w:w="5768"/>
      </w:tblGrid>
      <w:tr w:rsidTr="00FE4B2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4B1E86" w:rsidP="004B1E86">
            <w:pPr>
              <w:pStyle w:val="BodyText"/>
            </w:pPr>
            <w:r w:rsidRPr="004B1E86">
              <w:t>The required outcomes described in this unit of competency contain applicable facets of employability skills. The Employability Skills Summary of the qualification in which this unit of competency is packaged, will assist in identifying employability skill</w:t>
            </w:r>
            <w:r w:rsidRPr="004B1E86">
              <w:t>s requirements.</w:t>
            </w:r>
          </w:p>
        </w:tc>
      </w:tr>
    </w:tbl>
    <w:p w:rsidR="00FE4B28" w:rsidP="004B1E86">
      <w:pPr>
        <w:pStyle w:val="BodyText"/>
      </w:pPr>
    </w:p>
    <w:p w:rsidR="00FE4B28" w:rsidP="004B1E86">
      <w:pPr>
        <w:pStyle w:val="BodyText"/>
      </w:pPr>
    </w:p>
    <w:p w:rsidR="00000000" w:rsidRPr="004B1E86" w:rsidP="004B1E86">
      <w:pPr>
        <w:pStyle w:val="Heading1"/>
      </w:pPr>
      <w:bookmarkStart w:id="7" w:name="O_288192"/>
      <w:bookmarkEnd w:id="7"/>
      <w:r w:rsidRPr="004B1E86">
        <w:t>Elements and Performance Criteria Pre-Content</w:t>
      </w:r>
    </w:p>
    <w:tbl>
      <w:tblPr>
        <w:tblW w:w="0" w:type="auto"/>
        <w:tblLayout w:type="fixed"/>
        <w:tblCellMar>
          <w:left w:w="62" w:type="dxa"/>
          <w:right w:w="62" w:type="dxa"/>
        </w:tblCellMar>
        <w:tblLook w:val="0000"/>
      </w:tblPr>
      <w:tblGrid>
        <w:gridCol w:w="2800"/>
        <w:gridCol w:w="5955"/>
      </w:tblGrid>
      <w:tr w:rsidTr="00FE4B28">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4B1E86" w:rsidP="004B1E86">
            <w:pPr>
              <w:pStyle w:val="BodyText"/>
            </w:pPr>
            <w:r w:rsidRPr="004B1E86">
              <w:t>Performance criteria describe the required performance needed to demonstrate achievement of the element. Whe</w:t>
            </w:r>
            <w:r w:rsidRPr="004B1E86">
              <w:t xml:space="preserve">re </w:t>
            </w:r>
            <w:r w:rsidRPr="004B1E86">
              <w:rPr>
                <w:rStyle w:val="BoldandItalics"/>
              </w:rPr>
              <w:t>bold italicised</w:t>
            </w:r>
            <w:r w:rsidRPr="004B1E86">
              <w:t xml:space="preserve"> text is used, further information is detailed in the required skills and knowledge and/or the range statement. Assessment of performance is to be consistent with the evidence guide.</w:t>
            </w:r>
          </w:p>
        </w:tc>
      </w:tr>
    </w:tbl>
    <w:p w:rsidR="00000000" w:rsidRPr="004B1E86" w:rsidP="004B1E86">
      <w:pPr>
        <w:pStyle w:val="BodyText"/>
      </w:pPr>
    </w:p>
    <w:p w:rsidR="00000000" w:rsidRPr="004B1E86" w:rsidP="004B1E86">
      <w:pPr>
        <w:pStyle w:val="AllowPageBreak"/>
      </w:pPr>
    </w:p>
    <w:p w:rsidR="00000000" w:rsidRPr="004B1E86" w:rsidP="004B1E86">
      <w:pPr>
        <w:pStyle w:val="Heading1"/>
      </w:pPr>
      <w:bookmarkStart w:id="8" w:name="O_234859"/>
      <w:bookmarkEnd w:id="8"/>
      <w:r w:rsidRPr="004B1E86">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FE4B28">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4B1E86" w:rsidP="004B1E86">
            <w:pPr>
              <w:pStyle w:val="List"/>
            </w:pPr>
            <w:r w:rsidRPr="004B1E86">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4B1E86">
            <w:pPr>
              <w:pStyle w:val="List"/>
              <w:rPr>
                <w:lang w:val="en-NZ"/>
              </w:rPr>
            </w:pPr>
            <w:r w:rsidRPr="004B1E86">
              <w:rPr>
                <w:rStyle w:val="SpecialBold"/>
              </w:rPr>
              <w:t>PERFORMANCE CRITERIA</w:t>
            </w:r>
          </w:p>
        </w:tc>
      </w:tr>
      <w:tr w:rsidTr="00FE4B2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4B1E86">
            <w:pPr>
              <w:pStyle w:val="List"/>
              <w:rPr>
                <w:lang w:val="en-NZ"/>
              </w:rPr>
            </w:pPr>
            <w:r w:rsidRPr="004B1E86">
              <w:rPr>
                <w:rStyle w:val="SpecialBold"/>
              </w:rPr>
              <w:t>1</w:t>
            </w:r>
            <w:r w:rsidRPr="004B1E86">
              <w:tab/>
            </w:r>
            <w:r w:rsidRPr="004B1E86">
              <w:rPr>
                <w:rStyle w:val="SpecialBold"/>
              </w:rPr>
              <w:t>Establish investment requirements</w:t>
            </w:r>
            <w:r w:rsidRPr="004B1E86">
              <w:t>.</w:t>
            </w:r>
          </w:p>
        </w:tc>
        <w:tc>
          <w:tcPr>
            <w:tcW w:w="5940" w:type="dxa"/>
            <w:gridSpan w:val="2"/>
            <w:tcBorders>
              <w:top w:val="nil"/>
              <w:left w:val="nil"/>
              <w:bottom w:val="nil"/>
              <w:right w:val="nil"/>
            </w:tcBorders>
            <w:tcMar>
              <w:top w:w="0" w:type="dxa"/>
              <w:left w:w="62" w:type="dxa"/>
              <w:bottom w:w="0" w:type="dxa"/>
              <w:right w:w="62" w:type="dxa"/>
            </w:tcMar>
          </w:tcPr>
          <w:p w:rsidR="00000000" w:rsidRPr="004B1E86" w:rsidP="004B1E86">
            <w:pPr>
              <w:pStyle w:val="List"/>
            </w:pPr>
            <w:r w:rsidRPr="004B1E86">
              <w:t>1.1</w:t>
            </w:r>
            <w:r w:rsidRPr="004B1E86">
              <w:tab/>
            </w:r>
            <w:r w:rsidRPr="004B1E86">
              <w:rPr>
                <w:rStyle w:val="BoldandItalics"/>
              </w:rPr>
              <w:t>Investment parameters</w:t>
            </w:r>
            <w:r w:rsidRPr="004B1E86">
              <w:t xml:space="preserve">, goals and objectives are determined and confirmed in consultation with </w:t>
            </w:r>
            <w:r w:rsidRPr="004B1E86">
              <w:rPr>
                <w:rStyle w:val="BoldandItalics"/>
              </w:rPr>
              <w:t>relevant people</w:t>
            </w:r>
            <w:r w:rsidRPr="004B1E86">
              <w:t>.</w:t>
            </w:r>
          </w:p>
          <w:p w:rsidR="00000000" w:rsidRPr="004B1E86" w:rsidP="004B1E86">
            <w:pPr>
              <w:pStyle w:val="List"/>
            </w:pPr>
            <w:r w:rsidRPr="004B1E86">
              <w:t>1.2</w:t>
            </w:r>
            <w:r w:rsidRPr="004B1E86">
              <w:tab/>
              <w:t xml:space="preserve">Effective targets and </w:t>
            </w:r>
            <w:r w:rsidRPr="004B1E86">
              <w:rPr>
                <w:rStyle w:val="BoldandItalics"/>
              </w:rPr>
              <w:t>performance measures</w:t>
            </w:r>
            <w:r w:rsidRPr="004B1E86">
              <w:t xml:space="preserve"> are developed that are cons</w:t>
            </w:r>
            <w:r w:rsidRPr="004B1E86">
              <w:t>istent with investment expectations.</w:t>
            </w:r>
          </w:p>
          <w:p w:rsidR="00000000" w:rsidRPr="004B1E86" w:rsidP="004B1E86">
            <w:pPr>
              <w:pStyle w:val="List"/>
            </w:pPr>
            <w:r w:rsidRPr="004B1E86">
              <w:t>1.3</w:t>
            </w:r>
            <w:r w:rsidRPr="004B1E86">
              <w:tab/>
            </w:r>
            <w:r w:rsidRPr="004B1E86">
              <w:rPr>
                <w:rStyle w:val="BoldandItalics"/>
              </w:rPr>
              <w:t>Relevant information</w:t>
            </w:r>
            <w:r w:rsidRPr="004B1E86">
              <w:t xml:space="preserve"> with regard to property and market sector characteristics is interpreted to provide strategic context to investment objectives.</w:t>
            </w:r>
          </w:p>
          <w:p w:rsidR="00000000" w:rsidP="004B1E86">
            <w:pPr>
              <w:pStyle w:val="List"/>
              <w:rPr>
                <w:lang w:val="en-NZ"/>
              </w:rPr>
            </w:pPr>
            <w:r w:rsidRPr="004B1E86">
              <w:t>1.4</w:t>
            </w:r>
            <w:r w:rsidRPr="004B1E86">
              <w:tab/>
              <w:t xml:space="preserve">Market intelligence is collected from reputable </w:t>
            </w:r>
            <w:r w:rsidRPr="004B1E86">
              <w:rPr>
                <w:rStyle w:val="BoldandItalics"/>
              </w:rPr>
              <w:t>sources</w:t>
            </w:r>
            <w:r w:rsidRPr="004B1E86">
              <w:t xml:space="preserve"> and is</w:t>
            </w:r>
            <w:r w:rsidRPr="004B1E86">
              <w:t xml:space="preserve"> readily available and up-to-date.</w:t>
            </w:r>
          </w:p>
        </w:tc>
      </w:tr>
      <w:tr w:rsidTr="00FE4B2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4B1E86" w:rsidP="004B1E86">
            <w:pPr>
              <w:pStyle w:val="List"/>
            </w:pPr>
            <w:r w:rsidRPr="004B1E86">
              <w:t>1.5</w:t>
            </w:r>
            <w:r w:rsidRPr="004B1E86">
              <w:tab/>
            </w:r>
            <w:r w:rsidRPr="004B1E86">
              <w:rPr>
                <w:rStyle w:val="BoldandItalics"/>
              </w:rPr>
              <w:t>Industry benchmarks</w:t>
            </w:r>
            <w:r w:rsidRPr="004B1E86">
              <w:t xml:space="preserve"> are selected to ensure effective comparability with return on property and meaningful </w:t>
            </w:r>
            <w:r w:rsidRPr="004B1E86">
              <w:rPr>
                <w:rStyle w:val="BoldandItalics"/>
              </w:rPr>
              <w:t>analysis</w:t>
            </w:r>
            <w:r w:rsidRPr="004B1E86">
              <w:t xml:space="preserve"> against available data.</w:t>
            </w:r>
          </w:p>
          <w:p w:rsidR="00000000" w:rsidP="004B1E86">
            <w:pPr>
              <w:pStyle w:val="List"/>
              <w:rPr>
                <w:lang w:val="en-NZ"/>
              </w:rPr>
            </w:pPr>
            <w:r w:rsidRPr="004B1E86">
              <w:t>1.6</w:t>
            </w:r>
            <w:r w:rsidRPr="004B1E86">
              <w:tab/>
              <w:t xml:space="preserve">Applicable ethical, </w:t>
            </w:r>
            <w:r w:rsidRPr="004B1E86">
              <w:rPr>
                <w:rStyle w:val="BoldandItalics"/>
              </w:rPr>
              <w:t>legislative and</w:t>
            </w:r>
            <w:r w:rsidRPr="004B1E86">
              <w:t xml:space="preserve"> </w:t>
            </w:r>
            <w:r w:rsidRPr="004B1E86">
              <w:rPr>
                <w:rStyle w:val="BoldandItalics"/>
              </w:rPr>
              <w:t>organisational requirements</w:t>
            </w:r>
            <w:r w:rsidRPr="004B1E86">
              <w:t xml:space="preserve"> are interpreted and applied.</w:t>
            </w:r>
          </w:p>
        </w:tc>
      </w:tr>
      <w:tr w:rsidTr="00FE4B2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4B1E86">
            <w:pPr>
              <w:pStyle w:val="List"/>
              <w:rPr>
                <w:lang w:val="en-NZ"/>
              </w:rPr>
            </w:pPr>
            <w:r w:rsidRPr="004B1E86">
              <w:rPr>
                <w:rStyle w:val="SpecialBold"/>
              </w:rPr>
              <w:t>2</w:t>
            </w:r>
            <w:r w:rsidRPr="004B1E86">
              <w:tab/>
            </w:r>
            <w:r w:rsidRPr="004B1E86">
              <w:rPr>
                <w:rStyle w:val="SpecialBold"/>
              </w:rPr>
              <w:t>Undertake strategic analysis</w:t>
            </w:r>
            <w:r w:rsidRPr="004B1E86">
              <w:t>.</w:t>
            </w:r>
          </w:p>
        </w:tc>
        <w:tc>
          <w:tcPr>
            <w:tcW w:w="5940" w:type="dxa"/>
            <w:gridSpan w:val="2"/>
            <w:tcBorders>
              <w:top w:val="nil"/>
              <w:left w:val="nil"/>
              <w:bottom w:val="nil"/>
              <w:right w:val="nil"/>
            </w:tcBorders>
            <w:tcMar>
              <w:top w:w="0" w:type="dxa"/>
              <w:left w:w="62" w:type="dxa"/>
              <w:bottom w:w="0" w:type="dxa"/>
              <w:right w:w="62" w:type="dxa"/>
            </w:tcMar>
          </w:tcPr>
          <w:p w:rsidR="00000000" w:rsidRPr="004B1E86" w:rsidP="004B1E86">
            <w:pPr>
              <w:pStyle w:val="List"/>
            </w:pPr>
            <w:r w:rsidRPr="004B1E86">
              <w:t>2.1</w:t>
            </w:r>
            <w:r w:rsidRPr="004B1E86">
              <w:tab/>
              <w:t xml:space="preserve">Quantitative and qualitative analysis is undertaken of </w:t>
            </w:r>
            <w:r w:rsidRPr="004B1E86">
              <w:rPr>
                <w:rStyle w:val="BoldandItalics"/>
              </w:rPr>
              <w:t>comparative market</w:t>
            </w:r>
            <w:r w:rsidRPr="004B1E86">
              <w:t xml:space="preserve"> </w:t>
            </w:r>
            <w:r w:rsidRPr="004B1E86">
              <w:rPr>
                <w:rStyle w:val="BoldandItalics"/>
              </w:rPr>
              <w:t>data</w:t>
            </w:r>
            <w:r w:rsidRPr="004B1E86">
              <w:t xml:space="preserve"> to identify facts, issues, patterns, interrelationships and trends.</w:t>
            </w:r>
          </w:p>
          <w:p w:rsidR="00000000" w:rsidRPr="004B1E86" w:rsidP="004B1E86">
            <w:pPr>
              <w:pStyle w:val="List"/>
            </w:pPr>
            <w:r w:rsidRPr="004B1E86">
              <w:t>2.2</w:t>
            </w:r>
            <w:r w:rsidRPr="004B1E86">
              <w:tab/>
              <w:t>Economic trends and market development</w:t>
            </w:r>
            <w:r w:rsidRPr="004B1E86">
              <w:t>s are evaluated in terms of potential implications and impact on investment objectives.</w:t>
            </w:r>
          </w:p>
          <w:p w:rsidR="00000000" w:rsidRPr="004B1E86" w:rsidP="004B1E86">
            <w:pPr>
              <w:pStyle w:val="List"/>
            </w:pPr>
            <w:r w:rsidRPr="004B1E86">
              <w:t>2.3</w:t>
            </w:r>
            <w:r w:rsidRPr="004B1E86">
              <w:tab/>
              <w:t>Relevant due diligence and feasibility studies are accessed and considered to assist with determining potential investment viability.</w:t>
            </w:r>
          </w:p>
          <w:p w:rsidR="00000000" w:rsidRPr="004B1E86" w:rsidP="004B1E86">
            <w:pPr>
              <w:pStyle w:val="List"/>
            </w:pPr>
            <w:r w:rsidRPr="004B1E86">
              <w:t>2.4</w:t>
            </w:r>
            <w:r w:rsidRPr="004B1E86">
              <w:tab/>
              <w:t>Investment options are det</w:t>
            </w:r>
            <w:r w:rsidRPr="004B1E86">
              <w:t>ermined and tested for viability and performance against identified investment parameters.</w:t>
            </w:r>
          </w:p>
          <w:p w:rsidR="00000000" w:rsidRPr="004B1E86" w:rsidP="004B1E86">
            <w:pPr>
              <w:pStyle w:val="List"/>
            </w:pPr>
            <w:r w:rsidRPr="004B1E86">
              <w:t>2.5</w:t>
            </w:r>
            <w:r w:rsidRPr="004B1E86">
              <w:tab/>
              <w:t xml:space="preserve">Factors increasing or diminishing investment </w:t>
            </w:r>
            <w:r w:rsidRPr="004B1E86">
              <w:rPr>
                <w:rStyle w:val="BoldandItalics"/>
              </w:rPr>
              <w:t>risk</w:t>
            </w:r>
            <w:r w:rsidRPr="004B1E86">
              <w:t xml:space="preserve"> are identified and defined in a risk management plan.</w:t>
            </w:r>
          </w:p>
          <w:p w:rsidR="00000000" w:rsidP="004B1E86">
            <w:pPr>
              <w:pStyle w:val="List"/>
              <w:rPr>
                <w:lang w:val="en-NZ"/>
              </w:rPr>
            </w:pPr>
            <w:r w:rsidRPr="004B1E86">
              <w:t>2.6</w:t>
            </w:r>
            <w:r w:rsidRPr="004B1E86">
              <w:tab/>
              <w:t>Sound reasoning is applied to ensure consistency of i</w:t>
            </w:r>
            <w:r w:rsidRPr="004B1E86">
              <w:t>nterpretations based on available information.</w:t>
            </w:r>
          </w:p>
        </w:tc>
      </w:tr>
      <w:tr w:rsidTr="00FE4B2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4B1E86">
            <w:pPr>
              <w:pStyle w:val="List"/>
              <w:rPr>
                <w:lang w:val="en-NZ"/>
              </w:rPr>
            </w:pPr>
            <w:r w:rsidRPr="004B1E86">
              <w:rPr>
                <w:rStyle w:val="SpecialBold"/>
              </w:rPr>
              <w:t>3</w:t>
            </w:r>
            <w:r w:rsidRPr="004B1E86">
              <w:tab/>
            </w:r>
            <w:r w:rsidRPr="004B1E86">
              <w:rPr>
                <w:rStyle w:val="SpecialBold"/>
              </w:rPr>
              <w:t>Develop investment strategy</w:t>
            </w:r>
            <w:r w:rsidRPr="004B1E86">
              <w:t>.</w:t>
            </w:r>
          </w:p>
        </w:tc>
        <w:tc>
          <w:tcPr>
            <w:tcW w:w="5940" w:type="dxa"/>
            <w:gridSpan w:val="2"/>
            <w:tcBorders>
              <w:top w:val="nil"/>
              <w:left w:val="nil"/>
              <w:bottom w:val="nil"/>
              <w:right w:val="nil"/>
            </w:tcBorders>
            <w:tcMar>
              <w:top w:w="0" w:type="dxa"/>
              <w:left w:w="62" w:type="dxa"/>
              <w:bottom w:w="0" w:type="dxa"/>
              <w:right w:w="62" w:type="dxa"/>
            </w:tcMar>
          </w:tcPr>
          <w:p w:rsidR="00000000" w:rsidRPr="004B1E86" w:rsidP="004B1E86">
            <w:pPr>
              <w:pStyle w:val="List"/>
            </w:pPr>
            <w:r w:rsidRPr="004B1E86">
              <w:t>3.1</w:t>
            </w:r>
            <w:r w:rsidRPr="004B1E86">
              <w:tab/>
              <w:t>Strategy is formulated based on a comprehensive analysis of tested information.</w:t>
            </w:r>
          </w:p>
          <w:p w:rsidR="00000000" w:rsidRPr="004B1E86" w:rsidP="004B1E86">
            <w:pPr>
              <w:pStyle w:val="List"/>
            </w:pPr>
            <w:r w:rsidRPr="004B1E86">
              <w:t>3.2</w:t>
            </w:r>
            <w:r w:rsidRPr="004B1E86">
              <w:tab/>
              <w:t>Strategy is documented in a logical, concise and conclusive manner and presented in an ap</w:t>
            </w:r>
            <w:r w:rsidRPr="004B1E86">
              <w:t xml:space="preserve">propriate format using </w:t>
            </w:r>
            <w:r w:rsidRPr="004B1E86">
              <w:rPr>
                <w:rStyle w:val="BoldandItalics"/>
              </w:rPr>
              <w:t>business equipment and technology</w:t>
            </w:r>
            <w:r w:rsidRPr="004B1E86">
              <w:t>.</w:t>
            </w:r>
          </w:p>
          <w:p w:rsidR="00000000" w:rsidRPr="004B1E86" w:rsidP="004B1E86">
            <w:pPr>
              <w:pStyle w:val="List"/>
            </w:pPr>
            <w:r w:rsidRPr="004B1E86">
              <w:t>3.3</w:t>
            </w:r>
            <w:r w:rsidRPr="004B1E86">
              <w:tab/>
              <w:t>Recommendations are made that are verifiable, current and detailed and meet identified investment requirements.</w:t>
            </w:r>
          </w:p>
          <w:p w:rsidR="00000000" w:rsidRPr="004B1E86" w:rsidP="004B1E86">
            <w:pPr>
              <w:pStyle w:val="List"/>
            </w:pPr>
            <w:r w:rsidRPr="004B1E86">
              <w:t>3.4</w:t>
            </w:r>
            <w:r w:rsidRPr="004B1E86">
              <w:tab/>
            </w:r>
            <w:r w:rsidRPr="004B1E86">
              <w:t>Comments, analysis and recommendations are made available to relevant people for review and reformulation of investment strategy.</w:t>
            </w:r>
          </w:p>
          <w:p w:rsidR="00000000" w:rsidRPr="004B1E86" w:rsidP="004B1E86">
            <w:pPr>
              <w:pStyle w:val="List"/>
            </w:pPr>
            <w:r w:rsidRPr="004B1E86">
              <w:t>3.5</w:t>
            </w:r>
            <w:r w:rsidRPr="004B1E86">
              <w:tab/>
              <w:t>Adjustments to investment strategy are determined and implemented as a result of feedback, changed trends or events.</w:t>
            </w:r>
          </w:p>
          <w:p w:rsidR="00000000" w:rsidP="004B1E86">
            <w:pPr>
              <w:pStyle w:val="List"/>
              <w:rPr>
                <w:lang w:val="en-NZ"/>
              </w:rPr>
            </w:pPr>
            <w:r w:rsidRPr="004B1E86">
              <w:t>3.6</w:t>
            </w:r>
            <w:r w:rsidRPr="004B1E86">
              <w:tab/>
              <w:t>I</w:t>
            </w:r>
            <w:r w:rsidRPr="004B1E86">
              <w:t>nformation is securely maintained with due regard to client confidentiality, and legislative and organisational requirements.</w:t>
            </w:r>
          </w:p>
        </w:tc>
      </w:tr>
      <w:tr w:rsidTr="00FE4B28">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4B1E86" w:rsidP="004B1E86">
            <w:pPr>
              <w:pStyle w:val="BodyText"/>
            </w:pPr>
          </w:p>
        </w:tc>
      </w:tr>
    </w:tbl>
    <w:p w:rsidR="00FE4B28" w:rsidP="004B1E86">
      <w:pPr>
        <w:pStyle w:val="BodyText"/>
      </w:pPr>
    </w:p>
    <w:p w:rsidR="00FE4B28" w:rsidP="004B1E86">
      <w:pPr>
        <w:pStyle w:val="BodyText"/>
      </w:pPr>
    </w:p>
    <w:p w:rsidR="00000000" w:rsidRPr="004B1E86" w:rsidP="004B1E86">
      <w:pPr>
        <w:pStyle w:val="Heading1"/>
      </w:pPr>
      <w:bookmarkStart w:id="9" w:name="O_258809"/>
      <w:bookmarkEnd w:id="9"/>
      <w:r w:rsidRPr="004B1E86">
        <w:t>Required Skills and Knowledge</w:t>
      </w:r>
    </w:p>
    <w:tbl>
      <w:tblPr>
        <w:tblW w:w="0" w:type="auto"/>
        <w:tblLayout w:type="fixed"/>
        <w:tblCellMar>
          <w:left w:w="62" w:type="dxa"/>
          <w:right w:w="62" w:type="dxa"/>
        </w:tblCellMar>
        <w:tblLook w:val="0000"/>
      </w:tblPr>
      <w:tblGrid>
        <w:gridCol w:w="8501"/>
        <w:gridCol w:w="9"/>
      </w:tblGrid>
      <w:tr w:rsidTr="00FE4B28">
        <w:tblPrEx>
          <w:tblW w:w="0" w:type="auto"/>
          <w:tblLayout w:type="fixed"/>
          <w:tblCellMar>
            <w:left w:w="62" w:type="dxa"/>
            <w:right w:w="62" w:type="dxa"/>
          </w:tblCellMar>
          <w:tblLook w:val="0000"/>
        </w:tblPrEx>
        <w:trPr>
          <w:tblHeader/>
        </w:trPr>
        <w:tc>
          <w:tcPr>
            <w:tcW w:w="8510" w:type="dxa"/>
            <w:gridSpan w:val="2"/>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SpecialBold"/>
              </w:rPr>
              <w:t>REQUIRED SKILLS AND KNOWLEDGE</w:t>
            </w:r>
          </w:p>
        </w:tc>
      </w:tr>
      <w:tr w:rsidTr="00FE4B28">
        <w:tblPrEx>
          <w:tblW w:w="0" w:type="auto"/>
          <w:tblLayout w:type="fixed"/>
          <w:tblCellMar>
            <w:left w:w="62" w:type="dxa"/>
            <w:right w:w="62" w:type="dxa"/>
          </w:tblCellMar>
          <w:tblLook w:val="0000"/>
        </w:tblPrEx>
        <w:trPr>
          <w:gridAfter w:val="1"/>
          <w:wAfter w:w="9" w:type="dxa"/>
        </w:trPr>
        <w:tc>
          <w:tcPr>
            <w:tcW w:w="8501"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t>This section describes the essential skills and knowledge and their level, required for this unit.</w:t>
            </w:r>
          </w:p>
        </w:tc>
      </w:tr>
      <w:tr w:rsidTr="00FE4B28">
        <w:tblPrEx>
          <w:tblW w:w="0" w:type="auto"/>
          <w:tblLayout w:type="fixed"/>
          <w:tblCellMar>
            <w:left w:w="62" w:type="dxa"/>
            <w:right w:w="62" w:type="dxa"/>
          </w:tblCellMar>
          <w:tblLook w:val="0000"/>
        </w:tblPrEx>
        <w:trPr>
          <w:gridAfter w:val="1"/>
          <w:wAfter w:w="9" w:type="dxa"/>
        </w:trPr>
        <w:tc>
          <w:tcPr>
            <w:tcW w:w="8501" w:type="dxa"/>
            <w:tcBorders>
              <w:top w:val="nil"/>
              <w:left w:val="nil"/>
              <w:bottom w:val="nil"/>
              <w:right w:val="nil"/>
            </w:tcBorders>
            <w:tcMar>
              <w:top w:w="0" w:type="dxa"/>
              <w:left w:w="62" w:type="dxa"/>
              <w:bottom w:w="0" w:type="dxa"/>
              <w:right w:w="62" w:type="dxa"/>
            </w:tcMar>
          </w:tcPr>
          <w:p w:rsidR="00000000" w:rsidRPr="004B1E86" w:rsidP="004B1E86">
            <w:pPr>
              <w:pStyle w:val="BodyText"/>
            </w:pPr>
            <w:r w:rsidRPr="004B1E86">
              <w:rPr>
                <w:rStyle w:val="SpecialBold"/>
              </w:rPr>
              <w:t>Required skills</w:t>
            </w:r>
            <w:r w:rsidRPr="004B1E86">
              <w:t>:</w:t>
            </w:r>
          </w:p>
          <w:p w:rsidR="00000000" w:rsidRPr="004B1E86" w:rsidP="004B1E86">
            <w:pPr>
              <w:pStyle w:val="ListBullet"/>
            </w:pPr>
            <w:r w:rsidRPr="004B1E86">
              <w:t>communication skills to negotiate client requirements and consult with industry experts and others</w:t>
            </w:r>
          </w:p>
          <w:p w:rsidR="00000000" w:rsidRPr="004B1E86" w:rsidP="004B1E86">
            <w:pPr>
              <w:pStyle w:val="ListBullet"/>
            </w:pPr>
            <w:r w:rsidRPr="004B1E86">
              <w:t>computing skills to access the internet and web pages, prepare and complete online forms, lodge electronic documents and search online databases</w:t>
            </w:r>
          </w:p>
          <w:p w:rsidR="00000000" w:rsidRPr="004B1E86" w:rsidP="004B1E86">
            <w:pPr>
              <w:pStyle w:val="ListBullet"/>
            </w:pPr>
            <w:r w:rsidRPr="004B1E86">
              <w:t>interpersonal skills to relate to people from a range of social, cultural and ethnic backgrounds and varying ph</w:t>
            </w:r>
            <w:r w:rsidRPr="004B1E86">
              <w:t>ysical and mental abilities</w:t>
            </w:r>
          </w:p>
          <w:p w:rsidR="00000000" w:rsidRPr="004B1E86" w:rsidP="004B1E86">
            <w:pPr>
              <w:pStyle w:val="ListBullet"/>
            </w:pPr>
            <w:r w:rsidRPr="004B1E86">
              <w:t>literacy skills to interpret written and oral information</w:t>
            </w:r>
          </w:p>
          <w:p w:rsidR="00000000" w:rsidRPr="004B1E86" w:rsidP="004B1E86">
            <w:pPr>
              <w:pStyle w:val="ListBullet"/>
            </w:pPr>
            <w:r w:rsidRPr="004B1E86">
              <w:t>organisational skills to plan and schedule time lines and objectives</w:t>
            </w:r>
          </w:p>
          <w:p w:rsidR="00000000" w:rsidRPr="004B1E86" w:rsidP="004B1E86">
            <w:pPr>
              <w:pStyle w:val="ListBullet"/>
            </w:pPr>
            <w:r w:rsidRPr="004B1E86">
              <w:t>problem solving skills to anticipate factors that may affect property investment and to assess risk</w:t>
            </w:r>
          </w:p>
          <w:p w:rsidR="00000000" w:rsidRPr="004B1E86" w:rsidP="004B1E86">
            <w:pPr>
              <w:pStyle w:val="ListBullet"/>
            </w:pPr>
            <w:r w:rsidRPr="004B1E86">
              <w:t>r</w:t>
            </w:r>
            <w:r w:rsidRPr="004B1E86">
              <w:t>esearch skills to source, analyse and interpret property and market information</w:t>
            </w:r>
          </w:p>
          <w:p w:rsidR="00000000" w:rsidP="004B1E86">
            <w:pPr>
              <w:pStyle w:val="ListBullet"/>
              <w:rPr>
                <w:lang w:val="en-NZ"/>
              </w:rPr>
            </w:pPr>
            <w:r w:rsidRPr="004B1E86">
              <w:t>technical skills to use software for planning and scheduling tasks, use financial and assessment software and spreadsheets efficiently, and access market information.</w:t>
            </w:r>
          </w:p>
        </w:tc>
      </w:tr>
      <w:tr w:rsidTr="00FE4B28">
        <w:tblPrEx>
          <w:tblW w:w="0" w:type="auto"/>
          <w:tblLayout w:type="fixed"/>
          <w:tblCellMar>
            <w:left w:w="62" w:type="dxa"/>
            <w:right w:w="62" w:type="dxa"/>
          </w:tblCellMar>
          <w:tblLook w:val="0000"/>
        </w:tblPrEx>
        <w:trPr>
          <w:gridAfter w:val="1"/>
          <w:wAfter w:w="9" w:type="dxa"/>
        </w:trPr>
        <w:tc>
          <w:tcPr>
            <w:tcW w:w="8501" w:type="dxa"/>
            <w:tcBorders>
              <w:top w:val="nil"/>
              <w:left w:val="nil"/>
              <w:bottom w:val="nil"/>
              <w:right w:val="nil"/>
            </w:tcBorders>
            <w:tcMar>
              <w:top w:w="0" w:type="dxa"/>
              <w:left w:w="62" w:type="dxa"/>
              <w:bottom w:w="0" w:type="dxa"/>
              <w:right w:w="62" w:type="dxa"/>
            </w:tcMar>
          </w:tcPr>
          <w:p w:rsidR="00000000" w:rsidRPr="004B1E86" w:rsidP="004B1E86">
            <w:pPr>
              <w:pStyle w:val="BodyText"/>
            </w:pPr>
            <w:r w:rsidRPr="004B1E86">
              <w:rPr>
                <w:rStyle w:val="SpecialBold"/>
              </w:rPr>
              <w:t>Required</w:t>
            </w:r>
            <w:r w:rsidRPr="004B1E86">
              <w:rPr>
                <w:rStyle w:val="SpecialBold"/>
              </w:rPr>
              <w:t xml:space="preserve"> knowledge and understanding</w:t>
            </w:r>
            <w:r w:rsidRPr="004B1E86">
              <w:t>:</w:t>
            </w:r>
          </w:p>
          <w:p w:rsidR="00000000" w:rsidRPr="004B1E86" w:rsidP="004B1E86">
            <w:pPr>
              <w:pStyle w:val="ListBullet"/>
            </w:pPr>
            <w:r w:rsidRPr="004B1E86">
              <w:t>building control legislation, codes and relevant Australian standards</w:t>
            </w:r>
          </w:p>
          <w:p w:rsidR="00000000" w:rsidRPr="004B1E86" w:rsidP="004B1E86">
            <w:pPr>
              <w:pStyle w:val="ListBullet"/>
            </w:pPr>
            <w:r w:rsidRPr="004B1E86">
              <w:t>business and industry property networks</w:t>
            </w:r>
          </w:p>
          <w:p w:rsidR="00000000" w:rsidRPr="004B1E86" w:rsidP="004B1E86">
            <w:pPr>
              <w:pStyle w:val="ListBullet"/>
            </w:pPr>
            <w:r w:rsidRPr="004B1E86">
              <w:t>industry benchmarks</w:t>
            </w:r>
          </w:p>
          <w:p w:rsidR="00000000" w:rsidRPr="004B1E86" w:rsidP="004B1E86">
            <w:pPr>
              <w:pStyle w:val="ListBullet"/>
            </w:pPr>
            <w:r w:rsidRPr="004B1E86">
              <w:t>investment risk factors and relationship to return expectations</w:t>
            </w:r>
          </w:p>
          <w:p w:rsidR="00000000" w:rsidRPr="004B1E86" w:rsidP="004B1E86">
            <w:pPr>
              <w:pStyle w:val="ListBullet"/>
            </w:pPr>
            <w:r w:rsidRPr="004B1E86">
              <w:t xml:space="preserve">limitations of work role, responsibility and professional abilities </w:t>
            </w:r>
          </w:p>
          <w:p w:rsidR="00000000" w:rsidRPr="004B1E86" w:rsidP="004B1E86">
            <w:pPr>
              <w:pStyle w:val="ListBullet"/>
            </w:pPr>
            <w:r w:rsidRPr="004B1E86">
              <w:t>OHS issues and requirements</w:t>
            </w:r>
          </w:p>
          <w:p w:rsidR="00000000" w:rsidRPr="004B1E86" w:rsidP="004B1E86">
            <w:pPr>
              <w:pStyle w:val="ListBullet"/>
            </w:pPr>
            <w:r w:rsidRPr="004B1E86">
              <w:t>organisational and professional procedures, ethical practices and business standards</w:t>
            </w:r>
          </w:p>
          <w:p w:rsidR="00000000" w:rsidRPr="004B1E86" w:rsidP="004B1E86">
            <w:pPr>
              <w:pStyle w:val="ListBullet"/>
            </w:pPr>
            <w:r w:rsidRPr="004B1E86">
              <w:t>property and investment markets</w:t>
            </w:r>
          </w:p>
          <w:p w:rsidR="00000000" w:rsidRPr="004B1E86" w:rsidP="004B1E86">
            <w:pPr>
              <w:pStyle w:val="ListBullet"/>
            </w:pPr>
            <w:r w:rsidRPr="004B1E86">
              <w:t>relevant federal and state or territory le</w:t>
            </w:r>
            <w:r w:rsidRPr="004B1E86">
              <w:t>gislation and local government regulations related to:</w:t>
            </w:r>
          </w:p>
          <w:p w:rsidR="00000000" w:rsidRPr="004B1E86" w:rsidP="004B1E86">
            <w:pPr>
              <w:pStyle w:val="ListBullet2"/>
            </w:pPr>
            <w:r w:rsidRPr="004B1E86">
              <w:t>anti-discrimination</w:t>
            </w:r>
          </w:p>
          <w:p w:rsidR="00000000" w:rsidRPr="004B1E86" w:rsidP="004B1E86">
            <w:pPr>
              <w:pStyle w:val="ListBullet2"/>
            </w:pPr>
            <w:r w:rsidRPr="004B1E86">
              <w:t>consumer protection</w:t>
            </w:r>
          </w:p>
          <w:p w:rsidR="00000000" w:rsidRPr="004B1E86" w:rsidP="004B1E86">
            <w:pPr>
              <w:pStyle w:val="ListBullet2"/>
            </w:pPr>
            <w:r w:rsidRPr="004B1E86">
              <w:t>environmental issues</w:t>
            </w:r>
          </w:p>
          <w:p w:rsidR="00000000" w:rsidRPr="004B1E86" w:rsidP="004B1E86">
            <w:pPr>
              <w:pStyle w:val="ListBullet2"/>
            </w:pPr>
            <w:r w:rsidRPr="004B1E86">
              <w:t>equal employment opportunity (EEO)</w:t>
            </w:r>
          </w:p>
          <w:p w:rsidR="00000000" w:rsidRPr="004B1E86" w:rsidP="004B1E86">
            <w:pPr>
              <w:pStyle w:val="ListBullet2"/>
            </w:pPr>
            <w:r w:rsidRPr="004B1E86">
              <w:t>financial probity</w:t>
            </w:r>
          </w:p>
          <w:p w:rsidR="00000000" w:rsidRPr="004B1E86" w:rsidP="004B1E86">
            <w:pPr>
              <w:pStyle w:val="ListBullet2"/>
            </w:pPr>
            <w:r w:rsidRPr="004B1E86">
              <w:t>franchise and business structures</w:t>
            </w:r>
          </w:p>
          <w:p w:rsidR="00000000" w:rsidRPr="004B1E86" w:rsidP="004B1E86">
            <w:pPr>
              <w:pStyle w:val="ListBullet2"/>
            </w:pPr>
            <w:r w:rsidRPr="004B1E86">
              <w:t>industrial relations</w:t>
            </w:r>
          </w:p>
          <w:p w:rsidR="00000000" w:rsidRPr="004B1E86" w:rsidP="004B1E86">
            <w:pPr>
              <w:pStyle w:val="ListBullet2"/>
            </w:pPr>
            <w:r w:rsidRPr="004B1E86">
              <w:t>OHS</w:t>
            </w:r>
          </w:p>
          <w:p w:rsidR="00000000" w:rsidRPr="004B1E86" w:rsidP="004B1E86">
            <w:pPr>
              <w:pStyle w:val="ListBullet2"/>
            </w:pPr>
            <w:r w:rsidRPr="004B1E86">
              <w:t>privacy</w:t>
            </w:r>
          </w:p>
          <w:p w:rsidR="00000000" w:rsidRPr="004B1E86" w:rsidP="004B1E86">
            <w:pPr>
              <w:pStyle w:val="ListBullet2"/>
            </w:pPr>
            <w:r w:rsidRPr="004B1E86">
              <w:t>property sales, leasing and management</w:t>
            </w:r>
          </w:p>
          <w:p w:rsidR="00000000" w:rsidRPr="004B1E86" w:rsidP="004B1E86">
            <w:pPr>
              <w:pStyle w:val="ListBullet"/>
            </w:pPr>
            <w:r w:rsidRPr="004B1E86">
              <w:t>sources of industry and market information</w:t>
            </w:r>
          </w:p>
          <w:p w:rsidR="00000000" w:rsidRPr="004B1E86" w:rsidP="004B1E86">
            <w:pPr>
              <w:pStyle w:val="ListBullet"/>
            </w:pPr>
            <w:r w:rsidRPr="004B1E86">
              <w:t>supply and demand economics</w:t>
            </w:r>
          </w:p>
          <w:p w:rsidR="00000000" w:rsidRPr="004B1E86" w:rsidP="004B1E86">
            <w:pPr>
              <w:pStyle w:val="ListBullet"/>
            </w:pPr>
            <w:r w:rsidRPr="004B1E86">
              <w:t>taxation as it applies to property development.</w:t>
            </w:r>
          </w:p>
        </w:tc>
      </w:tr>
    </w:tbl>
    <w:p w:rsidR="00FE4B28" w:rsidP="004B1E86">
      <w:pPr>
        <w:pStyle w:val="BodyText"/>
      </w:pPr>
    </w:p>
    <w:p w:rsidR="00FE4B28" w:rsidP="004B1E86">
      <w:pPr>
        <w:pStyle w:val="BodyText"/>
      </w:pPr>
    </w:p>
    <w:p w:rsidR="00000000" w:rsidRPr="004B1E86" w:rsidP="004B1E86">
      <w:pPr>
        <w:pStyle w:val="Heading1"/>
      </w:pPr>
      <w:bookmarkStart w:id="10" w:name="O_242843"/>
      <w:bookmarkEnd w:id="10"/>
      <w:r w:rsidRPr="004B1E86">
        <w:t>Evidence Guide</w:t>
      </w:r>
    </w:p>
    <w:p w:rsidR="00000000" w:rsidRPr="004B1E86" w:rsidP="004B1E86">
      <w:pPr>
        <w:pStyle w:val="BodyText"/>
      </w:pPr>
      <w:r w:rsidRPr="004B1E86">
        <w:rPr>
          <w:rStyle w:val="SpecialBold"/>
        </w:rPr>
        <w:t>EVIDENCE GUIDE</w:t>
      </w:r>
    </w:p>
    <w:p w:rsidR="00000000" w:rsidRPr="004B1E86" w:rsidP="004B1E86">
      <w:pPr>
        <w:pStyle w:val="BodyText"/>
      </w:pPr>
      <w:r w:rsidRPr="004B1E86">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FE4B2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t xml:space="preserve">This unit of </w:t>
            </w:r>
            <w:r w:rsidRPr="004B1E86">
              <w:t>competency could be assessed through practical demonstration of assessing and formulating a viable property investment strategy. Targeted written (including alternative formats where necessary) or verbal questioning to assess the candidate's underpinning k</w:t>
            </w:r>
            <w:r w:rsidRPr="004B1E86">
              <w:t>nowledge would provide additional supporting evidence of competence. The demonstration and questioning would include collecting evidence of the candidate's knowledge and application of ethical standards and relevant federal, and state or territory legislat</w:t>
            </w:r>
            <w:r w:rsidRPr="004B1E86">
              <w:t>ion and regulations. This assessment may be carried out in a simulated or workplace environment.</w:t>
            </w:r>
          </w:p>
        </w:tc>
      </w:tr>
      <w:tr w:rsidTr="00FE4B2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4B1E86" w:rsidP="004B1E86">
            <w:pPr>
              <w:pStyle w:val="BodyText"/>
            </w:pPr>
            <w:r w:rsidRPr="004B1E86">
              <w:t>A person who demonstrates competency in this unit must be able to</w:t>
            </w:r>
            <w:r w:rsidRPr="004B1E86">
              <w:t xml:space="preserve"> provide evidence of:</w:t>
            </w:r>
          </w:p>
          <w:p w:rsidR="00000000" w:rsidRPr="004B1E86" w:rsidP="004B1E86">
            <w:pPr>
              <w:pStyle w:val="ListBullet"/>
            </w:pPr>
            <w:r w:rsidRPr="004B1E86">
              <w:t>interpreting and applying applicable legal, ethical and organisational requirements</w:t>
            </w:r>
          </w:p>
          <w:p w:rsidR="00000000" w:rsidRPr="004B1E86" w:rsidP="004B1E86">
            <w:pPr>
              <w:pStyle w:val="ListBullet"/>
            </w:pPr>
            <w:r w:rsidRPr="004B1E86">
              <w:t>establishing investment requirements and expectations through an assessment of consultation and sourced market information</w:t>
            </w:r>
          </w:p>
          <w:p w:rsidR="00000000" w:rsidRPr="004B1E86" w:rsidP="004B1E86">
            <w:pPr>
              <w:pStyle w:val="ListBullet"/>
            </w:pPr>
            <w:r w:rsidRPr="004B1E86">
              <w:t>formulating a property investment strategy, including identified investment options and a defined risk management plan</w:t>
            </w:r>
          </w:p>
          <w:p w:rsidR="00000000" w:rsidRPr="004B1E86" w:rsidP="004B1E86">
            <w:pPr>
              <w:pStyle w:val="ListBullet"/>
            </w:pPr>
            <w:r w:rsidRPr="004B1E86">
              <w:t xml:space="preserve">knowledge of organisation's practices, ethical standards and legislative requirements associated with assessing and formulating a viable </w:t>
            </w:r>
            <w:r w:rsidRPr="004B1E86">
              <w:t>property investment strategy</w:t>
            </w:r>
          </w:p>
          <w:p w:rsidR="00000000" w:rsidRPr="004B1E86" w:rsidP="004B1E86">
            <w:pPr>
              <w:pStyle w:val="ListBullet"/>
            </w:pPr>
            <w:r w:rsidRPr="004B1E86">
              <w:t>testing the viability and performance of potential investment options against investment parameters</w:t>
            </w:r>
          </w:p>
          <w:p w:rsidR="00000000" w:rsidP="004B1E86">
            <w:pPr>
              <w:pStyle w:val="ListBullet"/>
              <w:rPr>
                <w:lang w:val="en-NZ"/>
              </w:rPr>
            </w:pPr>
            <w:r w:rsidRPr="004B1E86">
              <w:t>using suitable analysis methods and techniques to identify and assess economic trends and market data and developments.</w:t>
            </w:r>
          </w:p>
        </w:tc>
      </w:tr>
      <w:tr w:rsidTr="00FE4B2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SpecialBold"/>
              </w:rPr>
              <w:t>Contex</w:t>
            </w:r>
            <w:r w:rsidRPr="004B1E86">
              <w:rPr>
                <w:rStyle w:val="SpecialBold"/>
              </w:rPr>
              <w:t>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4B1E86" w:rsidP="004B1E86">
            <w:pPr>
              <w:pStyle w:val="BodyText"/>
            </w:pPr>
            <w:r w:rsidRPr="004B1E86">
              <w:t>Resource implications for assessment include:</w:t>
            </w:r>
          </w:p>
          <w:p w:rsidR="00000000" w:rsidRPr="004B1E86" w:rsidP="004B1E86">
            <w:pPr>
              <w:pStyle w:val="ListBullet"/>
            </w:pPr>
            <w:r w:rsidRPr="004B1E86">
              <w:t>a registered provider of assessment services</w:t>
            </w:r>
          </w:p>
          <w:p w:rsidR="00000000" w:rsidRPr="004B1E86" w:rsidP="004B1E86">
            <w:pPr>
              <w:pStyle w:val="ListBullet"/>
            </w:pPr>
            <w:r w:rsidRPr="004B1E86">
              <w:t>assessment materials and tools</w:t>
            </w:r>
          </w:p>
          <w:p w:rsidR="00000000" w:rsidRPr="004B1E86" w:rsidP="004B1E86">
            <w:pPr>
              <w:pStyle w:val="ListBullet"/>
            </w:pPr>
            <w:r w:rsidRPr="004B1E86">
              <w:t>candidate special requirements</w:t>
            </w:r>
          </w:p>
          <w:p w:rsidR="00000000" w:rsidRPr="004B1E86" w:rsidP="004B1E86">
            <w:pPr>
              <w:pStyle w:val="ListBullet"/>
            </w:pPr>
            <w:r w:rsidRPr="004B1E86">
              <w:t>competency standards</w:t>
            </w:r>
          </w:p>
          <w:p w:rsidR="00000000" w:rsidRPr="004B1E86" w:rsidP="004B1E86">
            <w:pPr>
              <w:pStyle w:val="ListBullet"/>
            </w:pPr>
            <w:r w:rsidRPr="004B1E86">
              <w:t>cost and time considerations</w:t>
            </w:r>
          </w:p>
          <w:p w:rsidR="00000000" w:rsidRPr="004B1E86" w:rsidP="004B1E86">
            <w:pPr>
              <w:pStyle w:val="ListBullet"/>
            </w:pPr>
            <w:r w:rsidRPr="004B1E86">
              <w:t xml:space="preserve">suitable </w:t>
            </w:r>
            <w:r w:rsidRPr="004B1E86">
              <w:t>assessment venue and equipment</w:t>
            </w:r>
          </w:p>
          <w:p w:rsidR="00000000" w:rsidRPr="004B1E86" w:rsidP="004B1E86">
            <w:pPr>
              <w:pStyle w:val="ListBullet"/>
            </w:pPr>
            <w:r w:rsidRPr="004B1E86">
              <w:t>workplace documentation.</w:t>
            </w:r>
          </w:p>
          <w:p w:rsidR="00000000" w:rsidRPr="004B1E86" w:rsidP="004B1E86">
            <w:pPr>
              <w:pStyle w:val="BodyText"/>
            </w:pPr>
            <w:r w:rsidRPr="004B1E86">
              <w:t>Where applicable, physical resources should include equipment modified for people with disabilities.</w:t>
            </w:r>
          </w:p>
          <w:p w:rsidR="00000000" w:rsidRPr="004B1E86" w:rsidP="004B1E86">
            <w:pPr>
              <w:pStyle w:val="BodyText"/>
            </w:pPr>
            <w:r w:rsidRPr="004B1E86">
              <w:t>Access must be provided to appropriate learning and/or assessment support when required.</w:t>
            </w:r>
          </w:p>
          <w:p w:rsidR="00000000" w:rsidP="004B1E86">
            <w:pPr>
              <w:pStyle w:val="BodyText"/>
              <w:rPr>
                <w:lang w:val="en-NZ"/>
              </w:rPr>
            </w:pPr>
            <w:r w:rsidRPr="004B1E86">
              <w:t>Assessment processes and techniques must be culturally appropriate, and appropriate to the language and literacy capacity of the candidate and the work being performed.</w:t>
            </w:r>
          </w:p>
        </w:tc>
      </w:tr>
      <w:tr w:rsidTr="00FE4B2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4B1E86" w:rsidP="004B1E86">
            <w:pPr>
              <w:pStyle w:val="BodyText"/>
            </w:pPr>
            <w:r w:rsidRPr="004B1E86">
              <w:t>Validity and sufficiency of evidence require that:</w:t>
            </w:r>
          </w:p>
          <w:p w:rsidR="00000000" w:rsidRPr="004B1E86" w:rsidP="004B1E86">
            <w:pPr>
              <w:pStyle w:val="ListBullet"/>
            </w:pPr>
            <w:r w:rsidRPr="004B1E86">
              <w:t>competency will need to be demons</w:t>
            </w:r>
            <w:r w:rsidRPr="004B1E86">
              <w:t>trated over a period of time reflecting the scope of the role and the practical requirements of the workplace</w:t>
            </w:r>
          </w:p>
          <w:p w:rsidR="00000000" w:rsidRPr="004B1E86" w:rsidP="004B1E86">
            <w:pPr>
              <w:pStyle w:val="ListBullet"/>
            </w:pPr>
            <w:r w:rsidRPr="004B1E86">
              <w:t>where the assessment is part of a structured learning experience the evidence collected must relate to a number of performances assessed at differ</w:t>
            </w:r>
            <w:r w:rsidRPr="004B1E86">
              <w:t>ent points in time and separated by further learning and practice with a decision of competence only taken at the point when the assessor has complete confidence in the person's competence</w:t>
            </w:r>
          </w:p>
          <w:p w:rsidR="00000000" w:rsidRPr="004B1E86" w:rsidP="004B1E86">
            <w:pPr>
              <w:pStyle w:val="ListBullet"/>
            </w:pPr>
            <w:r w:rsidRPr="004B1E86">
              <w:t>all assessment that is part of a structured learning experience mus</w:t>
            </w:r>
            <w:r w:rsidRPr="004B1E86">
              <w:t>t include a combination of direct, indirect and supplementary evidence</w:t>
            </w:r>
          </w:p>
          <w:p w:rsidR="00000000" w:rsidRPr="004B1E86" w:rsidP="004B1E86">
            <w:pPr>
              <w:pStyle w:val="ListBullet"/>
            </w:pPr>
            <w:r w:rsidRPr="004B1E86">
              <w:t>where assessment is for the purpose of recognition (RCC/RPL), the evidence provided will need to be current and show that it represents competency demonstrated over a period of time</w:t>
            </w:r>
          </w:p>
          <w:p w:rsidR="00000000" w:rsidRPr="004B1E86" w:rsidP="004B1E86">
            <w:pPr>
              <w:pStyle w:val="ListBullet"/>
            </w:pPr>
            <w:r w:rsidRPr="004B1E86">
              <w:t>ass</w:t>
            </w:r>
            <w:r w:rsidRPr="004B1E86">
              <w:t>essment can be through simulated project-based activity and must include evidence relating to each of the elements in this unit.</w:t>
            </w:r>
          </w:p>
          <w:p w:rsidR="00000000" w:rsidP="004B1E86">
            <w:pPr>
              <w:pStyle w:val="BodyText"/>
              <w:rPr>
                <w:lang w:val="en-NZ"/>
              </w:rPr>
            </w:pPr>
            <w:r w:rsidRPr="004B1E86">
              <w:t xml:space="preserve">In all cases activity and must include evidence relating to each of the where practical assessment is used it will be combined </w:t>
            </w:r>
            <w:r w:rsidRPr="004B1E86">
              <w:t>with targeted questioning to assess the underpinning knowledge. Questioning will be undertaken in such a manner as is appropriate to the language and literacy levels of the candidate and any cultural issues that may affect responses to the questions, and w</w:t>
            </w:r>
            <w:r w:rsidRPr="004B1E86">
              <w:t>ill reflect the requirements of the competency and the work being performed.</w:t>
            </w:r>
          </w:p>
        </w:tc>
      </w:tr>
      <w:tr w:rsidTr="00FE4B28">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4B1E86" w:rsidP="004B1E86">
            <w:pPr>
              <w:pStyle w:val="BodyText"/>
            </w:pPr>
          </w:p>
        </w:tc>
      </w:tr>
    </w:tbl>
    <w:p w:rsidR="00FE4B28" w:rsidP="004B1E86">
      <w:pPr>
        <w:pStyle w:val="BodyText"/>
      </w:pPr>
    </w:p>
    <w:p w:rsidR="00FE4B28" w:rsidP="004B1E86">
      <w:pPr>
        <w:pStyle w:val="BodyText"/>
      </w:pPr>
    </w:p>
    <w:p w:rsidR="00000000" w:rsidRPr="004B1E86" w:rsidP="004B1E86">
      <w:pPr>
        <w:pStyle w:val="Heading1"/>
      </w:pPr>
      <w:bookmarkStart w:id="11" w:name="O_250826"/>
      <w:bookmarkEnd w:id="11"/>
      <w:r w:rsidRPr="004B1E86">
        <w:t>Range Statement</w:t>
      </w:r>
    </w:p>
    <w:p w:rsidR="00000000" w:rsidRPr="004B1E86" w:rsidP="004B1E86">
      <w:pPr>
        <w:pStyle w:val="BodyText"/>
      </w:pPr>
      <w:r w:rsidRPr="004B1E86">
        <w:rPr>
          <w:rStyle w:val="SpecialBold"/>
        </w:rPr>
        <w:t>RANGE STATEMENT</w:t>
      </w:r>
    </w:p>
    <w:p w:rsidR="00000000" w:rsidRPr="004B1E86" w:rsidP="004B1E86">
      <w:pPr>
        <w:pStyle w:val="BodyText"/>
      </w:pPr>
      <w:r w:rsidRPr="004B1E86">
        <w:t>The range statement relates to the unit of competency as a whole. It all</w:t>
      </w:r>
      <w:r w:rsidRPr="004B1E86">
        <w:t xml:space="preserve">ows for different work environments and situations that may affect performance. </w:t>
      </w:r>
      <w:r w:rsidRPr="004B1E86">
        <w:rPr>
          <w:rStyle w:val="BoldandItalics"/>
        </w:rPr>
        <w:t>Bold italicised</w:t>
      </w:r>
      <w:r w:rsidRPr="004B1E86">
        <w:t xml:space="preserve"> wording in the performance criteria is detailed below. Add any essential operating conditions that may be present with training and assessment depending on the </w:t>
      </w:r>
      <w:r w:rsidRPr="004B1E86">
        <w:t>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Investment</w:t>
            </w:r>
            <w:r w:rsidRPr="004B1E86">
              <w:t xml:space="preserve"> may relate to: </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concepts and plans</w:t>
            </w:r>
          </w:p>
          <w:p w:rsidR="00000000" w:rsidRPr="004B1E86" w:rsidP="004B1E86">
            <w:pPr>
              <w:pStyle w:val="ListBullet"/>
            </w:pPr>
            <w:r w:rsidRPr="004B1E86">
              <w:t>strategies and placement of capital in property for investment</w:t>
            </w:r>
          </w:p>
          <w:p w:rsidR="00000000" w:rsidRPr="004B1E86" w:rsidP="004B1E86">
            <w:pPr>
              <w:pStyle w:val="ListBullet"/>
            </w:pPr>
            <w:r w:rsidRPr="004B1E86">
              <w:t>productive use of property and assets</w:t>
            </w:r>
          </w:p>
          <w:p w:rsidR="00000000" w:rsidP="004B1E86">
            <w:pPr>
              <w:pStyle w:val="ListBullet"/>
              <w:rPr>
                <w:lang w:val="en-NZ"/>
              </w:rPr>
            </w:pPr>
            <w:r w:rsidRPr="004B1E86">
              <w:t>customer service outcomes.</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Parameters</w:t>
            </w:r>
            <w:r w:rsidRPr="004B1E8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ability to control investment</w:t>
            </w:r>
          </w:p>
          <w:p w:rsidR="00000000" w:rsidRPr="004B1E86" w:rsidP="004B1E86">
            <w:pPr>
              <w:pStyle w:val="ListBullet"/>
            </w:pPr>
            <w:r w:rsidRPr="004B1E86">
              <w:t>administrative talent</w:t>
            </w:r>
          </w:p>
          <w:p w:rsidR="00000000" w:rsidRPr="004B1E86" w:rsidP="004B1E86">
            <w:pPr>
              <w:pStyle w:val="ListBullet"/>
            </w:pPr>
            <w:r w:rsidRPr="004B1E86">
              <w:t>balancing a portfolio</w:t>
            </w:r>
          </w:p>
          <w:p w:rsidR="00000000" w:rsidRPr="004B1E86" w:rsidP="004B1E86">
            <w:pPr>
              <w:pStyle w:val="ListBullet"/>
            </w:pPr>
            <w:r w:rsidRPr="004B1E86">
              <w:t>capacity to improve assets</w:t>
            </w:r>
          </w:p>
          <w:p w:rsidR="00000000" w:rsidRPr="004B1E86" w:rsidP="004B1E86">
            <w:pPr>
              <w:pStyle w:val="ListBullet"/>
            </w:pPr>
            <w:r w:rsidRPr="004B1E86">
              <w:t>capital growth versus short-term gains</w:t>
            </w:r>
          </w:p>
          <w:p w:rsidR="00000000" w:rsidRPr="004B1E86" w:rsidP="004B1E86">
            <w:pPr>
              <w:pStyle w:val="ListBullet"/>
            </w:pPr>
            <w:r w:rsidRPr="004B1E86">
              <w:t>cash flows</w:t>
            </w:r>
          </w:p>
          <w:p w:rsidR="00000000" w:rsidRPr="004B1E86" w:rsidP="004B1E86">
            <w:pPr>
              <w:pStyle w:val="ListBullet"/>
            </w:pPr>
            <w:r w:rsidRPr="004B1E86">
              <w:t>class and type of property</w:t>
            </w:r>
          </w:p>
          <w:p w:rsidR="00000000" w:rsidRPr="004B1E86" w:rsidP="004B1E86">
            <w:pPr>
              <w:pStyle w:val="ListBullet"/>
            </w:pPr>
            <w:r w:rsidRPr="004B1E86">
              <w:t>demographics</w:t>
            </w:r>
          </w:p>
          <w:p w:rsidR="00000000" w:rsidRPr="004B1E86" w:rsidP="004B1E86">
            <w:pPr>
              <w:pStyle w:val="ListBullet"/>
            </w:pPr>
            <w:r w:rsidRPr="004B1E86">
              <w:t>exit strategies</w:t>
            </w:r>
          </w:p>
          <w:p w:rsidR="00000000" w:rsidRPr="004B1E86" w:rsidP="004B1E86">
            <w:pPr>
              <w:pStyle w:val="ListBullet"/>
            </w:pPr>
            <w:r w:rsidRPr="004B1E86">
              <w:t>gearing possibilities</w:t>
            </w:r>
          </w:p>
          <w:p w:rsidR="00000000" w:rsidRPr="004B1E86" w:rsidP="004B1E86">
            <w:pPr>
              <w:pStyle w:val="ListBullet"/>
            </w:pPr>
            <w:r w:rsidRPr="004B1E86">
              <w:t>geographic aspects</w:t>
            </w:r>
          </w:p>
          <w:p w:rsidR="00000000" w:rsidRPr="004B1E86" w:rsidP="004B1E86">
            <w:pPr>
              <w:pStyle w:val="ListBullet"/>
            </w:pPr>
            <w:r w:rsidRPr="004B1E86">
              <w:t>limits to financial resources</w:t>
            </w:r>
          </w:p>
          <w:p w:rsidR="00000000" w:rsidRPr="004B1E86" w:rsidP="004B1E86">
            <w:pPr>
              <w:pStyle w:val="ListBullet"/>
            </w:pPr>
            <w:r w:rsidRPr="004B1E86">
              <w:t>market standing</w:t>
            </w:r>
          </w:p>
          <w:p w:rsidR="00000000" w:rsidP="004B1E86">
            <w:pPr>
              <w:pStyle w:val="ListBullet"/>
              <w:rPr>
                <w:lang w:val="en-NZ"/>
              </w:rPr>
            </w:pPr>
            <w:r w:rsidRPr="004B1E86">
              <w:t>return on investment</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return versus risk</w:t>
            </w:r>
          </w:p>
          <w:p w:rsidR="00000000" w:rsidP="004B1E86">
            <w:pPr>
              <w:pStyle w:val="ListBullet"/>
              <w:rPr>
                <w:lang w:val="en-NZ"/>
              </w:rPr>
            </w:pPr>
            <w:r w:rsidRPr="004B1E86">
              <w:t>taxation considerations.</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Relevant people</w:t>
            </w:r>
            <w:r w:rsidRPr="004B1E8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accountants</w:t>
            </w:r>
          </w:p>
          <w:p w:rsidR="00000000" w:rsidRPr="004B1E86" w:rsidP="004B1E86">
            <w:pPr>
              <w:pStyle w:val="ListBullet"/>
            </w:pPr>
            <w:r w:rsidRPr="004B1E86">
              <w:t>agents</w:t>
            </w:r>
          </w:p>
          <w:p w:rsidR="00000000" w:rsidRPr="004B1E86" w:rsidP="004B1E86">
            <w:pPr>
              <w:pStyle w:val="ListBullet"/>
            </w:pPr>
            <w:r w:rsidRPr="004B1E86">
              <w:t>clients</w:t>
            </w:r>
          </w:p>
          <w:p w:rsidR="00000000" w:rsidRPr="004B1E86" w:rsidP="004B1E86">
            <w:pPr>
              <w:pStyle w:val="ListBullet"/>
            </w:pPr>
            <w:r w:rsidRPr="004B1E86">
              <w:t>government personnel</w:t>
            </w:r>
          </w:p>
          <w:p w:rsidR="00000000" w:rsidRPr="004B1E86" w:rsidP="004B1E86">
            <w:pPr>
              <w:pStyle w:val="ListBullet"/>
            </w:pPr>
            <w:r w:rsidRPr="004B1E86">
              <w:t>interested parties</w:t>
            </w:r>
          </w:p>
          <w:p w:rsidR="00000000" w:rsidRPr="004B1E86" w:rsidP="004B1E86">
            <w:pPr>
              <w:pStyle w:val="ListBullet"/>
            </w:pPr>
            <w:r w:rsidRPr="004B1E86">
              <w:t>legal representatives</w:t>
            </w:r>
          </w:p>
          <w:p w:rsidR="00000000" w:rsidRPr="004B1E86" w:rsidP="004B1E86">
            <w:pPr>
              <w:pStyle w:val="ListBullet"/>
            </w:pPr>
            <w:r w:rsidRPr="004B1E86">
              <w:t>management and colleagues</w:t>
            </w:r>
          </w:p>
          <w:p w:rsidR="00000000" w:rsidRPr="004B1E86" w:rsidP="004B1E86">
            <w:pPr>
              <w:pStyle w:val="ListBullet"/>
            </w:pPr>
            <w:r w:rsidRPr="004B1E86">
              <w:t>members of industry associations</w:t>
            </w:r>
          </w:p>
          <w:p w:rsidR="00000000" w:rsidP="004B1E86">
            <w:pPr>
              <w:pStyle w:val="ListBullet"/>
              <w:rPr>
                <w:lang w:val="en-NZ"/>
              </w:rPr>
            </w:pPr>
            <w:r w:rsidRPr="004B1E86">
              <w:t>taxation specialists.</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Performance measures</w:t>
            </w:r>
            <w:r w:rsidRPr="004B1E86">
              <w:t>:</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may include:</w:t>
            </w:r>
          </w:p>
          <w:p w:rsidR="00000000" w:rsidRPr="004B1E86" w:rsidP="004B1E86">
            <w:pPr>
              <w:pStyle w:val="ListBullet2"/>
            </w:pPr>
            <w:r w:rsidRPr="004B1E86">
              <w:t>quantitative and qualitative assessments</w:t>
            </w:r>
          </w:p>
          <w:p w:rsidR="00000000" w:rsidRPr="004B1E86" w:rsidP="004B1E86">
            <w:pPr>
              <w:pStyle w:val="ListBullet"/>
            </w:pPr>
            <w:r w:rsidRPr="004B1E86">
              <w:t>may be:</w:t>
            </w:r>
          </w:p>
          <w:p w:rsidR="00000000" w:rsidRPr="004B1E86" w:rsidP="004B1E86">
            <w:pPr>
              <w:pStyle w:val="ListBullet2"/>
            </w:pPr>
            <w:r w:rsidRPr="004B1E86">
              <w:t>financial and non-financial</w:t>
            </w:r>
          </w:p>
          <w:p w:rsidR="00000000" w:rsidP="004B1E86">
            <w:pPr>
              <w:pStyle w:val="ListBullet2"/>
              <w:rPr>
                <w:lang w:val="en-NZ"/>
              </w:rPr>
            </w:pPr>
            <w:r w:rsidRPr="004B1E86">
              <w:t>statistical and non-statistical.</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Relevant information</w:t>
            </w:r>
            <w:r w:rsidRPr="004B1E86">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bank reports</w:t>
            </w:r>
          </w:p>
          <w:p w:rsidR="00000000" w:rsidRPr="004B1E86" w:rsidP="004B1E86">
            <w:pPr>
              <w:pStyle w:val="ListBullet"/>
            </w:pPr>
            <w:r w:rsidRPr="004B1E86">
              <w:t>building codes</w:t>
            </w:r>
          </w:p>
          <w:p w:rsidR="00000000" w:rsidRPr="004B1E86" w:rsidP="004B1E86">
            <w:pPr>
              <w:pStyle w:val="ListBullet"/>
            </w:pPr>
            <w:r w:rsidRPr="004B1E86">
              <w:t>current and planned property or site developments</w:t>
            </w:r>
          </w:p>
          <w:p w:rsidR="00000000" w:rsidRPr="004B1E86" w:rsidP="004B1E86">
            <w:pPr>
              <w:pStyle w:val="ListBullet"/>
            </w:pPr>
            <w:r w:rsidRPr="004B1E86">
              <w:t>deposited, survey and other plans and maps</w:t>
            </w:r>
          </w:p>
          <w:p w:rsidR="00000000" w:rsidRPr="004B1E86" w:rsidP="004B1E86">
            <w:pPr>
              <w:pStyle w:val="ListBullet"/>
            </w:pPr>
            <w:r w:rsidRPr="004B1E86">
              <w:t>depreciation schedules</w:t>
            </w:r>
          </w:p>
          <w:p w:rsidR="00000000" w:rsidRPr="004B1E86" w:rsidP="004B1E86">
            <w:pPr>
              <w:pStyle w:val="ListBullet"/>
            </w:pPr>
            <w:r w:rsidRPr="004B1E86">
              <w:t>general knowledge of industry</w:t>
            </w:r>
          </w:p>
          <w:p w:rsidR="00000000" w:rsidRPr="004B1E86" w:rsidP="004B1E86">
            <w:pPr>
              <w:pStyle w:val="ListBullet"/>
            </w:pPr>
            <w:r w:rsidRPr="004B1E86">
              <w:t>government statistics</w:t>
            </w:r>
          </w:p>
          <w:p w:rsidR="00000000" w:rsidRPr="004B1E86" w:rsidP="004B1E86">
            <w:pPr>
              <w:pStyle w:val="ListBullet"/>
            </w:pPr>
            <w:r w:rsidRPr="004B1E86">
              <w:t>industry reports and indices</w:t>
            </w:r>
          </w:p>
          <w:p w:rsidR="00000000" w:rsidRPr="004B1E86" w:rsidP="004B1E86">
            <w:pPr>
              <w:pStyle w:val="ListBullet"/>
            </w:pPr>
            <w:r w:rsidRPr="004B1E86">
              <w:t>land title and zoning</w:t>
            </w:r>
          </w:p>
          <w:p w:rsidR="00000000" w:rsidRPr="004B1E86" w:rsidP="004B1E86">
            <w:pPr>
              <w:pStyle w:val="ListBullet"/>
            </w:pPr>
            <w:r w:rsidRPr="004B1E86">
              <w:t>market intelligence from industry operators or other interested parties</w:t>
            </w:r>
          </w:p>
          <w:p w:rsidR="00000000" w:rsidRPr="004B1E86" w:rsidP="004B1E86">
            <w:pPr>
              <w:pStyle w:val="ListBullet"/>
            </w:pPr>
            <w:r w:rsidRPr="004B1E86">
              <w:t>media reports</w:t>
            </w:r>
          </w:p>
          <w:p w:rsidR="00000000" w:rsidRPr="004B1E86" w:rsidP="004B1E86">
            <w:pPr>
              <w:pStyle w:val="ListBullet"/>
            </w:pPr>
            <w:r w:rsidRPr="004B1E86">
              <w:t>performance of comparable properties</w:t>
            </w:r>
          </w:p>
          <w:p w:rsidR="00000000" w:rsidP="004B1E86">
            <w:pPr>
              <w:pStyle w:val="ListBullet"/>
              <w:rPr>
                <w:lang w:val="en-NZ"/>
              </w:rPr>
            </w:pPr>
            <w:r w:rsidRPr="004B1E86">
              <w:t>permits</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published analytical reports</w:t>
            </w:r>
          </w:p>
          <w:p w:rsidR="00000000" w:rsidP="004B1E86">
            <w:pPr>
              <w:pStyle w:val="ListBullet"/>
              <w:rPr>
                <w:lang w:val="en-NZ"/>
              </w:rPr>
            </w:pPr>
            <w:r w:rsidRPr="004B1E86">
              <w:t>tenancy and other co</w:t>
            </w:r>
            <w:r w:rsidRPr="004B1E86">
              <w:t>ntracts or leases.</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Sources</w:t>
            </w:r>
            <w:r w:rsidRPr="004B1E8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consultants</w:t>
            </w:r>
          </w:p>
          <w:p w:rsidR="00000000" w:rsidRPr="004B1E86" w:rsidP="004B1E86">
            <w:pPr>
              <w:pStyle w:val="ListBullet"/>
            </w:pPr>
            <w:r w:rsidRPr="004B1E86">
              <w:t>information services</w:t>
            </w:r>
          </w:p>
          <w:p w:rsidR="00000000" w:rsidRPr="004B1E86" w:rsidP="004B1E86">
            <w:pPr>
              <w:pStyle w:val="ListBullet"/>
            </w:pPr>
            <w:r w:rsidRPr="004B1E86">
              <w:t>press clippings</w:t>
            </w:r>
          </w:p>
          <w:p w:rsidR="00000000" w:rsidRPr="004B1E86" w:rsidP="004B1E86">
            <w:pPr>
              <w:pStyle w:val="ListBullet"/>
            </w:pPr>
            <w:r w:rsidRPr="004B1E86">
              <w:t>published industry data, including industry indices</w:t>
            </w:r>
          </w:p>
          <w:p w:rsidR="00000000" w:rsidRPr="004B1E86" w:rsidP="004B1E86">
            <w:pPr>
              <w:pStyle w:val="ListBullet"/>
            </w:pPr>
            <w:r w:rsidRPr="004B1E86">
              <w:t>third parties</w:t>
            </w:r>
          </w:p>
          <w:p w:rsidR="00000000" w:rsidP="004B1E86">
            <w:pPr>
              <w:pStyle w:val="ListBullet"/>
              <w:rPr>
                <w:lang w:val="en-NZ"/>
              </w:rPr>
            </w:pPr>
            <w:r w:rsidRPr="004B1E86">
              <w:t>trade journals.</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Industry benchmarks</w:t>
            </w:r>
            <w:r w:rsidRPr="004B1E86">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discounted cash flow</w:t>
            </w:r>
          </w:p>
          <w:p w:rsidR="00000000" w:rsidRPr="004B1E86" w:rsidP="004B1E86">
            <w:pPr>
              <w:pStyle w:val="ListBullet"/>
            </w:pPr>
            <w:r w:rsidRPr="004B1E86">
              <w:t>employment rates</w:t>
            </w:r>
          </w:p>
          <w:p w:rsidR="00000000" w:rsidRPr="004B1E86" w:rsidP="004B1E86">
            <w:pPr>
              <w:pStyle w:val="ListBullet"/>
            </w:pPr>
            <w:r w:rsidRPr="004B1E86">
              <w:t>industry association performance index</w:t>
            </w:r>
          </w:p>
          <w:p w:rsidR="00000000" w:rsidRPr="004B1E86" w:rsidP="004B1E86">
            <w:pPr>
              <w:pStyle w:val="ListBullet"/>
            </w:pPr>
            <w:r w:rsidRPr="004B1E86">
              <w:t>inflation rate</w:t>
            </w:r>
          </w:p>
          <w:p w:rsidR="00000000" w:rsidRPr="004B1E86" w:rsidP="004B1E86">
            <w:pPr>
              <w:pStyle w:val="ListBullet"/>
            </w:pPr>
            <w:r w:rsidRPr="004B1E86">
              <w:t>internal rate of return</w:t>
            </w:r>
          </w:p>
          <w:p w:rsidR="00000000" w:rsidRPr="004B1E86" w:rsidP="004B1E86">
            <w:pPr>
              <w:pStyle w:val="ListBullet"/>
            </w:pPr>
            <w:r w:rsidRPr="004B1E86">
              <w:t>life cycle costing</w:t>
            </w:r>
          </w:p>
          <w:p w:rsidR="00000000" w:rsidRPr="004B1E86" w:rsidP="004B1E86">
            <w:pPr>
              <w:pStyle w:val="ListBullet"/>
            </w:pPr>
            <w:r w:rsidRPr="004B1E86">
              <w:t>published vacancies index</w:t>
            </w:r>
          </w:p>
          <w:p w:rsidR="00000000" w:rsidP="004B1E86">
            <w:pPr>
              <w:pStyle w:val="ListBullet"/>
              <w:rPr>
                <w:lang w:val="en-NZ"/>
              </w:rPr>
            </w:pPr>
            <w:r w:rsidRPr="004B1E86">
              <w:t>tenancy mix.</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Analysis</w:t>
            </w:r>
            <w:r w:rsidRPr="004B1E86">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computer modelling</w:t>
            </w:r>
          </w:p>
          <w:p w:rsidR="00000000" w:rsidRPr="004B1E86" w:rsidP="004B1E86">
            <w:pPr>
              <w:pStyle w:val="ListBullet"/>
            </w:pPr>
            <w:r w:rsidRPr="004B1E86">
              <w:t>examination of cash flows and other financial projections</w:t>
            </w:r>
          </w:p>
          <w:p w:rsidR="00000000" w:rsidRPr="004B1E86" w:rsidP="004B1E86">
            <w:pPr>
              <w:pStyle w:val="ListBullet"/>
            </w:pPr>
            <w:r w:rsidRPr="004B1E86">
              <w:t>examination of collected data</w:t>
            </w:r>
          </w:p>
          <w:p w:rsidR="00000000" w:rsidRPr="004B1E86" w:rsidP="004B1E86">
            <w:pPr>
              <w:pStyle w:val="ListBullet"/>
            </w:pPr>
            <w:r w:rsidRPr="004B1E86">
              <w:t>quantitative and qualitative analysis</w:t>
            </w:r>
          </w:p>
          <w:p w:rsidR="00000000" w:rsidRPr="004B1E86" w:rsidP="004B1E86">
            <w:pPr>
              <w:pStyle w:val="ListBullet"/>
            </w:pPr>
            <w:r w:rsidRPr="004B1E86">
              <w:t>probability analysis</w:t>
            </w:r>
          </w:p>
          <w:p w:rsidR="00000000" w:rsidP="004B1E86">
            <w:pPr>
              <w:pStyle w:val="ListBullet"/>
              <w:rPr>
                <w:lang w:val="en-NZ"/>
              </w:rPr>
            </w:pPr>
            <w:r w:rsidRPr="004B1E86">
              <w:t>time series recognition.</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Legislative requirements</w:t>
            </w:r>
            <w:r w:rsidRPr="004B1E86">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Australian standards</w:t>
            </w:r>
          </w:p>
          <w:p w:rsidR="00000000" w:rsidRPr="004B1E86" w:rsidP="004B1E86">
            <w:pPr>
              <w:pStyle w:val="ListBullet"/>
            </w:pPr>
            <w:r w:rsidRPr="004B1E86">
              <w:t>general duty of care to clients</w:t>
            </w:r>
          </w:p>
          <w:p w:rsidR="00000000" w:rsidRPr="004B1E86" w:rsidP="004B1E86">
            <w:pPr>
              <w:pStyle w:val="ListBullet"/>
            </w:pPr>
            <w:r w:rsidRPr="004B1E86">
              <w:t>home building requirements</w:t>
            </w:r>
          </w:p>
          <w:p w:rsidR="00000000" w:rsidRPr="004B1E86" w:rsidP="004B1E86">
            <w:pPr>
              <w:pStyle w:val="ListBullet"/>
            </w:pPr>
            <w:r w:rsidRPr="004B1E86">
              <w:t>privacy requirements</w:t>
            </w:r>
          </w:p>
          <w:p w:rsidR="00000000" w:rsidRPr="004B1E86" w:rsidP="004B1E86">
            <w:pPr>
              <w:pStyle w:val="ListBullet"/>
            </w:pPr>
            <w:r w:rsidRPr="004B1E86">
              <w:t>relevant federal, and state or territory legislation that affects organisational operation, including:</w:t>
            </w:r>
          </w:p>
          <w:p w:rsidR="00000000" w:rsidRPr="004B1E86" w:rsidP="004B1E86">
            <w:pPr>
              <w:pStyle w:val="ListBullet2"/>
            </w:pPr>
            <w:r w:rsidRPr="004B1E86">
              <w:t>anti-discrimination and diversity</w:t>
            </w:r>
          </w:p>
          <w:p w:rsidR="00000000" w:rsidRPr="004B1E86" w:rsidP="004B1E86">
            <w:pPr>
              <w:pStyle w:val="ListBullet2"/>
            </w:pPr>
            <w:r w:rsidRPr="004B1E86">
              <w:t>environmental issues</w:t>
            </w:r>
          </w:p>
          <w:p w:rsidR="00000000" w:rsidRPr="004B1E86" w:rsidP="004B1E86">
            <w:pPr>
              <w:pStyle w:val="ListBullet2"/>
            </w:pPr>
            <w:r w:rsidRPr="004B1E86">
              <w:t>EEO</w:t>
            </w:r>
          </w:p>
          <w:p w:rsidR="00000000" w:rsidRPr="004B1E86" w:rsidP="004B1E86">
            <w:pPr>
              <w:pStyle w:val="ListBullet2"/>
            </w:pPr>
            <w:r w:rsidRPr="004B1E86">
              <w:t>industrial relations</w:t>
            </w:r>
          </w:p>
          <w:p w:rsidR="00000000" w:rsidRPr="004B1E86" w:rsidP="004B1E86">
            <w:pPr>
              <w:pStyle w:val="ListBullet2"/>
            </w:pPr>
            <w:r w:rsidRPr="004B1E86">
              <w:t>OHS</w:t>
            </w:r>
          </w:p>
          <w:p w:rsidR="00000000" w:rsidRPr="004B1E86" w:rsidP="004B1E86">
            <w:pPr>
              <w:pStyle w:val="ListBullet"/>
            </w:pPr>
            <w:r w:rsidRPr="004B1E86">
              <w:t>relevant industry codes of practice covering t</w:t>
            </w:r>
            <w:r w:rsidRPr="004B1E86">
              <w:t>he market sector and industry, financial transactions, taxation, environment, construction, land use, native title, zoning, utilities use (water, gas and electricity), and contract or common law</w:t>
            </w:r>
          </w:p>
          <w:p w:rsidR="00000000" w:rsidRPr="004B1E86" w:rsidP="004B1E86">
            <w:pPr>
              <w:pStyle w:val="ListBullet"/>
            </w:pPr>
            <w:r w:rsidRPr="004B1E86">
              <w:t>strata, community and company titles</w:t>
            </w:r>
          </w:p>
          <w:p w:rsidR="00000000" w:rsidRPr="004B1E86" w:rsidP="004B1E86">
            <w:pPr>
              <w:pStyle w:val="ListBullet"/>
            </w:pPr>
            <w:r w:rsidRPr="004B1E86">
              <w:t>tenancy agreements</w:t>
            </w:r>
          </w:p>
          <w:p w:rsidR="00000000" w:rsidP="004B1E86">
            <w:pPr>
              <w:pStyle w:val="ListBullet"/>
              <w:rPr>
                <w:lang w:val="en-NZ"/>
              </w:rPr>
            </w:pPr>
            <w:r w:rsidRPr="004B1E86">
              <w:t>trade</w:t>
            </w:r>
            <w:r w:rsidRPr="004B1E86">
              <w:t xml:space="preserve"> practices laws and guidelines.</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Organisational requirements</w:t>
            </w:r>
            <w:r w:rsidRPr="004B1E86">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access and equity principles and practice guidelines</w:t>
            </w:r>
          </w:p>
          <w:p w:rsidR="00000000" w:rsidRPr="004B1E86" w:rsidP="004B1E86">
            <w:pPr>
              <w:pStyle w:val="ListBullet"/>
            </w:pPr>
            <w:r w:rsidRPr="004B1E86">
              <w:t>business and performance plans</w:t>
            </w:r>
          </w:p>
          <w:p w:rsidR="00000000" w:rsidRPr="004B1E86" w:rsidP="004B1E86">
            <w:pPr>
              <w:pStyle w:val="ListBullet"/>
            </w:pPr>
            <w:r w:rsidRPr="004B1E86">
              <w:t>complaint and dispute resolution procedures</w:t>
            </w:r>
          </w:p>
          <w:p w:rsidR="00000000" w:rsidRPr="004B1E86" w:rsidP="004B1E86">
            <w:pPr>
              <w:pStyle w:val="ListBullet"/>
            </w:pPr>
            <w:r w:rsidRPr="004B1E86">
              <w:t>goals, objectives, plans, systems and processes</w:t>
            </w:r>
          </w:p>
          <w:p w:rsidR="00000000" w:rsidRPr="004B1E86" w:rsidP="004B1E86">
            <w:pPr>
              <w:pStyle w:val="ListBullet"/>
            </w:pPr>
            <w:r w:rsidRPr="004B1E86">
              <w:t>legal and ethical requirements and codes of practice</w:t>
            </w:r>
          </w:p>
          <w:p w:rsidR="00000000" w:rsidRPr="004B1E86" w:rsidP="004B1E86">
            <w:pPr>
              <w:pStyle w:val="ListBullet"/>
            </w:pPr>
            <w:r w:rsidRPr="004B1E86">
              <w:t>mission statements and strategic plans</w:t>
            </w:r>
          </w:p>
          <w:p w:rsidR="00000000" w:rsidRPr="004B1E86" w:rsidP="004B1E86">
            <w:pPr>
              <w:pStyle w:val="ListBullet"/>
            </w:pPr>
            <w:r w:rsidRPr="004B1E86">
              <w:t>OHS policies, procedures and programs</w:t>
            </w:r>
          </w:p>
          <w:p w:rsidR="00000000" w:rsidRPr="004B1E86" w:rsidP="004B1E86">
            <w:pPr>
              <w:pStyle w:val="ListBullet"/>
            </w:pPr>
            <w:r w:rsidRPr="004B1E86">
              <w:t>policies and procedures in relation to client service</w:t>
            </w:r>
          </w:p>
          <w:p w:rsidR="00000000" w:rsidRPr="004B1E86" w:rsidP="004B1E86">
            <w:pPr>
              <w:pStyle w:val="ListBullet"/>
            </w:pPr>
            <w:r w:rsidRPr="004B1E86">
              <w:t>quality and continuous i</w:t>
            </w:r>
            <w:r w:rsidRPr="004B1E86">
              <w:t>mprovement processes and standards</w:t>
            </w:r>
          </w:p>
          <w:p w:rsidR="00000000" w:rsidP="004B1E86">
            <w:pPr>
              <w:pStyle w:val="ListBullet"/>
              <w:rPr>
                <w:lang w:val="en-NZ"/>
              </w:rPr>
            </w:pPr>
            <w:r w:rsidRPr="004B1E86">
              <w:t>quality assurance and procedure manuals.</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Comparative market data</w:t>
            </w:r>
            <w:r w:rsidRPr="004B1E8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best practice information</w:t>
            </w:r>
          </w:p>
          <w:p w:rsidR="00000000" w:rsidRPr="004B1E86" w:rsidP="004B1E86">
            <w:pPr>
              <w:pStyle w:val="ListBullet"/>
            </w:pPr>
            <w:r w:rsidRPr="004B1E86">
              <w:t>national and international benchmarking</w:t>
            </w:r>
          </w:p>
          <w:p w:rsidR="00000000" w:rsidP="004B1E86">
            <w:pPr>
              <w:pStyle w:val="ListBullet"/>
              <w:rPr>
                <w:lang w:val="en-NZ"/>
              </w:rPr>
            </w:pPr>
            <w:r w:rsidRPr="004B1E86">
              <w:t>inter-organisation comparison data.</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Risk</w:t>
            </w:r>
            <w:r w:rsidRPr="004B1E86">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age of property</w:t>
            </w:r>
          </w:p>
          <w:p w:rsidR="00000000" w:rsidRPr="004B1E86" w:rsidP="004B1E86">
            <w:pPr>
              <w:pStyle w:val="ListBullet"/>
            </w:pPr>
            <w:r w:rsidRPr="004B1E86">
              <w:t>asset allocation and investment spread</w:t>
            </w:r>
          </w:p>
          <w:p w:rsidR="00000000" w:rsidRPr="004B1E86" w:rsidP="004B1E86">
            <w:pPr>
              <w:pStyle w:val="ListBullet"/>
            </w:pPr>
            <w:r w:rsidRPr="004B1E86">
              <w:t>borrowing risk</w:t>
            </w:r>
          </w:p>
          <w:p w:rsidR="00000000" w:rsidRPr="004B1E86" w:rsidP="004B1E86">
            <w:pPr>
              <w:pStyle w:val="ListBullet"/>
            </w:pPr>
            <w:r w:rsidRPr="004B1E86">
              <w:t>gearing</w:t>
            </w:r>
          </w:p>
          <w:p w:rsidR="00000000" w:rsidRPr="004B1E86" w:rsidP="004B1E86">
            <w:pPr>
              <w:pStyle w:val="ListBullet"/>
            </w:pPr>
            <w:r w:rsidRPr="004B1E86">
              <w:t>comparative risk against alternative in investments</w:t>
            </w:r>
          </w:p>
          <w:p w:rsidR="00000000" w:rsidRPr="004B1E86" w:rsidP="004B1E86">
            <w:pPr>
              <w:pStyle w:val="ListBullet"/>
            </w:pPr>
            <w:r w:rsidRPr="004B1E86">
              <w:t>competitive development</w:t>
            </w:r>
          </w:p>
          <w:p w:rsidR="00000000" w:rsidRPr="004B1E86" w:rsidP="004B1E86">
            <w:pPr>
              <w:pStyle w:val="ListBullet"/>
            </w:pPr>
            <w:r w:rsidRPr="004B1E86">
              <w:t>exit strategy and investment scenario analysis</w:t>
            </w:r>
          </w:p>
          <w:p w:rsidR="00000000" w:rsidRPr="004B1E86" w:rsidP="004B1E86">
            <w:pPr>
              <w:pStyle w:val="ListBullet"/>
            </w:pPr>
            <w:r w:rsidRPr="004B1E86">
              <w:t>interest rates</w:t>
            </w:r>
          </w:p>
          <w:p w:rsidR="00000000" w:rsidP="004B1E86">
            <w:pPr>
              <w:pStyle w:val="ListBullet"/>
              <w:rPr>
                <w:lang w:val="en-NZ"/>
              </w:rPr>
            </w:pPr>
            <w:r w:rsidRPr="004B1E86">
              <w:t>level of regulation</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lifestyle choices</w:t>
            </w:r>
          </w:p>
          <w:p w:rsidR="00000000" w:rsidRPr="004B1E86" w:rsidP="004B1E86">
            <w:pPr>
              <w:pStyle w:val="ListBullet"/>
            </w:pPr>
            <w:r w:rsidRPr="004B1E86">
              <w:t>market and property sector risks, including:</w:t>
            </w:r>
          </w:p>
          <w:p w:rsidR="00000000" w:rsidRPr="004B1E86" w:rsidP="004B1E86">
            <w:pPr>
              <w:pStyle w:val="ListBullet2"/>
            </w:pPr>
            <w:r w:rsidRPr="004B1E86">
              <w:t>fluctuations in economic cycle</w:t>
            </w:r>
          </w:p>
          <w:p w:rsidR="00000000" w:rsidRPr="004B1E86" w:rsidP="004B1E86">
            <w:pPr>
              <w:pStyle w:val="ListBullet2"/>
            </w:pPr>
            <w:r w:rsidRPr="004B1E86">
              <w:t>interest rates</w:t>
            </w:r>
          </w:p>
          <w:p w:rsidR="00000000" w:rsidRPr="004B1E86" w:rsidP="004B1E86">
            <w:pPr>
              <w:pStyle w:val="ListBullet2"/>
            </w:pPr>
            <w:r w:rsidRPr="004B1E86">
              <w:t>stock market</w:t>
            </w:r>
          </w:p>
          <w:p w:rsidR="00000000" w:rsidRPr="004B1E86" w:rsidP="004B1E86">
            <w:pPr>
              <w:pStyle w:val="ListBullet"/>
            </w:pPr>
            <w:r w:rsidRPr="004B1E86">
              <w:t>technology in use</w:t>
            </w:r>
          </w:p>
          <w:p w:rsidR="00000000" w:rsidRPr="004B1E86" w:rsidP="004B1E86">
            <w:pPr>
              <w:pStyle w:val="ListBullet"/>
            </w:pPr>
            <w:r w:rsidRPr="004B1E86">
              <w:t>tenancy security</w:t>
            </w:r>
          </w:p>
          <w:p w:rsidR="00000000" w:rsidP="004B1E86">
            <w:pPr>
              <w:pStyle w:val="ListBullet"/>
              <w:rPr>
                <w:lang w:val="en-NZ"/>
              </w:rPr>
            </w:pPr>
            <w:r w:rsidRPr="004B1E86">
              <w:t>volatility of income and capital.</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BoldandItalics"/>
              </w:rPr>
              <w:t>Business equipment and technology</w:t>
            </w:r>
            <w:r w:rsidRPr="004B1E86">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ListBullet"/>
            </w:pPr>
            <w:r w:rsidRPr="004B1E86">
              <w:t>data storage devices</w:t>
            </w:r>
          </w:p>
          <w:p w:rsidR="00000000" w:rsidRPr="004B1E86" w:rsidP="004B1E86">
            <w:pPr>
              <w:pStyle w:val="ListBullet"/>
            </w:pPr>
            <w:r w:rsidRPr="004B1E86">
              <w:t>email</w:t>
            </w:r>
          </w:p>
          <w:p w:rsidR="00000000" w:rsidRPr="004B1E86" w:rsidP="004B1E86">
            <w:pPr>
              <w:pStyle w:val="ListBullet"/>
            </w:pPr>
            <w:r w:rsidRPr="004B1E86">
              <w:t>facsimile machines</w:t>
            </w:r>
          </w:p>
          <w:p w:rsidR="00000000" w:rsidRPr="004B1E86" w:rsidP="004B1E86">
            <w:pPr>
              <w:pStyle w:val="ListBullet"/>
            </w:pPr>
            <w:r w:rsidRPr="004B1E86">
              <w:t>internet, extranet and intranet</w:t>
            </w:r>
          </w:p>
          <w:p w:rsidR="00000000" w:rsidRPr="004B1E86" w:rsidP="004B1E86">
            <w:pPr>
              <w:pStyle w:val="ListBullet"/>
            </w:pPr>
            <w:r w:rsidRPr="004B1E86">
              <w:t>photocopiers</w:t>
            </w:r>
          </w:p>
          <w:p w:rsidR="00000000" w:rsidRPr="004B1E86" w:rsidP="004B1E86">
            <w:pPr>
              <w:pStyle w:val="ListBullet"/>
            </w:pPr>
            <w:r w:rsidRPr="004B1E86">
              <w:t>printers</w:t>
            </w:r>
          </w:p>
          <w:p w:rsidR="00000000" w:rsidRPr="004B1E86" w:rsidP="004B1E86">
            <w:pPr>
              <w:pStyle w:val="ListBullet"/>
            </w:pPr>
            <w:r w:rsidRPr="004B1E86">
              <w:t>scanners</w:t>
            </w:r>
          </w:p>
          <w:p w:rsidR="00000000" w:rsidRPr="004B1E86" w:rsidP="004B1E86">
            <w:pPr>
              <w:pStyle w:val="ListBullet"/>
            </w:pPr>
            <w:r w:rsidRPr="004B1E86">
              <w:t>software applications, such as databases and word applications</w:t>
            </w:r>
          </w:p>
          <w:p w:rsidR="00000000" w:rsidP="004B1E86">
            <w:pPr>
              <w:pStyle w:val="ListBullet"/>
              <w:rPr>
                <w:lang w:val="en-NZ"/>
              </w:rPr>
            </w:pPr>
            <w:r w:rsidRPr="004B1E86">
              <w:t>work computers.</w:t>
            </w:r>
          </w:p>
        </w:tc>
      </w:tr>
      <w:tr w:rsidTr="00FE4B28">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4B1E86" w:rsidP="004B1E86">
            <w:pPr>
              <w:pStyle w:val="BodyText"/>
            </w:pPr>
          </w:p>
        </w:tc>
      </w:tr>
    </w:tbl>
    <w:p w:rsidR="00FE4B28" w:rsidP="004B1E86">
      <w:pPr>
        <w:pStyle w:val="BodyText"/>
      </w:pPr>
    </w:p>
    <w:p w:rsidR="00FE4B28" w:rsidP="004B1E86">
      <w:pPr>
        <w:pStyle w:val="BodyText"/>
      </w:pPr>
    </w:p>
    <w:p w:rsidR="00000000" w:rsidRPr="004B1E86" w:rsidP="004B1E86">
      <w:pPr>
        <w:pStyle w:val="Heading1"/>
      </w:pPr>
      <w:bookmarkStart w:id="12" w:name="O_201521"/>
      <w:bookmarkEnd w:id="12"/>
      <w:r w:rsidRPr="004B1E86">
        <w:t>Unit Sector(s)</w:t>
      </w:r>
    </w:p>
    <w:tbl>
      <w:tblPr>
        <w:tblW w:w="0" w:type="auto"/>
        <w:tblLayout w:type="fixed"/>
        <w:tblCellMar>
          <w:left w:w="62" w:type="dxa"/>
          <w:right w:w="62" w:type="dxa"/>
        </w:tblCellMar>
        <w:tblLook w:val="0000"/>
      </w:tblPr>
      <w:tblGrid>
        <w:gridCol w:w="2754"/>
        <w:gridCol w:w="5768"/>
      </w:tblGrid>
      <w:tr w:rsidTr="00FE4B2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4B1E86" w:rsidP="004B1E86">
            <w:pPr>
              <w:pStyle w:val="BodyText"/>
            </w:pPr>
            <w:r w:rsidRPr="004B1E86">
              <w:t>Property development, sales and management</w:t>
            </w:r>
          </w:p>
        </w:tc>
      </w:tr>
    </w:tbl>
    <w:p w:rsidR="00FE4B28" w:rsidP="004B1E86">
      <w:pPr>
        <w:pStyle w:val="BodyText"/>
      </w:pPr>
    </w:p>
    <w:p w:rsidR="00FE4B28" w:rsidP="004B1E86">
      <w:pPr>
        <w:pStyle w:val="BodyText"/>
      </w:pPr>
    </w:p>
    <w:p w:rsidR="00000000" w:rsidRPr="004B1E86" w:rsidP="004B1E86">
      <w:pPr>
        <w:pStyle w:val="Heading1"/>
      </w:pPr>
      <w:bookmarkStart w:id="13" w:name="O_201520"/>
      <w:bookmarkEnd w:id="13"/>
      <w:r w:rsidRPr="004B1E86">
        <w:t>Competency field</w:t>
      </w:r>
    </w:p>
    <w:tbl>
      <w:tblPr>
        <w:tblW w:w="0" w:type="auto"/>
        <w:tblLayout w:type="fixed"/>
        <w:tblCellMar>
          <w:left w:w="62" w:type="dxa"/>
          <w:right w:w="62" w:type="dxa"/>
        </w:tblCellMar>
        <w:tblLook w:val="0000"/>
      </w:tblPr>
      <w:tblGrid>
        <w:gridCol w:w="2754"/>
        <w:gridCol w:w="5768"/>
      </w:tblGrid>
      <w:tr w:rsidTr="00FE4B28">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4B1E86">
            <w:pPr>
              <w:pStyle w:val="BodyText"/>
              <w:rPr>
                <w:lang w:val="en-NZ"/>
              </w:rPr>
            </w:pPr>
            <w:r w:rsidRPr="004B1E86">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4B1E86" w:rsidP="004B1E86">
            <w:pPr>
              <w:pStyle w:val="BodyText"/>
            </w:pPr>
            <w:r w:rsidRPr="004B1E86">
              <w:t>Property operations and development</w:t>
            </w:r>
          </w:p>
        </w:tc>
      </w:tr>
    </w:tbl>
    <w:p w:rsidR="00FE4B28" w:rsidP="004B1E86">
      <w:pPr>
        <w:pStyle w:val="BodyText"/>
      </w:pPr>
    </w:p>
    <w:p w:rsidR="00FE4B28" w:rsidP="004B1E86">
      <w:pPr>
        <w:pStyle w:val="BodyText"/>
      </w:pPr>
    </w:p>
    <w:p w:rsidR="00000000" w:rsidRPr="004B1E86" w:rsidP="004B1E86"/>
    <w:sectPr w:rsidSect="004B1E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B28" w:rsidP="00FE4B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28" w:rsidP="004B1E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E4B28" w:rsidP="004B1E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E4B28" w:rsidP="004B1E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B28" w:rsidP="00FE4B2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E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28" w:rsidP="004B1E86">
    <w:pPr>
      <w:pStyle w:val="Header"/>
      <w:framePr w:wrap="around"/>
    </w:pPr>
    <w:r>
      <w:fldChar w:fldCharType="begin"/>
    </w:r>
    <w:r>
      <w:instrText xml:space="preserve"> TITLE   \* MERGEFORMAT </w:instrText>
    </w:r>
    <w:r>
      <w:fldChar w:fldCharType="separate"/>
    </w:r>
    <w:r>
      <w:t>CPPDSM6005A Develop a property investment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4B28" w:rsidP="004B1E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BCC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DE9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FAE8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E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1E86"/>
    <w:pPr>
      <w:spacing w:before="360" w:after="60"/>
      <w:outlineLvl w:val="0"/>
    </w:pPr>
    <w:rPr>
      <w:sz w:val="32"/>
    </w:rPr>
  </w:style>
  <w:style w:type="paragraph" w:styleId="Heading2">
    <w:name w:val="heading 2"/>
    <w:basedOn w:val="HeadingBase"/>
    <w:next w:val="BodyText"/>
    <w:link w:val="Heading2Char"/>
    <w:qFormat/>
    <w:rsid w:val="004B1E86"/>
    <w:pPr>
      <w:keepLines/>
      <w:spacing w:before="240" w:after="120"/>
      <w:outlineLvl w:val="1"/>
    </w:pPr>
    <w:rPr>
      <w:sz w:val="28"/>
      <w:szCs w:val="40"/>
    </w:rPr>
  </w:style>
  <w:style w:type="paragraph" w:styleId="Heading3">
    <w:name w:val="heading 3"/>
    <w:basedOn w:val="HeadingBase"/>
    <w:next w:val="BodyText"/>
    <w:link w:val="Heading3Char"/>
    <w:qFormat/>
    <w:rsid w:val="004B1E86"/>
    <w:pPr>
      <w:spacing w:before="180" w:after="120"/>
      <w:outlineLvl w:val="2"/>
    </w:pPr>
    <w:rPr>
      <w:spacing w:val="-10"/>
      <w:kern w:val="32"/>
    </w:rPr>
  </w:style>
  <w:style w:type="paragraph" w:styleId="Heading4">
    <w:name w:val="heading 4"/>
    <w:basedOn w:val="HeadingBase"/>
    <w:next w:val="BodyText"/>
    <w:link w:val="Heading4Char"/>
    <w:qFormat/>
    <w:rsid w:val="004B1E86"/>
    <w:pPr>
      <w:spacing w:before="160" w:after="120"/>
      <w:outlineLvl w:val="3"/>
    </w:pPr>
    <w:rPr>
      <w:sz w:val="22"/>
    </w:rPr>
  </w:style>
  <w:style w:type="paragraph" w:styleId="Heading5">
    <w:name w:val="heading 5"/>
    <w:basedOn w:val="HeadingBase"/>
    <w:next w:val="Normal"/>
    <w:link w:val="Heading5Char"/>
    <w:qFormat/>
    <w:rsid w:val="004B1E86"/>
    <w:pPr>
      <w:spacing w:before="80"/>
      <w:outlineLvl w:val="4"/>
    </w:pPr>
    <w:rPr>
      <w:color w:val="918585"/>
      <w:sz w:val="20"/>
    </w:rPr>
  </w:style>
  <w:style w:type="paragraph" w:styleId="Heading6">
    <w:name w:val="heading 6"/>
    <w:basedOn w:val="HeadingBase"/>
    <w:next w:val="Normal"/>
    <w:link w:val="Heading6Char"/>
    <w:qFormat/>
    <w:rsid w:val="004B1E86"/>
    <w:pPr>
      <w:spacing w:before="60"/>
      <w:outlineLvl w:val="5"/>
    </w:pPr>
    <w:rPr>
      <w:color w:val="918585"/>
      <w:sz w:val="20"/>
    </w:rPr>
  </w:style>
  <w:style w:type="paragraph" w:styleId="Heading7">
    <w:name w:val="heading 7"/>
    <w:basedOn w:val="Normal"/>
    <w:next w:val="Normal"/>
    <w:link w:val="Heading7Char"/>
    <w:qFormat/>
    <w:rsid w:val="004B1E86"/>
    <w:pPr>
      <w:ind w:left="720"/>
      <w:outlineLvl w:val="6"/>
    </w:pPr>
    <w:rPr>
      <w:i/>
    </w:rPr>
  </w:style>
  <w:style w:type="paragraph" w:styleId="Heading8">
    <w:name w:val="heading 8"/>
    <w:basedOn w:val="Normal"/>
    <w:next w:val="Normal"/>
    <w:link w:val="Heading8Char"/>
    <w:qFormat/>
    <w:rsid w:val="004B1E86"/>
    <w:pPr>
      <w:ind w:left="720"/>
      <w:outlineLvl w:val="7"/>
    </w:pPr>
    <w:rPr>
      <w:i/>
    </w:rPr>
  </w:style>
  <w:style w:type="paragraph" w:styleId="Heading9">
    <w:name w:val="heading 9"/>
    <w:basedOn w:val="Normal"/>
    <w:next w:val="Normal"/>
    <w:link w:val="Heading9Char"/>
    <w:qFormat/>
    <w:rsid w:val="004B1E86"/>
    <w:pPr>
      <w:ind w:left="720"/>
      <w:outlineLvl w:val="8"/>
    </w:pPr>
    <w:rPr>
      <w:i/>
    </w:rPr>
  </w:style>
  <w:style w:type="character" w:default="1" w:styleId="DefaultParagraphFont">
    <w:name w:val="Default Paragraph Font"/>
    <w:uiPriority w:val="1"/>
    <w:unhideWhenUsed/>
    <w:rsid w:val="004B1E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E86"/>
  </w:style>
  <w:style w:type="character" w:customStyle="1" w:styleId="Heading1Char">
    <w:name w:val="Heading 1 Char"/>
    <w:link w:val="Heading1"/>
    <w:rsid w:val="004B1E86"/>
    <w:rPr>
      <w:rFonts w:ascii="Times New Roman" w:eastAsia="Times New Roman" w:hAnsi="Times New Roman" w:cs="Times New Roman"/>
      <w:b/>
      <w:sz w:val="32"/>
      <w:szCs w:val="20"/>
      <w:lang w:eastAsia="en-US"/>
    </w:rPr>
  </w:style>
  <w:style w:type="paragraph" w:styleId="BodyText">
    <w:name w:val="Body Text"/>
    <w:basedOn w:val="Normal"/>
    <w:link w:val="BodyTextChar"/>
    <w:rsid w:val="004B1E86"/>
    <w:pPr>
      <w:spacing w:before="120" w:after="120"/>
      <w:contextualSpacing/>
    </w:pPr>
    <w:rPr>
      <w:rFonts w:ascii="Times New Roman" w:hAnsi="Times New Roman"/>
      <w:sz w:val="24"/>
      <w:szCs w:val="22"/>
    </w:rPr>
  </w:style>
  <w:style w:type="character" w:customStyle="1" w:styleId="BodyTextChar">
    <w:name w:val="Body Text Char"/>
    <w:link w:val="BodyText"/>
    <w:rsid w:val="004B1E86"/>
    <w:rPr>
      <w:rFonts w:ascii="Times New Roman" w:eastAsia="Times New Roman" w:hAnsi="Times New Roman" w:cs="Times New Roman"/>
      <w:sz w:val="24"/>
      <w:lang w:val="en-US" w:eastAsia="en-US"/>
    </w:rPr>
  </w:style>
  <w:style w:type="paragraph" w:styleId="Footer">
    <w:name w:val="footer"/>
    <w:basedOn w:val="Normal"/>
    <w:link w:val="FooterChar"/>
    <w:rsid w:val="004B1E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1E86"/>
    <w:rPr>
      <w:rFonts w:ascii="Times New Roman" w:eastAsia="Times New Roman" w:hAnsi="Times New Roman" w:cs="Times New Roman"/>
      <w:sz w:val="16"/>
      <w:lang w:val="en-US" w:eastAsia="en-US"/>
    </w:rPr>
  </w:style>
  <w:style w:type="paragraph" w:styleId="List">
    <w:name w:val="List"/>
    <w:basedOn w:val="BodyText"/>
    <w:next w:val="BodyText"/>
    <w:rsid w:val="004B1E86"/>
    <w:pPr>
      <w:tabs>
        <w:tab w:val="left" w:pos="340"/>
      </w:tabs>
      <w:spacing w:before="60" w:after="60"/>
      <w:ind w:left="340" w:hanging="340"/>
    </w:pPr>
  </w:style>
  <w:style w:type="paragraph" w:styleId="ListBullet">
    <w:name w:val="List Bullet"/>
    <w:basedOn w:val="List"/>
    <w:rsid w:val="004B1E86"/>
    <w:pPr>
      <w:numPr>
        <w:numId w:val="13"/>
      </w:numPr>
      <w:tabs>
        <w:tab w:val="clear" w:pos="340"/>
      </w:tabs>
      <w:spacing w:before="40" w:after="40"/>
    </w:pPr>
  </w:style>
  <w:style w:type="character" w:customStyle="1" w:styleId="SpecialBold">
    <w:name w:val="Special Bold"/>
    <w:rsid w:val="004B1E86"/>
    <w:rPr>
      <w:b/>
      <w:spacing w:val="0"/>
    </w:rPr>
  </w:style>
  <w:style w:type="paragraph" w:styleId="ListBullet2">
    <w:name w:val="List Bullet 2"/>
    <w:basedOn w:val="List2"/>
    <w:rsid w:val="004B1E86"/>
    <w:pPr>
      <w:numPr>
        <w:numId w:val="14"/>
      </w:numPr>
      <w:tabs>
        <w:tab w:val="clear" w:pos="680"/>
      </w:tabs>
    </w:pPr>
  </w:style>
  <w:style w:type="paragraph" w:styleId="Header">
    <w:name w:val="header"/>
    <w:basedOn w:val="Normal"/>
    <w:link w:val="HeaderChar"/>
    <w:rsid w:val="004B1E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1E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1E86"/>
    <w:pPr>
      <w:spacing w:before="240" w:after="120"/>
      <w:outlineLvl w:val="0"/>
    </w:pPr>
    <w:rPr>
      <w:rFonts w:ascii="Times New Roman" w:hAnsi="Times New Roman"/>
      <w:b/>
      <w:sz w:val="28"/>
    </w:rPr>
  </w:style>
  <w:style w:type="paragraph" w:customStyle="1" w:styleId="AllowPageBreak">
    <w:name w:val="AllowPageBreak"/>
    <w:rsid w:val="004B1E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1E86"/>
    <w:rPr>
      <w:b/>
      <w:i/>
      <w:u w:val="none"/>
    </w:rPr>
  </w:style>
  <w:style w:type="character" w:customStyle="1" w:styleId="Heading2Char">
    <w:name w:val="Heading 2 Char"/>
    <w:link w:val="Heading2"/>
    <w:rsid w:val="004B1E86"/>
    <w:rPr>
      <w:rFonts w:ascii="Times New Roman" w:eastAsia="Times New Roman" w:hAnsi="Times New Roman" w:cs="Times New Roman"/>
      <w:b/>
      <w:sz w:val="28"/>
      <w:szCs w:val="40"/>
      <w:lang w:eastAsia="en-US"/>
    </w:rPr>
  </w:style>
  <w:style w:type="character" w:customStyle="1" w:styleId="Heading3Char">
    <w:name w:val="Heading 3 Char"/>
    <w:link w:val="Heading3"/>
    <w:rsid w:val="004B1E8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1E86"/>
    <w:rPr>
      <w:rFonts w:ascii="Times New Roman" w:eastAsia="Times New Roman" w:hAnsi="Times New Roman" w:cs="Times New Roman"/>
      <w:b/>
      <w:szCs w:val="20"/>
      <w:lang w:eastAsia="en-US"/>
    </w:rPr>
  </w:style>
  <w:style w:type="character" w:customStyle="1" w:styleId="Heading5Char">
    <w:name w:val="Heading 5 Char"/>
    <w:link w:val="Heading5"/>
    <w:rsid w:val="004B1E8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1E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E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1E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1E86"/>
    <w:rPr>
      <w:rFonts w:ascii="Courier New" w:eastAsia="Times New Roman" w:hAnsi="Courier New" w:cs="Times New Roman"/>
      <w:i/>
      <w:szCs w:val="20"/>
      <w:lang w:val="en-US" w:eastAsia="en-US"/>
    </w:rPr>
  </w:style>
  <w:style w:type="paragraph" w:customStyle="1" w:styleId="HeadingBase">
    <w:name w:val="Heading Base"/>
    <w:rsid w:val="004B1E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E86"/>
    <w:pPr>
      <w:tabs>
        <w:tab w:val="right" w:leader="dot" w:pos="9072"/>
      </w:tabs>
      <w:ind w:left="567"/>
    </w:pPr>
    <w:rPr>
      <w:szCs w:val="22"/>
    </w:rPr>
  </w:style>
  <w:style w:type="paragraph" w:customStyle="1" w:styleId="TOCBase">
    <w:name w:val="TOC Base"/>
    <w:rsid w:val="004B1E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E86"/>
    <w:pPr>
      <w:tabs>
        <w:tab w:val="right" w:leader="dot" w:pos="9072"/>
      </w:tabs>
      <w:spacing w:before="40" w:after="40"/>
      <w:ind w:left="284"/>
    </w:pPr>
    <w:rPr>
      <w:rFonts w:ascii="Times New Roman" w:hAnsi="Times New Roman"/>
    </w:rPr>
  </w:style>
  <w:style w:type="paragraph" w:styleId="TOC1">
    <w:name w:val="toc 1"/>
    <w:basedOn w:val="TOCBase"/>
    <w:next w:val="Normal"/>
    <w:rsid w:val="004B1E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1E86"/>
    <w:pPr>
      <w:spacing w:before="5040"/>
      <w:jc w:val="center"/>
    </w:pPr>
    <w:rPr>
      <w:sz w:val="48"/>
      <w:szCs w:val="72"/>
      <w:lang w:val="en-US"/>
    </w:rPr>
  </w:style>
  <w:style w:type="character" w:customStyle="1" w:styleId="TitleChar">
    <w:name w:val="Title Char"/>
    <w:link w:val="Title"/>
    <w:rsid w:val="004B1E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E86"/>
    <w:pPr>
      <w:tabs>
        <w:tab w:val="left" w:pos="3600"/>
        <w:tab w:val="left" w:pos="3958"/>
      </w:tabs>
    </w:pPr>
  </w:style>
  <w:style w:type="paragraph" w:customStyle="1" w:styleId="Note">
    <w:name w:val="Note"/>
    <w:basedOn w:val="BodyText"/>
    <w:rsid w:val="004B1E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E86"/>
    <w:pPr>
      <w:framePr w:wrap="auto" w:hAnchor="text" w:y="6049"/>
    </w:pPr>
    <w:rPr>
      <w:color w:val="000000"/>
      <w:sz w:val="40"/>
    </w:rPr>
  </w:style>
  <w:style w:type="paragraph" w:customStyle="1" w:styleId="TOCTitle">
    <w:name w:val="TOCTitle"/>
    <w:basedOn w:val="Heading1"/>
    <w:rsid w:val="004B1E86"/>
    <w:pPr>
      <w:spacing w:after="240"/>
      <w:jc w:val="center"/>
      <w:outlineLvl w:val="9"/>
    </w:pPr>
    <w:rPr>
      <w:caps/>
    </w:rPr>
  </w:style>
  <w:style w:type="paragraph" w:customStyle="1" w:styleId="Version">
    <w:name w:val="Version"/>
    <w:rsid w:val="004B1E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E86"/>
    <w:pPr>
      <w:keepNext w:val="0"/>
      <w:tabs>
        <w:tab w:val="right" w:pos="4176"/>
      </w:tabs>
      <w:ind w:left="198" w:hanging="198"/>
    </w:pPr>
    <w:rPr>
      <w:rFonts w:ascii="Garamond" w:hAnsi="Garamond"/>
    </w:rPr>
  </w:style>
  <w:style w:type="paragraph" w:styleId="IndexHeading">
    <w:name w:val="index heading"/>
    <w:basedOn w:val="Normal"/>
    <w:next w:val="Index1"/>
    <w:semiHidden/>
    <w:rsid w:val="004B1E86"/>
    <w:pPr>
      <w:spacing w:before="120" w:after="120"/>
    </w:pPr>
    <w:rPr>
      <w:rFonts w:ascii="Arial" w:hAnsi="Arial"/>
      <w:b/>
      <w:color w:val="918585"/>
      <w:sz w:val="24"/>
    </w:rPr>
  </w:style>
  <w:style w:type="paragraph" w:customStyle="1" w:styleId="Chapter">
    <w:name w:val="Chapter"/>
    <w:basedOn w:val="Normal"/>
    <w:rsid w:val="004B1E86"/>
    <w:pPr>
      <w:spacing w:before="240"/>
    </w:pPr>
    <w:rPr>
      <w:rFonts w:ascii="Times New Roman" w:hAnsi="Times New Roman"/>
      <w:smallCaps/>
      <w:spacing w:val="80"/>
      <w:sz w:val="28"/>
    </w:rPr>
  </w:style>
  <w:style w:type="paragraph" w:customStyle="1" w:styleId="InChapter">
    <w:name w:val="InChapter"/>
    <w:basedOn w:val="Heading3"/>
    <w:rsid w:val="004B1E86"/>
    <w:pPr>
      <w:spacing w:after="240"/>
      <w:outlineLvl w:val="9"/>
    </w:pPr>
    <w:rPr>
      <w:noProof/>
    </w:rPr>
  </w:style>
  <w:style w:type="paragraph" w:styleId="Index2">
    <w:name w:val="index 2"/>
    <w:basedOn w:val="Normal"/>
    <w:next w:val="Normal"/>
    <w:semiHidden/>
    <w:rsid w:val="004B1E86"/>
    <w:pPr>
      <w:tabs>
        <w:tab w:val="right" w:pos="4176"/>
      </w:tabs>
      <w:ind w:left="568" w:hanging="284"/>
    </w:pPr>
    <w:rPr>
      <w:rFonts w:ascii="Garamond" w:hAnsi="Garamond"/>
    </w:rPr>
  </w:style>
  <w:style w:type="paragraph" w:customStyle="1" w:styleId="Byline">
    <w:name w:val="Byline"/>
    <w:rsid w:val="004B1E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E86"/>
    <w:pPr>
      <w:tabs>
        <w:tab w:val="clear" w:pos="3600"/>
        <w:tab w:val="clear" w:pos="3958"/>
      </w:tabs>
      <w:jc w:val="right"/>
    </w:pPr>
  </w:style>
  <w:style w:type="character" w:styleId="Emphasis">
    <w:name w:val="Emphasis"/>
    <w:qFormat/>
    <w:rsid w:val="004B1E86"/>
    <w:rPr>
      <w:i/>
    </w:rPr>
  </w:style>
  <w:style w:type="paragraph" w:styleId="Caption">
    <w:name w:val="caption"/>
    <w:basedOn w:val="BodyText"/>
    <w:next w:val="Normal"/>
    <w:qFormat/>
    <w:rsid w:val="004B1E86"/>
    <w:pPr>
      <w:framePr w:w="2268" w:hSpace="181" w:vSpace="181" w:wrap="around" w:vAnchor="text" w:hAnchor="page" w:x="1135" w:y="285" w:anchorLock="1"/>
    </w:pPr>
    <w:rPr>
      <w:i/>
    </w:rPr>
  </w:style>
  <w:style w:type="paragraph" w:customStyle="1" w:styleId="MiniTOCTitle">
    <w:name w:val="MiniTOCTitle"/>
    <w:basedOn w:val="Heading4"/>
    <w:rsid w:val="004B1E86"/>
    <w:pPr>
      <w:spacing w:before="240"/>
      <w:outlineLvl w:val="9"/>
    </w:pPr>
    <w:rPr>
      <w:noProof/>
      <w:sz w:val="24"/>
    </w:rPr>
  </w:style>
  <w:style w:type="paragraph" w:customStyle="1" w:styleId="MiniTOCItem">
    <w:name w:val="MiniTOCItem"/>
    <w:basedOn w:val="ListBullet"/>
    <w:rsid w:val="004B1E86"/>
    <w:pPr>
      <w:numPr>
        <w:numId w:val="0"/>
      </w:numPr>
      <w:tabs>
        <w:tab w:val="right" w:leader="dot" w:pos="6521"/>
      </w:tabs>
      <w:spacing w:before="0" w:after="0"/>
    </w:pPr>
  </w:style>
  <w:style w:type="paragraph" w:customStyle="1" w:styleId="TOFTitle">
    <w:name w:val="TOFTitle"/>
    <w:basedOn w:val="TOCTitle"/>
    <w:rsid w:val="004B1E86"/>
  </w:style>
  <w:style w:type="paragraph" w:styleId="TableofFigures">
    <w:name w:val="table of figures"/>
    <w:basedOn w:val="Normal"/>
    <w:next w:val="Normal"/>
    <w:semiHidden/>
    <w:rsid w:val="004B1E86"/>
    <w:pPr>
      <w:tabs>
        <w:tab w:val="right" w:leader="dot" w:pos="9072"/>
      </w:tabs>
      <w:ind w:left="970" w:hanging="403"/>
    </w:pPr>
    <w:rPr>
      <w:rFonts w:ascii="Times New Roman" w:hAnsi="Times New Roman"/>
      <w:b/>
    </w:rPr>
  </w:style>
  <w:style w:type="paragraph" w:styleId="ListNumber">
    <w:name w:val="List Number"/>
    <w:basedOn w:val="List"/>
    <w:rsid w:val="004B1E86"/>
    <w:pPr>
      <w:numPr>
        <w:numId w:val="11"/>
      </w:numPr>
    </w:pPr>
  </w:style>
  <w:style w:type="character" w:customStyle="1" w:styleId="WingdingSymbols">
    <w:name w:val="Wingding Symbols"/>
    <w:rsid w:val="004B1E86"/>
    <w:rPr>
      <w:rFonts w:ascii="Wingdings" w:hAnsi="Wingdings"/>
    </w:rPr>
  </w:style>
  <w:style w:type="paragraph" w:customStyle="1" w:styleId="TableHeading">
    <w:name w:val="Table Heading"/>
    <w:basedOn w:val="HeadingBase"/>
    <w:rsid w:val="004B1E86"/>
    <w:pPr>
      <w:keepLines/>
      <w:pBdr>
        <w:bottom w:val="single" w:sz="6" w:space="1" w:color="918585"/>
      </w:pBdr>
      <w:spacing w:before="240"/>
    </w:pPr>
  </w:style>
  <w:style w:type="character" w:customStyle="1" w:styleId="HotSpot">
    <w:name w:val="HotSpot"/>
    <w:rsid w:val="004B1E86"/>
    <w:rPr>
      <w:color w:val="0033CC"/>
      <w:u w:val="none"/>
    </w:rPr>
  </w:style>
  <w:style w:type="paragraph" w:customStyle="1" w:styleId="BodyTextRight">
    <w:name w:val="Body Text Right"/>
    <w:basedOn w:val="BodyText"/>
    <w:rsid w:val="004B1E86"/>
    <w:pPr>
      <w:spacing w:before="0" w:after="0"/>
      <w:jc w:val="right"/>
    </w:pPr>
  </w:style>
  <w:style w:type="paragraph" w:styleId="Index3">
    <w:name w:val="index 3"/>
    <w:basedOn w:val="ListNumber2"/>
    <w:next w:val="Normal"/>
    <w:semiHidden/>
    <w:rsid w:val="004B1E86"/>
    <w:pPr>
      <w:numPr>
        <w:numId w:val="0"/>
      </w:numPr>
      <w:tabs>
        <w:tab w:val="right" w:leader="dot" w:pos="4176"/>
      </w:tabs>
    </w:pPr>
  </w:style>
  <w:style w:type="paragraph" w:styleId="ListNumber2">
    <w:name w:val="List Number 2"/>
    <w:basedOn w:val="List2"/>
    <w:rsid w:val="004B1E86"/>
    <w:pPr>
      <w:numPr>
        <w:numId w:val="10"/>
      </w:numPr>
      <w:tabs>
        <w:tab w:val="clear" w:pos="1060"/>
      </w:tabs>
    </w:pPr>
  </w:style>
  <w:style w:type="paragraph" w:customStyle="1" w:styleId="MarginNote">
    <w:name w:val="Margin Note"/>
    <w:basedOn w:val="BodyText"/>
    <w:rsid w:val="004B1E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E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1E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1E86"/>
    <w:rPr>
      <w:sz w:val="32"/>
    </w:rPr>
  </w:style>
  <w:style w:type="paragraph" w:customStyle="1" w:styleId="HeadingProcedure">
    <w:name w:val="Heading Procedure"/>
    <w:basedOn w:val="HeadingBase"/>
    <w:next w:val="Normal"/>
    <w:rsid w:val="004B1E86"/>
    <w:pPr>
      <w:tabs>
        <w:tab w:val="left" w:pos="0"/>
      </w:tabs>
      <w:spacing w:before="120" w:after="60"/>
    </w:pPr>
    <w:rPr>
      <w:i/>
      <w:color w:val="918585"/>
      <w:sz w:val="22"/>
    </w:rPr>
  </w:style>
  <w:style w:type="paragraph" w:customStyle="1" w:styleId="TableBodyText">
    <w:name w:val="Table Body Text"/>
    <w:basedOn w:val="BodyText"/>
    <w:rsid w:val="004B1E86"/>
    <w:pPr>
      <w:spacing w:before="60" w:after="60"/>
    </w:pPr>
  </w:style>
  <w:style w:type="paragraph" w:styleId="ListContinue">
    <w:name w:val="List Continue"/>
    <w:basedOn w:val="List"/>
    <w:rsid w:val="004B1E86"/>
    <w:pPr>
      <w:ind w:firstLine="0"/>
    </w:pPr>
  </w:style>
  <w:style w:type="paragraph" w:customStyle="1" w:styleId="ListNote">
    <w:name w:val="List Note"/>
    <w:basedOn w:val="List"/>
    <w:rsid w:val="004B1E86"/>
    <w:pPr>
      <w:pBdr>
        <w:top w:val="single" w:sz="6" w:space="2" w:color="918585"/>
        <w:bottom w:val="single" w:sz="6" w:space="2" w:color="918585"/>
      </w:pBdr>
      <w:tabs>
        <w:tab w:val="left" w:pos="1021"/>
      </w:tabs>
      <w:ind w:firstLine="0"/>
    </w:pPr>
  </w:style>
  <w:style w:type="paragraph" w:customStyle="1" w:styleId="Warning">
    <w:name w:val="Warning"/>
    <w:basedOn w:val="BodyText"/>
    <w:rsid w:val="004B1E86"/>
    <w:pPr>
      <w:shd w:val="clear" w:color="auto" w:fill="D9D9D9"/>
      <w:tabs>
        <w:tab w:val="left" w:pos="992"/>
      </w:tabs>
      <w:ind w:left="119" w:right="119"/>
    </w:pPr>
    <w:rPr>
      <w:sz w:val="20"/>
    </w:rPr>
  </w:style>
  <w:style w:type="paragraph" w:customStyle="1" w:styleId="MarginIcons">
    <w:name w:val="Margin Icons"/>
    <w:basedOn w:val="BodyText"/>
    <w:rsid w:val="004B1E8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1E86"/>
    <w:rPr>
      <w:rFonts w:ascii="Courier New" w:hAnsi="Courier New"/>
    </w:rPr>
  </w:style>
  <w:style w:type="paragraph" w:customStyle="1" w:styleId="NoteBullet">
    <w:name w:val="Note Bullet"/>
    <w:basedOn w:val="Note"/>
    <w:rsid w:val="004B1E86"/>
    <w:pPr>
      <w:tabs>
        <w:tab w:val="clear" w:pos="680"/>
      </w:tabs>
      <w:spacing w:before="60" w:after="60"/>
    </w:pPr>
  </w:style>
  <w:style w:type="paragraph" w:customStyle="1" w:styleId="SubHeading2">
    <w:name w:val="SubHeading2"/>
    <w:basedOn w:val="HeadingBase"/>
    <w:rsid w:val="004B1E86"/>
    <w:pPr>
      <w:spacing w:before="240" w:after="60"/>
    </w:pPr>
    <w:rPr>
      <w:sz w:val="20"/>
    </w:rPr>
  </w:style>
  <w:style w:type="paragraph" w:customStyle="1" w:styleId="SubHeading1">
    <w:name w:val="SubHeading1"/>
    <w:basedOn w:val="HeadingBase"/>
    <w:rsid w:val="004B1E86"/>
    <w:pPr>
      <w:spacing w:before="240" w:after="60"/>
    </w:pPr>
    <w:rPr>
      <w:color w:val="918585"/>
      <w:sz w:val="22"/>
    </w:rPr>
  </w:style>
  <w:style w:type="paragraph" w:customStyle="1" w:styleId="SideHeading">
    <w:name w:val="Side Heading"/>
    <w:basedOn w:val="HeadingBase"/>
    <w:rsid w:val="004B1E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E86"/>
    <w:pPr>
      <w:numPr>
        <w:numId w:val="12"/>
      </w:numPr>
    </w:pPr>
  </w:style>
  <w:style w:type="paragraph" w:styleId="PlainText">
    <w:name w:val="Plain Text"/>
    <w:basedOn w:val="Normal"/>
    <w:link w:val="PlainTextChar"/>
    <w:rsid w:val="004B1E86"/>
    <w:rPr>
      <w:sz w:val="20"/>
    </w:rPr>
  </w:style>
  <w:style w:type="character" w:customStyle="1" w:styleId="PlainTextChar">
    <w:name w:val="Plain Text Char"/>
    <w:basedOn w:val="DefaultParagraphFont"/>
    <w:link w:val="PlainText"/>
    <w:rsid w:val="004B1E86"/>
    <w:rPr>
      <w:rFonts w:ascii="Courier New" w:eastAsia="Times New Roman" w:hAnsi="Courier New" w:cs="Times New Roman"/>
      <w:sz w:val="20"/>
      <w:szCs w:val="20"/>
      <w:lang w:val="en-US" w:eastAsia="en-US"/>
    </w:rPr>
  </w:style>
  <w:style w:type="character" w:customStyle="1" w:styleId="MenuOption">
    <w:name w:val="Menu Option"/>
    <w:rsid w:val="004B1E86"/>
    <w:rPr>
      <w:b/>
      <w:smallCaps/>
    </w:rPr>
  </w:style>
  <w:style w:type="paragraph" w:customStyle="1" w:styleId="TableListNumber">
    <w:name w:val="Table List Number"/>
    <w:basedOn w:val="ListNumber"/>
    <w:rsid w:val="004B1E86"/>
    <w:pPr>
      <w:numPr>
        <w:numId w:val="0"/>
      </w:numPr>
    </w:pPr>
  </w:style>
  <w:style w:type="paragraph" w:styleId="TOC4">
    <w:name w:val="toc 4"/>
    <w:basedOn w:val="TOCBase"/>
    <w:next w:val="Normal"/>
    <w:semiHidden/>
    <w:rsid w:val="004B1E86"/>
    <w:pPr>
      <w:tabs>
        <w:tab w:val="right" w:leader="dot" w:pos="9071"/>
      </w:tabs>
      <w:ind w:left="1701"/>
    </w:pPr>
  </w:style>
  <w:style w:type="paragraph" w:customStyle="1" w:styleId="ListAlpha">
    <w:name w:val="List Alpha"/>
    <w:basedOn w:val="List"/>
    <w:rsid w:val="004B1E86"/>
    <w:pPr>
      <w:numPr>
        <w:numId w:val="9"/>
      </w:numPr>
    </w:pPr>
  </w:style>
  <w:style w:type="paragraph" w:customStyle="1" w:styleId="ListAlpha2">
    <w:name w:val="List Alpha 2"/>
    <w:basedOn w:val="List2"/>
    <w:rsid w:val="004B1E86"/>
    <w:pPr>
      <w:numPr>
        <w:numId w:val="8"/>
      </w:numPr>
    </w:pPr>
  </w:style>
  <w:style w:type="paragraph" w:styleId="List2">
    <w:name w:val="List 2"/>
    <w:basedOn w:val="BodyText"/>
    <w:rsid w:val="004B1E86"/>
    <w:pPr>
      <w:tabs>
        <w:tab w:val="left" w:pos="680"/>
      </w:tabs>
      <w:spacing w:before="60" w:after="60"/>
      <w:ind w:left="680" w:hanging="340"/>
    </w:pPr>
  </w:style>
  <w:style w:type="paragraph" w:styleId="List3">
    <w:name w:val="List 3"/>
    <w:basedOn w:val="BodyText"/>
    <w:rsid w:val="004B1E86"/>
    <w:pPr>
      <w:tabs>
        <w:tab w:val="left" w:pos="1021"/>
      </w:tabs>
      <w:spacing w:before="60" w:after="60"/>
      <w:ind w:left="1020" w:hanging="340"/>
    </w:pPr>
  </w:style>
  <w:style w:type="paragraph" w:styleId="List4">
    <w:name w:val="List 4"/>
    <w:basedOn w:val="BodyText"/>
    <w:rsid w:val="004B1E86"/>
    <w:pPr>
      <w:tabs>
        <w:tab w:val="left" w:pos="1361"/>
      </w:tabs>
      <w:spacing w:before="60" w:after="60"/>
      <w:ind w:left="1361" w:hanging="340"/>
    </w:pPr>
  </w:style>
  <w:style w:type="paragraph" w:styleId="List5">
    <w:name w:val="List 5"/>
    <w:basedOn w:val="BodyText"/>
    <w:rsid w:val="004B1E86"/>
    <w:pPr>
      <w:tabs>
        <w:tab w:val="left" w:pos="1701"/>
      </w:tabs>
      <w:spacing w:before="60" w:after="60"/>
      <w:ind w:left="1701" w:hanging="340"/>
    </w:pPr>
  </w:style>
  <w:style w:type="paragraph" w:styleId="ListBullet3">
    <w:name w:val="List Bullet 3"/>
    <w:basedOn w:val="List3"/>
    <w:rsid w:val="004B1E86"/>
    <w:pPr>
      <w:numPr>
        <w:numId w:val="15"/>
      </w:numPr>
      <w:tabs>
        <w:tab w:val="clear" w:pos="1021"/>
      </w:tabs>
      <w:ind w:left="1037" w:hanging="357"/>
    </w:pPr>
  </w:style>
  <w:style w:type="paragraph" w:styleId="ListBullet4">
    <w:name w:val="List Bullet 4"/>
    <w:basedOn w:val="List4"/>
    <w:rsid w:val="004B1E86"/>
    <w:pPr>
      <w:numPr>
        <w:numId w:val="3"/>
      </w:numPr>
    </w:pPr>
  </w:style>
  <w:style w:type="paragraph" w:styleId="ListBullet5">
    <w:name w:val="List Bullet 5"/>
    <w:basedOn w:val="List5"/>
    <w:rsid w:val="004B1E86"/>
    <w:pPr>
      <w:numPr>
        <w:numId w:val="4"/>
      </w:numPr>
    </w:pPr>
  </w:style>
  <w:style w:type="paragraph" w:styleId="ListContinue2">
    <w:name w:val="List Continue 2"/>
    <w:basedOn w:val="List2"/>
    <w:rsid w:val="004B1E86"/>
    <w:pPr>
      <w:ind w:firstLine="0"/>
    </w:pPr>
  </w:style>
  <w:style w:type="paragraph" w:styleId="ListContinue3">
    <w:name w:val="List Continue 3"/>
    <w:basedOn w:val="List3"/>
    <w:rsid w:val="004B1E86"/>
    <w:pPr>
      <w:ind w:left="1021" w:firstLine="0"/>
    </w:pPr>
  </w:style>
  <w:style w:type="paragraph" w:styleId="ListContinue4">
    <w:name w:val="List Continue 4"/>
    <w:basedOn w:val="List4"/>
    <w:rsid w:val="004B1E86"/>
    <w:pPr>
      <w:ind w:firstLine="0"/>
    </w:pPr>
  </w:style>
  <w:style w:type="paragraph" w:styleId="ListContinue5">
    <w:name w:val="List Continue 5"/>
    <w:basedOn w:val="List5"/>
    <w:rsid w:val="004B1E86"/>
    <w:pPr>
      <w:ind w:firstLine="0"/>
    </w:pPr>
  </w:style>
  <w:style w:type="paragraph" w:styleId="ListNumber3">
    <w:name w:val="List Number 3"/>
    <w:basedOn w:val="List3"/>
    <w:rsid w:val="004B1E86"/>
    <w:pPr>
      <w:numPr>
        <w:numId w:val="5"/>
      </w:numPr>
    </w:pPr>
  </w:style>
  <w:style w:type="paragraph" w:styleId="ListNumber4">
    <w:name w:val="List Number 4"/>
    <w:basedOn w:val="List4"/>
    <w:rsid w:val="004B1E86"/>
    <w:pPr>
      <w:numPr>
        <w:numId w:val="6"/>
      </w:numPr>
    </w:pPr>
  </w:style>
  <w:style w:type="paragraph" w:styleId="ListNumber5">
    <w:name w:val="List Number 5"/>
    <w:basedOn w:val="List5"/>
    <w:rsid w:val="004B1E86"/>
    <w:pPr>
      <w:numPr>
        <w:numId w:val="7"/>
      </w:numPr>
    </w:pPr>
  </w:style>
  <w:style w:type="paragraph" w:styleId="BlockText">
    <w:name w:val="Block Text"/>
    <w:basedOn w:val="Normal"/>
    <w:rsid w:val="004B1E86"/>
    <w:pPr>
      <w:spacing w:after="120"/>
      <w:ind w:left="1440" w:right="1440"/>
    </w:pPr>
  </w:style>
  <w:style w:type="character" w:customStyle="1" w:styleId="Subscript">
    <w:name w:val="Subscript"/>
    <w:rsid w:val="004B1E86"/>
    <w:rPr>
      <w:sz w:val="16"/>
      <w:vertAlign w:val="subscript"/>
    </w:rPr>
  </w:style>
  <w:style w:type="character" w:customStyle="1" w:styleId="Superscript">
    <w:name w:val="Superscript"/>
    <w:rsid w:val="004B1E86"/>
    <w:rPr>
      <w:sz w:val="16"/>
      <w:vertAlign w:val="superscript"/>
    </w:rPr>
  </w:style>
  <w:style w:type="character" w:customStyle="1" w:styleId="Symbols">
    <w:name w:val="Symbols"/>
    <w:rsid w:val="004B1E86"/>
    <w:rPr>
      <w:rFonts w:ascii="Symbol" w:hAnsi="Symbol"/>
    </w:rPr>
  </w:style>
  <w:style w:type="character" w:customStyle="1" w:styleId="MenuOptions">
    <w:name w:val="Menu Options"/>
    <w:rsid w:val="004B1E86"/>
    <w:rPr>
      <w:rFonts w:ascii="Arial Narrow" w:hAnsi="Arial Narrow"/>
      <w:smallCaps/>
    </w:rPr>
  </w:style>
  <w:style w:type="character" w:customStyle="1" w:styleId="Buttons">
    <w:name w:val="Buttons"/>
    <w:rsid w:val="004B1E86"/>
    <w:rPr>
      <w:b/>
    </w:rPr>
  </w:style>
  <w:style w:type="character" w:customStyle="1" w:styleId="Underlined">
    <w:name w:val="Underlined"/>
    <w:rsid w:val="004B1E86"/>
    <w:rPr>
      <w:u w:val="single"/>
    </w:rPr>
  </w:style>
  <w:style w:type="paragraph" w:customStyle="1" w:styleId="TableBodyTextRight">
    <w:name w:val="Table Body Text Right"/>
    <w:basedOn w:val="TableBodyText"/>
    <w:rsid w:val="004B1E86"/>
    <w:pPr>
      <w:widowControl w:val="0"/>
      <w:autoSpaceDE w:val="0"/>
      <w:autoSpaceDN w:val="0"/>
      <w:adjustRightInd w:val="0"/>
      <w:jc w:val="right"/>
    </w:pPr>
    <w:rPr>
      <w:rFonts w:cs="Arial"/>
      <w:szCs w:val="18"/>
    </w:rPr>
  </w:style>
  <w:style w:type="paragraph" w:customStyle="1" w:styleId="CopyrightText">
    <w:name w:val="Copyright Text"/>
    <w:basedOn w:val="BodyText"/>
    <w:rsid w:val="004B1E86"/>
    <w:rPr>
      <w:sz w:val="18"/>
    </w:rPr>
  </w:style>
  <w:style w:type="paragraph" w:customStyle="1" w:styleId="BodySmallRight">
    <w:name w:val="Body Small Right"/>
    <w:basedOn w:val="BodyTextRight"/>
    <w:rsid w:val="004B1E86"/>
    <w:rPr>
      <w:sz w:val="18"/>
      <w:szCs w:val="18"/>
    </w:rPr>
  </w:style>
  <w:style w:type="paragraph" w:customStyle="1" w:styleId="MarginEdition">
    <w:name w:val="Margin Edition"/>
    <w:basedOn w:val="MarginNote"/>
    <w:rsid w:val="004B1E86"/>
    <w:pPr>
      <w:spacing w:before="0" w:after="0"/>
    </w:pPr>
    <w:rPr>
      <w:rFonts w:ascii="Times New Roman" w:hAnsi="Times New Roman"/>
      <w:color w:val="999999"/>
    </w:rPr>
  </w:style>
  <w:style w:type="paragraph" w:customStyle="1" w:styleId="Spacer">
    <w:name w:val="Spacer"/>
    <w:basedOn w:val="Normal"/>
    <w:rsid w:val="004B1E86"/>
    <w:rPr>
      <w:sz w:val="2"/>
      <w:szCs w:val="2"/>
    </w:rPr>
  </w:style>
  <w:style w:type="character" w:customStyle="1" w:styleId="Small">
    <w:name w:val="Small"/>
    <w:rsid w:val="004B1E86"/>
    <w:rPr>
      <w:sz w:val="16"/>
    </w:rPr>
  </w:style>
  <w:style w:type="paragraph" w:customStyle="1" w:styleId="WideTable">
    <w:name w:val="Wide Table"/>
    <w:basedOn w:val="Normal"/>
    <w:rsid w:val="004B1E86"/>
    <w:pPr>
      <w:ind w:left="-1418"/>
    </w:pPr>
    <w:rPr>
      <w:sz w:val="2"/>
      <w:szCs w:val="2"/>
    </w:rPr>
  </w:style>
  <w:style w:type="character" w:styleId="PageNumber">
    <w:name w:val="page number"/>
    <w:rsid w:val="004B1E86"/>
  </w:style>
  <w:style w:type="paragraph" w:styleId="Quote">
    <w:name w:val="Quote"/>
    <w:basedOn w:val="Heading1"/>
    <w:link w:val="QuoteChar"/>
    <w:qFormat/>
    <w:rsid w:val="004B1E86"/>
    <w:rPr>
      <w:b w:val="0"/>
      <w:sz w:val="72"/>
      <w:szCs w:val="72"/>
      <w:lang w:val="en-NZ"/>
    </w:rPr>
  </w:style>
  <w:style w:type="character" w:customStyle="1" w:styleId="QuoteChar">
    <w:name w:val="Quote Char"/>
    <w:link w:val="Quote"/>
    <w:rsid w:val="004B1E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E86"/>
    <w:pPr>
      <w:pageBreakBefore/>
    </w:pPr>
  </w:style>
  <w:style w:type="paragraph" w:customStyle="1" w:styleId="Border">
    <w:name w:val="Border"/>
    <w:basedOn w:val="Normal"/>
    <w:qFormat/>
    <w:rsid w:val="004B1E86"/>
    <w:pPr>
      <w:pBdr>
        <w:top w:val="single" w:sz="18" w:space="1" w:color="auto"/>
      </w:pBdr>
    </w:pPr>
    <w:rPr>
      <w:rFonts w:ascii="Times New Roman" w:hAnsi="Times New Roman"/>
      <w:color w:val="FFFFFF"/>
      <w:sz w:val="2"/>
    </w:rPr>
  </w:style>
  <w:style w:type="character" w:styleId="IntenseEmphasis">
    <w:name w:val="Intense Emphasis"/>
    <w:uiPriority w:val="21"/>
    <w:qFormat/>
    <w:rsid w:val="004B1E86"/>
    <w:rPr>
      <w:b/>
      <w:bCs/>
      <w:i/>
      <w:iCs/>
      <w:color w:val="auto"/>
    </w:rPr>
  </w:style>
  <w:style w:type="paragraph" w:styleId="IntenseQuote">
    <w:name w:val="Intense Quote"/>
    <w:basedOn w:val="Normal"/>
    <w:next w:val="Normal"/>
    <w:link w:val="IntenseQuoteChar"/>
    <w:uiPriority w:val="30"/>
    <w:qFormat/>
    <w:rsid w:val="004B1E8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1E86"/>
    <w:rPr>
      <w:rFonts w:ascii="Courier New" w:eastAsia="Times New Roman" w:hAnsi="Courier New" w:cs="Times New Roman"/>
      <w:b/>
      <w:bCs/>
      <w:i/>
      <w:iCs/>
      <w:szCs w:val="20"/>
      <w:lang w:val="en-US" w:eastAsia="en-US"/>
    </w:rPr>
  </w:style>
  <w:style w:type="character" w:styleId="SubtleReference">
    <w:name w:val="Subtle Reference"/>
    <w:uiPriority w:val="31"/>
    <w:qFormat/>
    <w:rsid w:val="004B1E86"/>
    <w:rPr>
      <w:smallCaps/>
      <w:color w:val="auto"/>
      <w:u w:val="single"/>
    </w:rPr>
  </w:style>
  <w:style w:type="character" w:styleId="IntenseReference">
    <w:name w:val="Intense Reference"/>
    <w:uiPriority w:val="32"/>
    <w:qFormat/>
    <w:rsid w:val="004B1E86"/>
    <w:rPr>
      <w:b/>
      <w:bCs/>
      <w:smallCaps/>
      <w:color w:val="auto"/>
      <w:spacing w:val="5"/>
      <w:u w:val="single"/>
    </w:rPr>
  </w:style>
  <w:style w:type="paragraph" w:customStyle="1" w:styleId="2ColumnHeading">
    <w:name w:val="2Column Heading"/>
    <w:basedOn w:val="BodyText"/>
    <w:qFormat/>
    <w:rsid w:val="004B1E86"/>
    <w:pPr>
      <w:spacing w:after="60"/>
      <w:ind w:left="-2268"/>
    </w:pPr>
    <w:rPr>
      <w:b/>
    </w:rPr>
  </w:style>
  <w:style w:type="paragraph" w:customStyle="1" w:styleId="Heading1TOC">
    <w:name w:val="Heading1 TOC"/>
    <w:basedOn w:val="Normal"/>
    <w:qFormat/>
    <w:rsid w:val="004B1E86"/>
    <w:pPr>
      <w:spacing w:before="240" w:after="120"/>
    </w:pPr>
    <w:rPr>
      <w:rFonts w:ascii="Times New Roman" w:hAnsi="Times New Roman"/>
      <w:b/>
      <w:sz w:val="32"/>
    </w:rPr>
  </w:style>
  <w:style w:type="paragraph" w:customStyle="1" w:styleId="Heading2TOC">
    <w:name w:val="Heading2 TOC"/>
    <w:basedOn w:val="Normal"/>
    <w:qFormat/>
    <w:rsid w:val="004B1E86"/>
    <w:pPr>
      <w:spacing w:before="240" w:after="60"/>
    </w:pPr>
    <w:rPr>
      <w:rFonts w:ascii="Times New Roman" w:hAnsi="Times New Roman"/>
      <w:b/>
      <w:sz w:val="28"/>
    </w:rPr>
  </w:style>
  <w:style w:type="character" w:customStyle="1" w:styleId="Underline">
    <w:name w:val="Underline"/>
    <w:qFormat/>
    <w:rsid w:val="004B1E86"/>
    <w:rPr>
      <w:u w:val="single"/>
    </w:rPr>
  </w:style>
  <w:style w:type="paragraph" w:styleId="BalloonText">
    <w:name w:val="Balloon Text"/>
    <w:basedOn w:val="Normal"/>
    <w:link w:val="BalloonTextChar"/>
    <w:rsid w:val="004B1E86"/>
    <w:rPr>
      <w:rFonts w:ascii="Tahoma" w:hAnsi="Tahoma" w:cs="Tahoma"/>
      <w:sz w:val="16"/>
      <w:szCs w:val="16"/>
    </w:rPr>
  </w:style>
  <w:style w:type="character" w:customStyle="1" w:styleId="BalloonTextChar">
    <w:name w:val="Balloon Text Char"/>
    <w:link w:val="BalloonText"/>
    <w:rsid w:val="004B1E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1E8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1E8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1953</Words>
  <Characters>12830</Characters>
  <Application>Microsoft Office Word</Application>
  <DocSecurity>0</DocSecurity>
  <Lines>438</Lines>
  <Paragraphs>258</Paragraphs>
  <ScaleCrop>false</ScaleCrop>
  <Company>Author-it Software Corporation Ltd.</Company>
  <LinksUpToDate>false</LinksUpToDate>
  <CharactersWithSpaces>14700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CPPDSM6005A Develop a property investment strategy</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2012-05-26T06:14:00Z</dcterms:created>
  <dcterms:modified xsi:type="dcterms:W3CDTF">2012-05-26T06:14:00Z</dcterms:modified>
</cp:coreProperties>
</file>