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5BD8" w:rsidP="00865BD8">
      <w:pPr>
        <w:pStyle w:val="Title"/>
      </w:pPr>
      <w:r>
        <w:fldChar w:fldCharType="begin"/>
      </w:r>
      <w:r>
        <w:instrText xml:space="preserve"> TITLE   \* MERGEFORMAT </w:instrText>
      </w:r>
      <w:r>
        <w:fldChar w:fldCharType="separate"/>
      </w:r>
      <w:r>
        <w:t>CPPDSM5034A Monitor performance of property or facility portfolio</w:t>
      </w:r>
      <w:r>
        <w:fldChar w:fldCharType="end"/>
      </w:r>
    </w:p>
    <w:p w:rsidR="00865BD8" w:rsidP="00865BD8">
      <w:pPr>
        <w:pStyle w:val="Version"/>
        <w:sectPr w:rsidSect="005476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76E7" w:rsidP="005476E7">
      <w:pPr>
        <w:pStyle w:val="SuperHeading"/>
      </w:pPr>
      <w:r w:rsidRPr="005476E7">
        <w:t>CPPDSM5034A Monitor performance of property or facility portfolio</w:t>
      </w:r>
    </w:p>
    <w:p w:rsidR="00000000" w:rsidRPr="005476E7" w:rsidP="005476E7">
      <w:pPr>
        <w:pStyle w:val="Heading1"/>
      </w:pPr>
      <w:bookmarkStart w:id="1" w:name="O_270139"/>
      <w:bookmarkEnd w:id="1"/>
      <w:r w:rsidRPr="005476E7">
        <w:t>Modification History</w:t>
      </w:r>
    </w:p>
    <w:p w:rsidR="00000000" w:rsidRPr="005476E7" w:rsidP="005476E7">
      <w:pPr>
        <w:pStyle w:val="BodyText"/>
      </w:pPr>
      <w:r w:rsidRPr="005476E7">
        <w:t>Not Applicable</w:t>
      </w:r>
    </w:p>
    <w:p w:rsidR="00000000" w:rsidRPr="005476E7" w:rsidP="005476E7">
      <w:pPr>
        <w:pStyle w:val="AllowPageBreak"/>
      </w:pPr>
    </w:p>
    <w:p w:rsidR="00000000" w:rsidRPr="005476E7" w:rsidP="005476E7">
      <w:pPr>
        <w:pStyle w:val="Heading1"/>
      </w:pPr>
      <w:bookmarkStart w:id="2" w:name="O_201474"/>
      <w:bookmarkEnd w:id="2"/>
      <w:r w:rsidRPr="005476E7">
        <w:t>Unit Descriptor</w:t>
      </w:r>
    </w:p>
    <w:tbl>
      <w:tblPr>
        <w:tblW w:w="0" w:type="auto"/>
        <w:tblLayout w:type="fixed"/>
        <w:tblCellMar>
          <w:left w:w="62" w:type="dxa"/>
          <w:right w:w="62" w:type="dxa"/>
        </w:tblCellMar>
        <w:tblLook w:val="0000"/>
      </w:tblPr>
      <w:tblGrid>
        <w:gridCol w:w="2754"/>
        <w:gridCol w:w="5768"/>
      </w:tblGrid>
      <w:tr w:rsidTr="00865BD8">
        <w:tblPrEx>
          <w:tblW w:w="0" w:type="auto"/>
          <w:tblLayout w:type="fixed"/>
          <w:tblCellMar>
            <w:left w:w="62" w:type="dxa"/>
            <w:right w:w="62" w:type="dxa"/>
          </w:tblCellMar>
          <w:tblLook w:val="0000"/>
        </w:tblPrEx>
        <w:tc>
          <w:tcPr>
            <w:tcW w:w="2754" w:type="dxa"/>
            <w:tcBorders>
              <w:top w:val="nil"/>
              <w:left w:val="nil"/>
              <w:bottom w:val="nil"/>
              <w:right w:val="nil"/>
            </w:tcBorders>
            <w:tcMar>
              <w:top w:w="0" w:type="dxa"/>
              <w:left w:w="62" w:type="dxa"/>
              <w:bottom w:w="0" w:type="dxa"/>
              <w:right w:w="62" w:type="dxa"/>
            </w:tcMar>
          </w:tcPr>
          <w:p w:rsidR="00000000" w:rsidP="005476E7">
            <w:pPr>
              <w:pStyle w:val="BodyText"/>
              <w:rPr>
                <w:lang w:val="en-NZ"/>
              </w:rPr>
            </w:pPr>
            <w:r w:rsidRPr="005476E7">
              <w:rPr>
                <w:rStyle w:val="SpecialBold"/>
              </w:rPr>
              <w:t>Unit descriptor</w:t>
            </w:r>
          </w:p>
        </w:tc>
        <w:tc>
          <w:tcPr>
            <w:tcW w:w="5768" w:type="dxa"/>
            <w:tcBorders>
              <w:top w:val="nil"/>
              <w:left w:val="nil"/>
              <w:bottom w:val="nil"/>
              <w:right w:val="nil"/>
            </w:tcBorders>
            <w:tcMar>
              <w:top w:w="0" w:type="dxa"/>
              <w:left w:w="62" w:type="dxa"/>
              <w:bottom w:w="0" w:type="dxa"/>
              <w:right w:w="62" w:type="dxa"/>
            </w:tcMar>
          </w:tcPr>
          <w:p w:rsidR="00000000" w:rsidRPr="005476E7" w:rsidP="005476E7">
            <w:pPr>
              <w:pStyle w:val="BodyText"/>
            </w:pPr>
            <w:r w:rsidRPr="005476E7">
              <w:t>This unit of competency specifies the outcomes required to monitor the ongoing perfor</w:t>
            </w:r>
            <w:r w:rsidRPr="005476E7">
              <w:t>mance of a property or facility portfolio. It requires the ability to provide advice and recommendations to the client based on an accurate analysis of investment performance.</w:t>
            </w:r>
          </w:p>
          <w:p w:rsidR="00000000" w:rsidRPr="005476E7" w:rsidP="005476E7">
            <w:pPr>
              <w:pStyle w:val="BodyText"/>
            </w:pPr>
            <w:r w:rsidRPr="005476E7">
              <w:t xml:space="preserve">The unit may form part of the licensing requirements for persons working in the </w:t>
            </w:r>
            <w:r w:rsidRPr="005476E7">
              <w:t>property industry, including in the real estate, business broking, stock and station agency and property operations and development sectors, in those States and Territories where these are regulated activities.</w:t>
            </w:r>
          </w:p>
        </w:tc>
      </w:tr>
    </w:tbl>
    <w:p w:rsidR="00865BD8" w:rsidP="005476E7">
      <w:pPr>
        <w:pStyle w:val="BodyText"/>
      </w:pPr>
    </w:p>
    <w:p w:rsidR="00865BD8" w:rsidP="005476E7">
      <w:pPr>
        <w:pStyle w:val="BodyText"/>
      </w:pPr>
    </w:p>
    <w:p w:rsidR="00000000" w:rsidRPr="005476E7" w:rsidP="005476E7">
      <w:pPr>
        <w:pStyle w:val="Heading1"/>
      </w:pPr>
      <w:bookmarkStart w:id="3" w:name="O_201477"/>
      <w:bookmarkEnd w:id="3"/>
      <w:r w:rsidRPr="005476E7">
        <w:t>Application of the Unit</w:t>
      </w:r>
    </w:p>
    <w:tbl>
      <w:tblPr>
        <w:tblW w:w="0" w:type="auto"/>
        <w:tblLayout w:type="fixed"/>
        <w:tblCellMar>
          <w:left w:w="62" w:type="dxa"/>
          <w:right w:w="62" w:type="dxa"/>
        </w:tblCellMar>
        <w:tblLook w:val="0000"/>
      </w:tblPr>
      <w:tblGrid>
        <w:gridCol w:w="2754"/>
        <w:gridCol w:w="5768"/>
      </w:tblGrid>
      <w:tr w:rsidTr="00865BD8">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5476E7">
            <w:pPr>
              <w:pStyle w:val="BodyText"/>
              <w:rPr>
                <w:lang w:val="en-NZ"/>
              </w:rPr>
            </w:pPr>
            <w:r w:rsidRPr="005476E7">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5476E7" w:rsidP="005476E7">
            <w:pPr>
              <w:pStyle w:val="BodyText"/>
            </w:pPr>
            <w:r w:rsidRPr="005476E7">
              <w:t>This unit of competency supports the work of those involved in monitoring the ongoing performance of a property or facility portfolio.</w:t>
            </w:r>
          </w:p>
        </w:tc>
      </w:tr>
    </w:tbl>
    <w:p w:rsidR="00865BD8" w:rsidP="005476E7">
      <w:pPr>
        <w:pStyle w:val="BodyText"/>
      </w:pPr>
    </w:p>
    <w:p w:rsidR="00865BD8" w:rsidP="005476E7">
      <w:pPr>
        <w:pStyle w:val="BodyText"/>
      </w:pPr>
    </w:p>
    <w:p w:rsidR="00000000" w:rsidRPr="005476E7" w:rsidP="005476E7">
      <w:pPr>
        <w:pStyle w:val="Heading1"/>
      </w:pPr>
      <w:bookmarkStart w:id="4" w:name="O_278399"/>
      <w:bookmarkEnd w:id="4"/>
      <w:r w:rsidRPr="005476E7">
        <w:t>Licensing/Regulatory Information</w:t>
      </w:r>
    </w:p>
    <w:p w:rsidR="00000000" w:rsidRPr="005476E7" w:rsidP="005476E7">
      <w:pPr>
        <w:pStyle w:val="BodyText"/>
      </w:pPr>
      <w:r w:rsidRPr="005476E7">
        <w:t>Refer to Unit Descriptor</w:t>
      </w:r>
    </w:p>
    <w:p w:rsidR="00000000" w:rsidRPr="005476E7" w:rsidP="005476E7">
      <w:pPr>
        <w:pStyle w:val="AllowPageBreak"/>
      </w:pPr>
    </w:p>
    <w:p w:rsidR="00000000" w:rsidRPr="005476E7" w:rsidP="005476E7">
      <w:pPr>
        <w:pStyle w:val="Heading1"/>
      </w:pPr>
      <w:bookmarkStart w:id="5" w:name="O_201476"/>
      <w:bookmarkEnd w:id="5"/>
      <w:r w:rsidRPr="005476E7">
        <w:t>Pre-Requisites</w:t>
      </w:r>
    </w:p>
    <w:tbl>
      <w:tblPr>
        <w:tblW w:w="0" w:type="auto"/>
        <w:tblLayout w:type="fixed"/>
        <w:tblCellMar>
          <w:left w:w="62" w:type="dxa"/>
          <w:right w:w="62" w:type="dxa"/>
        </w:tblCellMar>
        <w:tblLook w:val="0000"/>
      </w:tblPr>
      <w:tblGrid>
        <w:gridCol w:w="2754"/>
        <w:gridCol w:w="5768"/>
      </w:tblGrid>
      <w:tr w:rsidTr="00865BD8">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5476E7">
            <w:pPr>
              <w:pStyle w:val="BodyText"/>
              <w:rPr>
                <w:lang w:val="en-NZ"/>
              </w:rPr>
            </w:pPr>
            <w:r w:rsidRPr="005476E7">
              <w:rPr>
                <w:rStyle w:val="SpecialBold"/>
              </w:rPr>
              <w:t>Prerequisite units</w:t>
            </w:r>
          </w:p>
        </w:tc>
        <w:tc>
          <w:tcPr>
            <w:tcW w:w="5768" w:type="dxa"/>
            <w:tcBorders>
              <w:top w:val="nil"/>
              <w:left w:val="nil"/>
              <w:bottom w:val="nil"/>
              <w:right w:val="nil"/>
            </w:tcBorders>
            <w:tcMar>
              <w:top w:w="0" w:type="dxa"/>
              <w:left w:w="62" w:type="dxa"/>
              <w:bottom w:w="0" w:type="dxa"/>
              <w:right w:w="62" w:type="dxa"/>
            </w:tcMar>
          </w:tcPr>
          <w:p w:rsidR="00000000" w:rsidRPr="005476E7" w:rsidP="005476E7">
            <w:pPr>
              <w:pStyle w:val="BodyText"/>
            </w:pPr>
            <w:r w:rsidRPr="005476E7">
              <w:t>Nil</w:t>
            </w:r>
          </w:p>
        </w:tc>
      </w:tr>
    </w:tbl>
    <w:p w:rsidR="00865BD8" w:rsidP="005476E7">
      <w:pPr>
        <w:pStyle w:val="BodyText"/>
      </w:pPr>
    </w:p>
    <w:p w:rsidR="00865BD8" w:rsidP="005476E7">
      <w:pPr>
        <w:pStyle w:val="BodyText"/>
      </w:pPr>
    </w:p>
    <w:p w:rsidR="00000000" w:rsidRPr="005476E7" w:rsidP="005476E7">
      <w:pPr>
        <w:pStyle w:val="Heading1"/>
      </w:pPr>
      <w:bookmarkStart w:id="6" w:name="O_201475"/>
      <w:bookmarkEnd w:id="6"/>
      <w:r w:rsidRPr="005476E7">
        <w:t>Employability Skills Information</w:t>
      </w:r>
    </w:p>
    <w:tbl>
      <w:tblPr>
        <w:tblW w:w="0" w:type="auto"/>
        <w:tblLayout w:type="fixed"/>
        <w:tblCellMar>
          <w:left w:w="62" w:type="dxa"/>
          <w:right w:w="62" w:type="dxa"/>
        </w:tblCellMar>
        <w:tblLook w:val="0000"/>
      </w:tblPr>
      <w:tblGrid>
        <w:gridCol w:w="2754"/>
        <w:gridCol w:w="5768"/>
      </w:tblGrid>
      <w:tr w:rsidTr="00865BD8">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5476E7">
            <w:pPr>
              <w:pStyle w:val="BodyText"/>
              <w:rPr>
                <w:lang w:val="en-NZ"/>
              </w:rPr>
            </w:pPr>
            <w:r w:rsidRPr="005476E7">
              <w:rPr>
                <w:rStyle w:val="SpecialBold"/>
              </w:rPr>
              <w:t>Employability skills</w:t>
            </w:r>
          </w:p>
        </w:tc>
        <w:tc>
          <w:tcPr>
            <w:tcW w:w="5768" w:type="dxa"/>
            <w:tcBorders>
              <w:top w:val="nil"/>
              <w:left w:val="nil"/>
              <w:bottom w:val="nil"/>
              <w:right w:val="nil"/>
            </w:tcBorders>
            <w:tcMar>
              <w:top w:w="0" w:type="dxa"/>
              <w:left w:w="62" w:type="dxa"/>
              <w:bottom w:w="0" w:type="dxa"/>
              <w:right w:w="62" w:type="dxa"/>
            </w:tcMar>
          </w:tcPr>
          <w:p w:rsidR="00000000" w:rsidRPr="005476E7" w:rsidP="005476E7">
            <w:pPr>
              <w:pStyle w:val="BodyText"/>
            </w:pPr>
            <w:r w:rsidRPr="005476E7">
              <w:t xml:space="preserve">The required outcomes described in this unit of competency contain applicable facets of employability skills. The Employability Skills Summary </w:t>
            </w:r>
            <w:r w:rsidRPr="005476E7">
              <w:t>of the qualification in which this unit of competency is packaged, will assist in identifying employability skills requirements.</w:t>
            </w:r>
          </w:p>
        </w:tc>
      </w:tr>
    </w:tbl>
    <w:p w:rsidR="00865BD8" w:rsidP="005476E7">
      <w:pPr>
        <w:pStyle w:val="BodyText"/>
      </w:pPr>
    </w:p>
    <w:p w:rsidR="00865BD8" w:rsidP="005476E7">
      <w:pPr>
        <w:pStyle w:val="BodyText"/>
      </w:pPr>
    </w:p>
    <w:p w:rsidR="00000000" w:rsidRPr="005476E7" w:rsidP="005476E7">
      <w:pPr>
        <w:pStyle w:val="Heading1"/>
      </w:pPr>
      <w:bookmarkStart w:id="7" w:name="O_288185"/>
      <w:bookmarkEnd w:id="7"/>
      <w:r w:rsidRPr="005476E7">
        <w:t>Elements and Performance Criteria Pre-Content</w:t>
      </w:r>
    </w:p>
    <w:tbl>
      <w:tblPr>
        <w:tblW w:w="0" w:type="auto"/>
        <w:tblLayout w:type="fixed"/>
        <w:tblCellMar>
          <w:left w:w="62" w:type="dxa"/>
          <w:right w:w="62" w:type="dxa"/>
        </w:tblCellMar>
        <w:tblLook w:val="0000"/>
      </w:tblPr>
      <w:tblGrid>
        <w:gridCol w:w="2800"/>
        <w:gridCol w:w="5955"/>
      </w:tblGrid>
      <w:tr w:rsidTr="00865BD8">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5476E7">
            <w:pPr>
              <w:pStyle w:val="BodyText"/>
              <w:rPr>
                <w:lang w:val="en-NZ"/>
              </w:rPr>
            </w:pPr>
            <w:r w:rsidRPr="005476E7">
              <w:t>Elements describe the essential outcomes of a unit of compete</w:t>
            </w:r>
            <w:r w:rsidRPr="005476E7">
              <w:t>ncy.</w:t>
            </w:r>
          </w:p>
        </w:tc>
        <w:tc>
          <w:tcPr>
            <w:tcW w:w="5955" w:type="dxa"/>
            <w:tcBorders>
              <w:top w:val="nil"/>
              <w:left w:val="nil"/>
              <w:bottom w:val="nil"/>
              <w:right w:val="nil"/>
            </w:tcBorders>
            <w:tcMar>
              <w:top w:w="0" w:type="dxa"/>
              <w:left w:w="62" w:type="dxa"/>
              <w:bottom w:w="0" w:type="dxa"/>
              <w:right w:w="62" w:type="dxa"/>
            </w:tcMar>
          </w:tcPr>
          <w:p w:rsidR="00000000" w:rsidRPr="005476E7" w:rsidP="005476E7">
            <w:pPr>
              <w:pStyle w:val="BodyText"/>
            </w:pPr>
            <w:r w:rsidRPr="005476E7">
              <w:t xml:space="preserve">Performance criteria describe the required performance needed to demonstrate achievement of the element. Where </w:t>
            </w:r>
            <w:r w:rsidRPr="005476E7">
              <w:rPr>
                <w:rStyle w:val="BoldandItalics"/>
              </w:rPr>
              <w:t>bold italicised</w:t>
            </w:r>
            <w:r w:rsidRPr="005476E7">
              <w:t xml:space="preserve"> text is used, further information is detailed in the required skills and knowledge and/or the range statement. Assessment of</w:t>
            </w:r>
            <w:r w:rsidRPr="005476E7">
              <w:t xml:space="preserve"> performance is to be consistent with the evidence guide.</w:t>
            </w:r>
          </w:p>
        </w:tc>
      </w:tr>
    </w:tbl>
    <w:p w:rsidR="00000000" w:rsidRPr="005476E7" w:rsidP="005476E7">
      <w:pPr>
        <w:pStyle w:val="BodyText"/>
      </w:pPr>
    </w:p>
    <w:p w:rsidR="00000000" w:rsidRPr="005476E7" w:rsidP="005476E7">
      <w:pPr>
        <w:pStyle w:val="AllowPageBreak"/>
      </w:pPr>
    </w:p>
    <w:p w:rsidR="00000000" w:rsidRPr="005476E7" w:rsidP="005476E7">
      <w:pPr>
        <w:pStyle w:val="Heading1"/>
      </w:pPr>
      <w:bookmarkStart w:id="8" w:name="O_234852"/>
      <w:bookmarkEnd w:id="8"/>
      <w:r w:rsidRPr="005476E7">
        <w:t>Elements and Performance Criteria</w:t>
      </w:r>
    </w:p>
    <w:tbl>
      <w:tblPr>
        <w:tblW w:w="0" w:type="auto"/>
        <w:tblLayout w:type="fixed"/>
        <w:tblCellMar>
          <w:left w:w="62" w:type="dxa"/>
          <w:right w:w="62" w:type="dxa"/>
        </w:tblCellMar>
        <w:tblLook w:val="0000"/>
      </w:tblPr>
      <w:tblGrid>
        <w:gridCol w:w="2790"/>
        <w:gridCol w:w="18"/>
        <w:gridCol w:w="5922"/>
        <w:gridCol w:w="25"/>
      </w:tblGrid>
      <w:tr w:rsidTr="00865BD8">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5476E7" w:rsidP="005476E7">
            <w:pPr>
              <w:pStyle w:val="List"/>
            </w:pPr>
            <w:r w:rsidRPr="005476E7">
              <w:rPr>
                <w:rStyle w:val="SpecialBold"/>
              </w:rPr>
              <w:t>ELEMENT</w:t>
            </w:r>
          </w:p>
        </w:tc>
        <w:tc>
          <w:tcPr>
            <w:tcW w:w="5947" w:type="dxa"/>
            <w:gridSpan w:val="2"/>
            <w:tcBorders>
              <w:top w:val="nil"/>
              <w:left w:val="nil"/>
              <w:bottom w:val="nil"/>
              <w:right w:val="nil"/>
            </w:tcBorders>
            <w:tcMar>
              <w:top w:w="0" w:type="dxa"/>
              <w:left w:w="62" w:type="dxa"/>
              <w:bottom w:w="0" w:type="dxa"/>
              <w:right w:w="62" w:type="dxa"/>
            </w:tcMar>
          </w:tcPr>
          <w:p w:rsidR="00000000" w:rsidP="005476E7">
            <w:pPr>
              <w:pStyle w:val="List"/>
              <w:rPr>
                <w:lang w:val="en-NZ"/>
              </w:rPr>
            </w:pPr>
            <w:r w:rsidRPr="005476E7">
              <w:rPr>
                <w:rStyle w:val="SpecialBold"/>
              </w:rPr>
              <w:t>PERFORMANCE CRITERIA</w:t>
            </w:r>
          </w:p>
        </w:tc>
      </w:tr>
      <w:tr w:rsidTr="00865BD8">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5476E7">
            <w:pPr>
              <w:pStyle w:val="List"/>
              <w:rPr>
                <w:lang w:val="en-NZ"/>
              </w:rPr>
            </w:pPr>
            <w:r w:rsidRPr="005476E7">
              <w:rPr>
                <w:rStyle w:val="SpecialBold"/>
              </w:rPr>
              <w:t>1</w:t>
            </w:r>
            <w:r w:rsidRPr="005476E7">
              <w:tab/>
            </w:r>
            <w:r w:rsidRPr="005476E7">
              <w:rPr>
                <w:rStyle w:val="SpecialBold"/>
              </w:rPr>
              <w:t>Determine performance requirements</w:t>
            </w:r>
            <w:r w:rsidRPr="005476E7">
              <w:t>.</w:t>
            </w:r>
          </w:p>
        </w:tc>
        <w:tc>
          <w:tcPr>
            <w:tcW w:w="5940" w:type="dxa"/>
            <w:gridSpan w:val="2"/>
            <w:tcBorders>
              <w:top w:val="nil"/>
              <w:left w:val="nil"/>
              <w:bottom w:val="nil"/>
              <w:right w:val="nil"/>
            </w:tcBorders>
            <w:tcMar>
              <w:top w:w="0" w:type="dxa"/>
              <w:left w:w="62" w:type="dxa"/>
              <w:bottom w:w="0" w:type="dxa"/>
              <w:right w:w="62" w:type="dxa"/>
            </w:tcMar>
          </w:tcPr>
          <w:p w:rsidR="00000000" w:rsidRPr="005476E7" w:rsidP="005476E7">
            <w:pPr>
              <w:pStyle w:val="List"/>
            </w:pPr>
            <w:r w:rsidRPr="005476E7">
              <w:t>1.1</w:t>
            </w:r>
            <w:r w:rsidRPr="005476E7">
              <w:tab/>
            </w:r>
            <w:r w:rsidRPr="005476E7">
              <w:rPr>
                <w:rStyle w:val="BoldandItalics"/>
              </w:rPr>
              <w:t>Performance</w:t>
            </w:r>
            <w:r w:rsidRPr="005476E7">
              <w:t xml:space="preserve"> requirements are identified in consultation with </w:t>
            </w:r>
            <w:r w:rsidRPr="005476E7">
              <w:rPr>
                <w:rStyle w:val="BoldandItalics"/>
              </w:rPr>
              <w:t>relevant people</w:t>
            </w:r>
            <w:r w:rsidRPr="005476E7">
              <w:t xml:space="preserve"> according to </w:t>
            </w:r>
            <w:r w:rsidRPr="005476E7">
              <w:rPr>
                <w:rStyle w:val="BoldandItalics"/>
              </w:rPr>
              <w:t>organisational requirements</w:t>
            </w:r>
            <w:r w:rsidRPr="005476E7">
              <w:t>.</w:t>
            </w:r>
          </w:p>
          <w:p w:rsidR="00000000" w:rsidRPr="005476E7" w:rsidP="005476E7">
            <w:pPr>
              <w:pStyle w:val="List"/>
            </w:pPr>
            <w:r w:rsidRPr="005476E7">
              <w:t>1.2</w:t>
            </w:r>
            <w:r w:rsidRPr="005476E7">
              <w:tab/>
            </w:r>
            <w:r w:rsidRPr="005476E7">
              <w:rPr>
                <w:rStyle w:val="BoldandItalics"/>
              </w:rPr>
              <w:t>Client needs</w:t>
            </w:r>
            <w:r w:rsidRPr="005476E7">
              <w:t xml:space="preserve"> </w:t>
            </w:r>
            <w:r w:rsidRPr="005476E7">
              <w:rPr>
                <w:rStyle w:val="BoldandItalics"/>
              </w:rPr>
              <w:t>and expectations</w:t>
            </w:r>
            <w:r w:rsidRPr="005476E7">
              <w:t xml:space="preserve"> are accurately assessed and clarified using appropriate research and survey techniques and </w:t>
            </w:r>
            <w:r w:rsidRPr="005476E7">
              <w:rPr>
                <w:rStyle w:val="BoldandItalics"/>
              </w:rPr>
              <w:t>consultative processes</w:t>
            </w:r>
            <w:r w:rsidRPr="005476E7">
              <w:t>.</w:t>
            </w:r>
          </w:p>
          <w:p w:rsidR="00000000" w:rsidRPr="005476E7" w:rsidP="005476E7">
            <w:pPr>
              <w:pStyle w:val="List"/>
            </w:pPr>
            <w:r w:rsidRPr="005476E7">
              <w:t>1.3</w:t>
            </w:r>
            <w:r w:rsidRPr="005476E7">
              <w:tab/>
            </w:r>
            <w:r w:rsidRPr="005476E7">
              <w:rPr>
                <w:rStyle w:val="BoldandItalics"/>
              </w:rPr>
              <w:t>Source documents</w:t>
            </w:r>
            <w:r w:rsidRPr="005476E7">
              <w:t xml:space="preserve"> and </w:t>
            </w:r>
            <w:r w:rsidRPr="005476E7">
              <w:rPr>
                <w:rStyle w:val="BoldandItalics"/>
              </w:rPr>
              <w:t>legislative requirements</w:t>
            </w:r>
            <w:r w:rsidRPr="005476E7">
              <w:t xml:space="preserve"> are obtained and assessed according to organisational requirements to ensure that information is accurate and reliable.</w:t>
            </w:r>
          </w:p>
          <w:p w:rsidR="00000000" w:rsidP="005476E7">
            <w:pPr>
              <w:pStyle w:val="List"/>
              <w:rPr>
                <w:lang w:val="en-NZ"/>
              </w:rPr>
            </w:pPr>
            <w:r w:rsidRPr="005476E7">
              <w:t>1.4</w:t>
            </w:r>
            <w:r w:rsidRPr="005476E7">
              <w:tab/>
              <w:t xml:space="preserve">Situations requiring </w:t>
            </w:r>
            <w:r w:rsidRPr="005476E7">
              <w:rPr>
                <w:rStyle w:val="BoldandItalics"/>
              </w:rPr>
              <w:t>specialist advice</w:t>
            </w:r>
            <w:r w:rsidRPr="005476E7">
              <w:t xml:space="preserve"> are identified and assistance is sought as required according to organisational procedures.</w:t>
            </w:r>
          </w:p>
        </w:tc>
      </w:tr>
      <w:tr w:rsidTr="00865BD8">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5476E7">
            <w:pPr>
              <w:pStyle w:val="List"/>
              <w:rPr>
                <w:lang w:val="en-NZ"/>
              </w:rPr>
            </w:pPr>
            <w:r w:rsidRPr="005476E7">
              <w:rPr>
                <w:rStyle w:val="SpecialBold"/>
              </w:rPr>
              <w:t>2</w:t>
            </w:r>
            <w:r w:rsidRPr="005476E7">
              <w:tab/>
            </w:r>
            <w:r w:rsidRPr="005476E7">
              <w:rPr>
                <w:rStyle w:val="SpecialBold"/>
              </w:rPr>
              <w:t>Monitor performance</w:t>
            </w:r>
            <w:r w:rsidRPr="005476E7">
              <w:t>.</w:t>
            </w:r>
          </w:p>
        </w:tc>
        <w:tc>
          <w:tcPr>
            <w:tcW w:w="5940" w:type="dxa"/>
            <w:gridSpan w:val="2"/>
            <w:tcBorders>
              <w:top w:val="nil"/>
              <w:left w:val="nil"/>
              <w:bottom w:val="nil"/>
              <w:right w:val="nil"/>
            </w:tcBorders>
            <w:tcMar>
              <w:top w:w="0" w:type="dxa"/>
              <w:left w:w="62" w:type="dxa"/>
              <w:bottom w:w="0" w:type="dxa"/>
              <w:right w:w="62" w:type="dxa"/>
            </w:tcMar>
          </w:tcPr>
          <w:p w:rsidR="00000000" w:rsidRPr="005476E7" w:rsidP="005476E7">
            <w:pPr>
              <w:pStyle w:val="List"/>
            </w:pPr>
            <w:r w:rsidRPr="005476E7">
              <w:t>2.1</w:t>
            </w:r>
            <w:r w:rsidRPr="005476E7">
              <w:tab/>
            </w:r>
            <w:r w:rsidRPr="005476E7">
              <w:rPr>
                <w:rStyle w:val="BoldandItalics"/>
              </w:rPr>
              <w:t>Performance of portfolio</w:t>
            </w:r>
            <w:r w:rsidRPr="005476E7">
              <w:t xml:space="preserve"> is regularly monitored to ensure it meets client objectives and relevant organisational and legislative requirements.</w:t>
            </w:r>
          </w:p>
          <w:p w:rsidR="00000000" w:rsidRPr="005476E7" w:rsidP="005476E7">
            <w:pPr>
              <w:pStyle w:val="List"/>
            </w:pPr>
            <w:r w:rsidRPr="005476E7">
              <w:t>2.2</w:t>
            </w:r>
            <w:r w:rsidRPr="005476E7">
              <w:tab/>
            </w:r>
            <w:r w:rsidRPr="005476E7">
              <w:t xml:space="preserve">Assessment processes are designed which detail the assessment method that will accurately reflect client needs and organisational requirements. </w:t>
            </w:r>
          </w:p>
          <w:p w:rsidR="00000000" w:rsidRPr="005476E7" w:rsidP="005476E7">
            <w:pPr>
              <w:pStyle w:val="List"/>
            </w:pPr>
            <w:r w:rsidRPr="005476E7">
              <w:t>2.3</w:t>
            </w:r>
            <w:r w:rsidRPr="005476E7">
              <w:tab/>
              <w:t xml:space="preserve">Trends and </w:t>
            </w:r>
            <w:r w:rsidRPr="005476E7">
              <w:rPr>
                <w:rStyle w:val="BoldandItalics"/>
              </w:rPr>
              <w:t>market conditions</w:t>
            </w:r>
            <w:r w:rsidRPr="005476E7">
              <w:t xml:space="preserve"> are identified and evaluated against </w:t>
            </w:r>
            <w:r w:rsidRPr="005476E7">
              <w:rPr>
                <w:rStyle w:val="BoldandItalics"/>
              </w:rPr>
              <w:t>industry benchmarks</w:t>
            </w:r>
            <w:r w:rsidRPr="005476E7">
              <w:t xml:space="preserve"> to determine performa</w:t>
            </w:r>
            <w:r w:rsidRPr="005476E7">
              <w:t>nce of portfolio.</w:t>
            </w:r>
          </w:p>
          <w:p w:rsidR="00000000" w:rsidRPr="005476E7" w:rsidP="005476E7">
            <w:pPr>
              <w:pStyle w:val="List"/>
            </w:pPr>
            <w:r w:rsidRPr="005476E7">
              <w:t>2.4</w:t>
            </w:r>
            <w:r w:rsidRPr="005476E7">
              <w:tab/>
              <w:t>Variations in performance expectations are identified and explained to relevant people.</w:t>
            </w:r>
          </w:p>
          <w:p w:rsidR="00000000" w:rsidP="005476E7">
            <w:pPr>
              <w:pStyle w:val="List"/>
              <w:rPr>
                <w:lang w:val="en-NZ"/>
              </w:rPr>
            </w:pPr>
            <w:r w:rsidRPr="005476E7">
              <w:t>2.5</w:t>
            </w:r>
            <w:r w:rsidRPr="005476E7">
              <w:tab/>
              <w:t>Reliable methods for assessing performance are used according to organisational requirements, making efficient use of time and resources.</w:t>
            </w:r>
          </w:p>
        </w:tc>
      </w:tr>
      <w:tr w:rsidTr="00865BD8">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5476E7">
            <w:pPr>
              <w:pStyle w:val="List"/>
              <w:rPr>
                <w:lang w:val="en-NZ"/>
              </w:rPr>
            </w:pPr>
            <w:r w:rsidRPr="005476E7">
              <w:rPr>
                <w:rStyle w:val="SpecialBold"/>
              </w:rPr>
              <w:t>3</w:t>
            </w:r>
            <w:r w:rsidRPr="005476E7">
              <w:tab/>
            </w:r>
            <w:r w:rsidRPr="005476E7">
              <w:rPr>
                <w:rStyle w:val="SpecialBold"/>
              </w:rPr>
              <w:t>P</w:t>
            </w:r>
            <w:r w:rsidRPr="005476E7">
              <w:rPr>
                <w:rStyle w:val="SpecialBold"/>
              </w:rPr>
              <w:t>rovide advice and recommendations</w:t>
            </w:r>
            <w:r w:rsidRPr="005476E7">
              <w:t>.</w:t>
            </w:r>
          </w:p>
        </w:tc>
        <w:tc>
          <w:tcPr>
            <w:tcW w:w="5940" w:type="dxa"/>
            <w:gridSpan w:val="2"/>
            <w:tcBorders>
              <w:top w:val="nil"/>
              <w:left w:val="nil"/>
              <w:bottom w:val="nil"/>
              <w:right w:val="nil"/>
            </w:tcBorders>
            <w:tcMar>
              <w:top w:w="0" w:type="dxa"/>
              <w:left w:w="62" w:type="dxa"/>
              <w:bottom w:w="0" w:type="dxa"/>
              <w:right w:w="62" w:type="dxa"/>
            </w:tcMar>
          </w:tcPr>
          <w:p w:rsidR="00000000" w:rsidRPr="005476E7" w:rsidP="005476E7">
            <w:pPr>
              <w:pStyle w:val="List"/>
            </w:pPr>
            <w:r w:rsidRPr="005476E7">
              <w:t>3.1</w:t>
            </w:r>
            <w:r w:rsidRPr="005476E7">
              <w:tab/>
              <w:t xml:space="preserve">Clients are provided with clear advice and </w:t>
            </w:r>
            <w:r w:rsidRPr="005476E7">
              <w:rPr>
                <w:rStyle w:val="BoldandItalics"/>
              </w:rPr>
              <w:t>recommendations</w:t>
            </w:r>
            <w:r w:rsidRPr="005476E7">
              <w:t xml:space="preserve"> on whether performance of portfolio meets their identified needs and expectations.</w:t>
            </w:r>
          </w:p>
          <w:p w:rsidR="00000000" w:rsidRPr="005476E7" w:rsidP="005476E7">
            <w:pPr>
              <w:pStyle w:val="List"/>
            </w:pPr>
            <w:r w:rsidRPr="005476E7">
              <w:t>3.2</w:t>
            </w:r>
            <w:r w:rsidRPr="005476E7">
              <w:tab/>
            </w:r>
            <w:r w:rsidRPr="005476E7">
              <w:t>Advice and recommendations are supported by verifiable evidence and are consistent with monitoring objectives and client requirements.</w:t>
            </w:r>
          </w:p>
          <w:p w:rsidR="00000000" w:rsidRPr="005476E7" w:rsidP="005476E7">
            <w:pPr>
              <w:pStyle w:val="List"/>
            </w:pPr>
            <w:r w:rsidRPr="005476E7">
              <w:t>3.3</w:t>
            </w:r>
            <w:r w:rsidRPr="005476E7">
              <w:tab/>
              <w:t xml:space="preserve">Advice and recommendations are presented in an appropriate format, style and structure using </w:t>
            </w:r>
            <w:r w:rsidRPr="005476E7">
              <w:rPr>
                <w:rStyle w:val="BoldandItalics"/>
              </w:rPr>
              <w:t>business equipment and t</w:t>
            </w:r>
            <w:r w:rsidRPr="005476E7">
              <w:rPr>
                <w:rStyle w:val="BoldandItalics"/>
              </w:rPr>
              <w:t>echnology</w:t>
            </w:r>
            <w:r w:rsidRPr="005476E7">
              <w:t>.</w:t>
            </w:r>
          </w:p>
          <w:p w:rsidR="00000000" w:rsidRPr="005476E7" w:rsidP="005476E7">
            <w:pPr>
              <w:pStyle w:val="List"/>
            </w:pPr>
            <w:r w:rsidRPr="005476E7">
              <w:t>3.4</w:t>
            </w:r>
            <w:r w:rsidRPr="005476E7">
              <w:tab/>
            </w:r>
            <w:r w:rsidRPr="005476E7">
              <w:rPr>
                <w:rStyle w:val="BoldandItalics"/>
              </w:rPr>
              <w:t>Feedback</w:t>
            </w:r>
            <w:r w:rsidRPr="005476E7">
              <w:t xml:space="preserve"> on suitability and sufficiency of advice and recommendations is obtained from relevant people.</w:t>
            </w:r>
          </w:p>
          <w:p w:rsidR="00000000" w:rsidRPr="005476E7" w:rsidP="005476E7">
            <w:pPr>
              <w:pStyle w:val="List"/>
            </w:pPr>
            <w:r w:rsidRPr="005476E7">
              <w:t>3.5</w:t>
            </w:r>
            <w:r w:rsidRPr="005476E7">
              <w:tab/>
              <w:t>Information is securely maintained with due regard to client confidentiality, and legislative and organisational requirements.</w:t>
            </w:r>
          </w:p>
        </w:tc>
      </w:tr>
    </w:tbl>
    <w:p w:rsidR="00865BD8" w:rsidP="005476E7">
      <w:pPr>
        <w:pStyle w:val="BodyText"/>
      </w:pPr>
    </w:p>
    <w:p w:rsidR="00865BD8" w:rsidP="005476E7">
      <w:pPr>
        <w:pStyle w:val="BodyText"/>
      </w:pPr>
    </w:p>
    <w:p w:rsidR="00000000" w:rsidRPr="005476E7" w:rsidP="005476E7">
      <w:pPr>
        <w:pStyle w:val="Heading1"/>
      </w:pPr>
      <w:bookmarkStart w:id="9" w:name="O_258802"/>
      <w:bookmarkEnd w:id="9"/>
      <w:r w:rsidRPr="005476E7">
        <w:t>Required Skills and Knowledge</w:t>
      </w:r>
    </w:p>
    <w:tbl>
      <w:tblPr>
        <w:tblW w:w="0" w:type="auto"/>
        <w:tblLayout w:type="fixed"/>
        <w:tblCellMar>
          <w:left w:w="62" w:type="dxa"/>
          <w:right w:w="62" w:type="dxa"/>
        </w:tblCellMar>
        <w:tblLook w:val="0000"/>
      </w:tblPr>
      <w:tblGrid>
        <w:gridCol w:w="8513"/>
        <w:gridCol w:w="9"/>
      </w:tblGrid>
      <w:tr w:rsidTr="00865BD8">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5476E7">
            <w:pPr>
              <w:pStyle w:val="BodyText"/>
              <w:rPr>
                <w:lang w:val="en-NZ"/>
              </w:rPr>
            </w:pPr>
            <w:r w:rsidRPr="005476E7">
              <w:rPr>
                <w:rStyle w:val="SpecialBold"/>
              </w:rPr>
              <w:t>REQUIRED SKILLS AND KNOWLEDGE</w:t>
            </w:r>
          </w:p>
        </w:tc>
      </w:tr>
      <w:tr w:rsidTr="00865BD8">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5476E7">
            <w:pPr>
              <w:pStyle w:val="BodyText"/>
              <w:rPr>
                <w:lang w:val="en-NZ"/>
              </w:rPr>
            </w:pPr>
            <w:r w:rsidRPr="005476E7">
              <w:t>This section describes the essential skills and knowledge and their level, required for this unit.</w:t>
            </w:r>
          </w:p>
        </w:tc>
      </w:tr>
      <w:tr w:rsidTr="00865BD8">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5476E7" w:rsidP="005476E7">
            <w:pPr>
              <w:pStyle w:val="BodyText"/>
            </w:pPr>
            <w:r w:rsidRPr="005476E7">
              <w:rPr>
                <w:rStyle w:val="SpecialBold"/>
              </w:rPr>
              <w:t>Required skills</w:t>
            </w:r>
            <w:r w:rsidRPr="005476E7">
              <w:t>:</w:t>
            </w:r>
          </w:p>
          <w:p w:rsidR="00000000" w:rsidRPr="005476E7" w:rsidP="005476E7">
            <w:pPr>
              <w:pStyle w:val="ListBullet"/>
            </w:pPr>
            <w:r w:rsidRPr="005476E7">
              <w:t>analytical skills to interpret property or facility plans, assess property or facility performance, research property or facility application and usage, and benchmark for optimisation</w:t>
            </w:r>
          </w:p>
          <w:p w:rsidR="00000000" w:rsidRPr="005476E7" w:rsidP="005476E7">
            <w:pPr>
              <w:pStyle w:val="ListBullet"/>
            </w:pPr>
            <w:r w:rsidRPr="005476E7">
              <w:t>communication skills to clarify ideas and perspectives, and negotiate cl</w:t>
            </w:r>
            <w:r w:rsidRPr="005476E7">
              <w:t>ient and tenant requirements</w:t>
            </w:r>
          </w:p>
          <w:p w:rsidR="00000000" w:rsidRPr="005476E7" w:rsidP="005476E7">
            <w:pPr>
              <w:pStyle w:val="ListBullet"/>
            </w:pPr>
            <w:r w:rsidRPr="005476E7">
              <w:t>computing skills to access the internet and web pages, prepare and complete online forms, lodge electronic documents and search online databases</w:t>
            </w:r>
          </w:p>
          <w:p w:rsidR="00000000" w:rsidRPr="005476E7" w:rsidP="005476E7">
            <w:pPr>
              <w:pStyle w:val="ListBullet"/>
            </w:pPr>
            <w:r w:rsidRPr="005476E7">
              <w:t>interpersonal skills to relate to people from a range of social, cultural and ethn</w:t>
            </w:r>
            <w:r w:rsidRPr="005476E7">
              <w:t>ic backgrounds and varying physical and mental abilities</w:t>
            </w:r>
          </w:p>
          <w:p w:rsidR="00000000" w:rsidRPr="005476E7" w:rsidP="005476E7">
            <w:pPr>
              <w:pStyle w:val="ListBullet"/>
            </w:pPr>
            <w:r w:rsidRPr="005476E7">
              <w:t>literacy skills to interpret written and oral information, complete documentation and report findings</w:t>
            </w:r>
          </w:p>
          <w:p w:rsidR="00000000" w:rsidP="005476E7">
            <w:pPr>
              <w:pStyle w:val="ListBullet"/>
              <w:rPr>
                <w:lang w:val="en-NZ"/>
              </w:rPr>
            </w:pPr>
            <w:r w:rsidRPr="005476E7">
              <w:t>technical skills to use property or facility software and formulate reports.</w:t>
            </w:r>
          </w:p>
        </w:tc>
      </w:tr>
      <w:tr w:rsidTr="00865BD8">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5476E7" w:rsidP="005476E7">
            <w:pPr>
              <w:pStyle w:val="BodyText"/>
            </w:pPr>
            <w:r w:rsidRPr="005476E7">
              <w:rPr>
                <w:rStyle w:val="SpecialBold"/>
              </w:rPr>
              <w:t>Required knowledge and understanding</w:t>
            </w:r>
            <w:r w:rsidRPr="005476E7">
              <w:t>:</w:t>
            </w:r>
          </w:p>
          <w:p w:rsidR="00000000" w:rsidRPr="005476E7" w:rsidP="005476E7">
            <w:pPr>
              <w:pStyle w:val="ListBullet"/>
            </w:pPr>
            <w:r w:rsidRPr="005476E7">
              <w:t>a range of research methods and analysis techniques</w:t>
            </w:r>
          </w:p>
          <w:p w:rsidR="00000000" w:rsidRPr="005476E7" w:rsidP="005476E7">
            <w:pPr>
              <w:pStyle w:val="ListBullet"/>
            </w:pPr>
            <w:r w:rsidRPr="005476E7">
              <w:t>administration of property or facility usage plans</w:t>
            </w:r>
          </w:p>
          <w:p w:rsidR="00000000" w:rsidRPr="005476E7" w:rsidP="005476E7">
            <w:pPr>
              <w:pStyle w:val="ListBullet"/>
            </w:pPr>
            <w:r w:rsidRPr="005476E7">
              <w:t>contract law and property or facility performance</w:t>
            </w:r>
          </w:p>
          <w:p w:rsidR="00000000" w:rsidRPr="005476E7" w:rsidP="005476E7">
            <w:pPr>
              <w:pStyle w:val="ListBullet"/>
            </w:pPr>
            <w:r w:rsidRPr="005476E7">
              <w:t>industry practice and benchmarks</w:t>
            </w:r>
          </w:p>
          <w:p w:rsidR="00000000" w:rsidRPr="005476E7" w:rsidP="005476E7">
            <w:pPr>
              <w:pStyle w:val="ListBullet"/>
            </w:pPr>
            <w:r w:rsidRPr="005476E7">
              <w:t>lease rights and responsibiliti</w:t>
            </w:r>
            <w:r w:rsidRPr="005476E7">
              <w:t>es</w:t>
            </w:r>
          </w:p>
          <w:p w:rsidR="00000000" w:rsidRPr="005476E7" w:rsidP="005476E7">
            <w:pPr>
              <w:pStyle w:val="ListBullet"/>
            </w:pPr>
            <w:r w:rsidRPr="005476E7">
              <w:t>local property market conditions and overall trends in the industry</w:t>
            </w:r>
          </w:p>
          <w:p w:rsidR="00000000" w:rsidRPr="005476E7" w:rsidP="005476E7">
            <w:pPr>
              <w:pStyle w:val="ListBullet"/>
            </w:pPr>
            <w:r w:rsidRPr="005476E7">
              <w:t>organisational and professional procedures, ethical practices and business standards</w:t>
            </w:r>
          </w:p>
          <w:p w:rsidR="00000000" w:rsidRPr="005476E7" w:rsidP="005476E7">
            <w:pPr>
              <w:pStyle w:val="ListBullet"/>
            </w:pPr>
            <w:r w:rsidRPr="005476E7">
              <w:t>relevant federal and state or territory legislation and local government regulations related to:</w:t>
            </w:r>
          </w:p>
          <w:p w:rsidR="00000000" w:rsidRPr="005476E7" w:rsidP="005476E7">
            <w:pPr>
              <w:pStyle w:val="ListBullet2"/>
            </w:pPr>
            <w:r w:rsidRPr="005476E7">
              <w:t>an</w:t>
            </w:r>
            <w:r w:rsidRPr="005476E7">
              <w:t>ti-discrimination</w:t>
            </w:r>
          </w:p>
          <w:p w:rsidR="00000000" w:rsidRPr="005476E7" w:rsidP="005476E7">
            <w:pPr>
              <w:pStyle w:val="ListBullet2"/>
            </w:pPr>
            <w:r w:rsidRPr="005476E7">
              <w:t>consumer protection</w:t>
            </w:r>
          </w:p>
          <w:p w:rsidR="00000000" w:rsidRPr="005476E7" w:rsidP="005476E7">
            <w:pPr>
              <w:pStyle w:val="ListBullet2"/>
            </w:pPr>
            <w:r w:rsidRPr="005476E7">
              <w:t>environmental issues</w:t>
            </w:r>
          </w:p>
          <w:p w:rsidR="00000000" w:rsidRPr="005476E7" w:rsidP="005476E7">
            <w:pPr>
              <w:pStyle w:val="ListBullet2"/>
            </w:pPr>
            <w:r w:rsidRPr="005476E7">
              <w:t>equal employment opportunity (EEO)</w:t>
            </w:r>
          </w:p>
          <w:p w:rsidR="00000000" w:rsidRPr="005476E7" w:rsidP="005476E7">
            <w:pPr>
              <w:pStyle w:val="ListBullet2"/>
            </w:pPr>
            <w:r w:rsidRPr="005476E7">
              <w:t>financial probity</w:t>
            </w:r>
          </w:p>
          <w:p w:rsidR="00000000" w:rsidRPr="005476E7" w:rsidP="005476E7">
            <w:pPr>
              <w:pStyle w:val="ListBullet2"/>
            </w:pPr>
            <w:r w:rsidRPr="005476E7">
              <w:t>franchise and business structures</w:t>
            </w:r>
          </w:p>
          <w:p w:rsidR="00000000" w:rsidRPr="005476E7" w:rsidP="005476E7">
            <w:pPr>
              <w:pStyle w:val="ListBullet2"/>
            </w:pPr>
            <w:r w:rsidRPr="005476E7">
              <w:t>industrial relations</w:t>
            </w:r>
          </w:p>
          <w:p w:rsidR="00000000" w:rsidRPr="005476E7" w:rsidP="005476E7">
            <w:pPr>
              <w:pStyle w:val="ListBullet2"/>
            </w:pPr>
            <w:r w:rsidRPr="005476E7">
              <w:t>OHS</w:t>
            </w:r>
          </w:p>
          <w:p w:rsidR="00000000" w:rsidRPr="005476E7" w:rsidP="005476E7">
            <w:pPr>
              <w:pStyle w:val="ListBullet2"/>
            </w:pPr>
            <w:r w:rsidRPr="005476E7">
              <w:t>privacy</w:t>
            </w:r>
          </w:p>
          <w:p w:rsidR="00000000" w:rsidRPr="005476E7" w:rsidP="005476E7">
            <w:pPr>
              <w:pStyle w:val="ListBullet2"/>
            </w:pPr>
            <w:r w:rsidRPr="005476E7">
              <w:t>property sales, leasing and management</w:t>
            </w:r>
          </w:p>
          <w:p w:rsidR="00000000" w:rsidRPr="005476E7" w:rsidP="005476E7">
            <w:pPr>
              <w:pStyle w:val="ListBullet"/>
            </w:pPr>
            <w:r w:rsidRPr="005476E7">
              <w:t>risk management associated with property or facility performance.</w:t>
            </w:r>
          </w:p>
        </w:tc>
      </w:tr>
    </w:tbl>
    <w:p w:rsidR="00865BD8" w:rsidP="005476E7">
      <w:pPr>
        <w:pStyle w:val="BodyText"/>
      </w:pPr>
    </w:p>
    <w:p w:rsidR="00865BD8" w:rsidP="005476E7">
      <w:pPr>
        <w:pStyle w:val="BodyText"/>
      </w:pPr>
    </w:p>
    <w:p w:rsidR="00000000" w:rsidRPr="005476E7" w:rsidP="005476E7">
      <w:pPr>
        <w:pStyle w:val="Heading1"/>
      </w:pPr>
      <w:bookmarkStart w:id="10" w:name="O_242836"/>
      <w:bookmarkEnd w:id="10"/>
      <w:r w:rsidRPr="005476E7">
        <w:t>Evidence Guide</w:t>
      </w:r>
    </w:p>
    <w:p w:rsidR="00000000" w:rsidRPr="005476E7" w:rsidP="005476E7">
      <w:pPr>
        <w:pStyle w:val="BodyText"/>
      </w:pPr>
      <w:r w:rsidRPr="005476E7">
        <w:rPr>
          <w:rStyle w:val="SpecialBold"/>
        </w:rPr>
        <w:t>EVIDENCE GUIDE</w:t>
      </w:r>
    </w:p>
    <w:p w:rsidR="00000000" w:rsidRPr="005476E7" w:rsidP="005476E7">
      <w:pPr>
        <w:pStyle w:val="BodyText"/>
      </w:pPr>
      <w:r w:rsidRPr="005476E7">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865BD8">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5476E7">
            <w:pPr>
              <w:pStyle w:val="BodyText"/>
              <w:rPr>
                <w:lang w:val="en-NZ"/>
              </w:rPr>
            </w:pPr>
            <w:r w:rsidRPr="005476E7">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5476E7">
            <w:pPr>
              <w:pStyle w:val="BodyText"/>
              <w:rPr>
                <w:lang w:val="en-NZ"/>
              </w:rPr>
            </w:pPr>
            <w:r w:rsidRPr="005476E7">
              <w:t xml:space="preserve">This unit of </w:t>
            </w:r>
            <w:r w:rsidRPr="005476E7">
              <w:t>competency could be assessed through practical demonstration of monitoring the ongoing performance of a property or facility portfolio. Targeted written (including alternative formats where necessary) or verbal questioning to assess the candidate's underpi</w:t>
            </w:r>
            <w:r w:rsidRPr="005476E7">
              <w:t>nning knowledge would provide additional supporting evidence of competence. The demonstration and questioning would include collecting evidence of the candidate's knowledge and application of ethical standards and relevant federal, and state or territory l</w:t>
            </w:r>
            <w:r w:rsidRPr="005476E7">
              <w:t>egislation and regulations. This assessment may be carried out in a simulated or workplace environment.</w:t>
            </w:r>
          </w:p>
        </w:tc>
      </w:tr>
      <w:tr w:rsidTr="00865BD8">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5476E7">
            <w:pPr>
              <w:pStyle w:val="BodyText"/>
              <w:rPr>
                <w:lang w:val="en-NZ"/>
              </w:rPr>
            </w:pPr>
            <w:r w:rsidRPr="005476E7">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5476E7" w:rsidP="005476E7">
            <w:pPr>
              <w:pStyle w:val="BodyText"/>
            </w:pPr>
            <w:r w:rsidRPr="005476E7">
              <w:t xml:space="preserve">A person who demonstrates competency in this unit must be </w:t>
            </w:r>
            <w:r w:rsidRPr="005476E7">
              <w:t>able to provide evidence of:</w:t>
            </w:r>
          </w:p>
          <w:p w:rsidR="00000000" w:rsidRPr="005476E7" w:rsidP="005476E7">
            <w:pPr>
              <w:pStyle w:val="ListBullet"/>
            </w:pPr>
            <w:r w:rsidRPr="005476E7">
              <w:t xml:space="preserve">conducting research of relevant documentation and legislation and accurately determining client performance expectations through consultation </w:t>
            </w:r>
          </w:p>
          <w:p w:rsidR="00000000" w:rsidRPr="005476E7" w:rsidP="005476E7">
            <w:pPr>
              <w:pStyle w:val="ListBullet"/>
            </w:pPr>
            <w:r w:rsidRPr="005476E7">
              <w:t xml:space="preserve">developing an assessment process, and measuring performance of portfolio against set criteria </w:t>
            </w:r>
          </w:p>
          <w:p w:rsidR="00000000" w:rsidRPr="005476E7" w:rsidP="005476E7">
            <w:pPr>
              <w:pStyle w:val="ListBullet"/>
            </w:pPr>
            <w:r w:rsidRPr="005476E7">
              <w:t>knowledge of organisation's practices, ethical standards and legislative requirements associated with monitoring the ongoing performance of a property or facilit</w:t>
            </w:r>
            <w:r w:rsidRPr="005476E7">
              <w:t xml:space="preserve">y portfolio </w:t>
            </w:r>
          </w:p>
          <w:p w:rsidR="00000000" w:rsidRPr="005476E7" w:rsidP="005476E7">
            <w:pPr>
              <w:pStyle w:val="ListBullet"/>
            </w:pPr>
            <w:r w:rsidRPr="005476E7">
              <w:t>monitoring portfolio performance using data analysis methods and identifying variations in performance expectations</w:t>
            </w:r>
          </w:p>
          <w:p w:rsidR="00000000" w:rsidP="005476E7">
            <w:pPr>
              <w:pStyle w:val="ListBullet"/>
              <w:rPr>
                <w:lang w:val="en-NZ"/>
              </w:rPr>
            </w:pPr>
            <w:r w:rsidRPr="005476E7">
              <w:t>providing advice and recommendations to clients based on a comprehensive evaluation of portfolio performance, including feedbac</w:t>
            </w:r>
            <w:r w:rsidRPr="005476E7">
              <w:t>k using business equipment and technology.</w:t>
            </w:r>
          </w:p>
        </w:tc>
      </w:tr>
      <w:tr w:rsidTr="00865BD8">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5476E7">
            <w:pPr>
              <w:pStyle w:val="BodyText"/>
              <w:rPr>
                <w:lang w:val="en-NZ"/>
              </w:rPr>
            </w:pPr>
            <w:r w:rsidRPr="005476E7">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5476E7" w:rsidP="005476E7">
            <w:pPr>
              <w:pStyle w:val="BodyText"/>
            </w:pPr>
            <w:r w:rsidRPr="005476E7">
              <w:t>Resource implications for assessment include:</w:t>
            </w:r>
          </w:p>
          <w:p w:rsidR="00000000" w:rsidRPr="005476E7" w:rsidP="005476E7">
            <w:pPr>
              <w:pStyle w:val="ListBullet"/>
            </w:pPr>
            <w:r w:rsidRPr="005476E7">
              <w:t>a registered provider of assessment services</w:t>
            </w:r>
          </w:p>
          <w:p w:rsidR="00000000" w:rsidRPr="005476E7" w:rsidP="005476E7">
            <w:pPr>
              <w:pStyle w:val="ListBullet"/>
            </w:pPr>
            <w:r w:rsidRPr="005476E7">
              <w:t>assessment materials and tools</w:t>
            </w:r>
          </w:p>
          <w:p w:rsidR="00000000" w:rsidRPr="005476E7" w:rsidP="005476E7">
            <w:pPr>
              <w:pStyle w:val="ListBullet"/>
            </w:pPr>
            <w:r w:rsidRPr="005476E7">
              <w:t>candidate special requirements</w:t>
            </w:r>
          </w:p>
          <w:p w:rsidR="00000000" w:rsidRPr="005476E7" w:rsidP="005476E7">
            <w:pPr>
              <w:pStyle w:val="ListBullet"/>
            </w:pPr>
            <w:r w:rsidRPr="005476E7">
              <w:t>competenc</w:t>
            </w:r>
            <w:r w:rsidRPr="005476E7">
              <w:t>y standards</w:t>
            </w:r>
          </w:p>
          <w:p w:rsidR="00000000" w:rsidRPr="005476E7" w:rsidP="005476E7">
            <w:pPr>
              <w:pStyle w:val="ListBullet"/>
            </w:pPr>
            <w:r w:rsidRPr="005476E7">
              <w:t>cost and time considerations</w:t>
            </w:r>
          </w:p>
          <w:p w:rsidR="00000000" w:rsidRPr="005476E7" w:rsidP="005476E7">
            <w:pPr>
              <w:pStyle w:val="ListBullet"/>
            </w:pPr>
            <w:r w:rsidRPr="005476E7">
              <w:t>suitable assessment venue and equipment</w:t>
            </w:r>
          </w:p>
          <w:p w:rsidR="00000000" w:rsidRPr="005476E7" w:rsidP="005476E7">
            <w:pPr>
              <w:pStyle w:val="ListBullet"/>
            </w:pPr>
            <w:r w:rsidRPr="005476E7">
              <w:t>workplace documentation.</w:t>
            </w:r>
          </w:p>
          <w:p w:rsidR="00000000" w:rsidRPr="005476E7" w:rsidP="005476E7">
            <w:pPr>
              <w:pStyle w:val="BodyText"/>
            </w:pPr>
            <w:r w:rsidRPr="005476E7">
              <w:t>Where applicable, physical resources should include equipment modified for people with disabilities.</w:t>
            </w:r>
          </w:p>
          <w:p w:rsidR="00000000" w:rsidRPr="005476E7" w:rsidP="005476E7">
            <w:pPr>
              <w:pStyle w:val="BodyText"/>
            </w:pPr>
            <w:r w:rsidRPr="005476E7">
              <w:t>Access must be provided to appropriate learning and/or assessment support when required.</w:t>
            </w:r>
          </w:p>
          <w:p w:rsidR="00000000" w:rsidRPr="005476E7" w:rsidP="005476E7">
            <w:pPr>
              <w:pStyle w:val="BodyText"/>
            </w:pPr>
            <w:r w:rsidRPr="005476E7">
              <w:t>Assessment processes and techniques must be culturally appropriate, and appropriate to the language and literacy capacity of the candidate and the work being performed</w:t>
            </w:r>
            <w:r w:rsidRPr="005476E7">
              <w:t>.</w:t>
            </w:r>
          </w:p>
          <w:p w:rsidR="00000000" w:rsidRPr="005476E7" w:rsidP="005476E7">
            <w:pPr>
              <w:pStyle w:val="BodyText"/>
            </w:pPr>
            <w:r w:rsidRPr="005476E7">
              <w:t>Validity and sufficiency of evidence require that:</w:t>
            </w:r>
          </w:p>
          <w:p w:rsidR="00000000" w:rsidRPr="005476E7" w:rsidP="005476E7">
            <w:pPr>
              <w:pStyle w:val="ListBullet"/>
            </w:pPr>
            <w:r w:rsidRPr="005476E7">
              <w:t>competency will need to be demonstrated over a period of time reflecting the scope of the role and the practical requirements of the workplace</w:t>
            </w:r>
          </w:p>
          <w:p w:rsidR="00000000" w:rsidRPr="005476E7" w:rsidP="005476E7">
            <w:pPr>
              <w:pStyle w:val="ListBullet"/>
            </w:pPr>
            <w:r w:rsidRPr="005476E7">
              <w:t>where the assessment is part of a structured learning exper</w:t>
            </w:r>
            <w:r w:rsidRPr="005476E7">
              <w:t xml:space="preserve">ience the evidence collected must relate to a number of performances assessed at different points in time and separated by further learning and practice with a decision of competence only taken at the point when the assessor has complete confidence in the </w:t>
            </w:r>
            <w:r w:rsidRPr="005476E7">
              <w:t>person's competence</w:t>
            </w:r>
          </w:p>
          <w:p w:rsidR="00000000" w:rsidRPr="005476E7" w:rsidP="005476E7">
            <w:pPr>
              <w:pStyle w:val="ListBullet"/>
            </w:pPr>
            <w:r w:rsidRPr="005476E7">
              <w:t>all assessment that is part of a structured learning experience must include a combination of direct, indirect and supplementary evidence</w:t>
            </w:r>
          </w:p>
          <w:p w:rsidR="00000000" w:rsidRPr="005476E7" w:rsidP="005476E7">
            <w:pPr>
              <w:pStyle w:val="ListBullet"/>
            </w:pPr>
            <w:r w:rsidRPr="005476E7">
              <w:t>where assessment is for the purpose of recognition (RCC/RPL), the evidence provided will need to b</w:t>
            </w:r>
            <w:r w:rsidRPr="005476E7">
              <w:t>e current and show that it represents competency demonstrated over a period of time</w:t>
            </w:r>
          </w:p>
          <w:p w:rsidR="00000000" w:rsidP="005476E7">
            <w:pPr>
              <w:pStyle w:val="ListBullet"/>
              <w:rPr>
                <w:lang w:val="en-NZ"/>
              </w:rPr>
            </w:pPr>
            <w:r w:rsidRPr="005476E7">
              <w:t>assessment can be through simulated project-based activity and must include evidence relating to each of the elements in this unit.</w:t>
            </w:r>
          </w:p>
        </w:tc>
      </w:tr>
      <w:tr w:rsidTr="00865BD8">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P="005476E7">
            <w:pPr>
              <w:pStyle w:val="BodyText"/>
              <w:rPr>
                <w:lang w:val="en-NZ"/>
              </w:rPr>
            </w:pPr>
            <w:r w:rsidRPr="005476E7">
              <w:t>In all cases activity and must include</w:t>
            </w:r>
            <w:r w:rsidRPr="005476E7">
              <w:t xml:space="preserve"> evidence relating to each of the where practical assessment is used it will be combined with targeted questioning to assess the underpinning knowledge. Questioning will be undertaken in such a manner as is appropriate to the language and literacy levels o</w:t>
            </w:r>
            <w:r w:rsidRPr="005476E7">
              <w:t>f the candidate and any cultural issues that may affect responses to the questions, and will reflect the requirements of the competency and the work being performed.</w:t>
            </w:r>
          </w:p>
        </w:tc>
      </w:tr>
      <w:tr w:rsidTr="00865BD8">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5476E7" w:rsidP="005476E7">
            <w:pPr>
              <w:pStyle w:val="BodyText"/>
            </w:pPr>
          </w:p>
        </w:tc>
      </w:tr>
    </w:tbl>
    <w:p w:rsidR="00865BD8" w:rsidP="005476E7">
      <w:pPr>
        <w:pStyle w:val="BodyText"/>
      </w:pPr>
    </w:p>
    <w:p w:rsidR="00865BD8" w:rsidP="005476E7">
      <w:pPr>
        <w:pStyle w:val="BodyText"/>
      </w:pPr>
    </w:p>
    <w:p w:rsidR="00000000" w:rsidRPr="005476E7" w:rsidP="005476E7">
      <w:pPr>
        <w:pStyle w:val="Heading1"/>
      </w:pPr>
      <w:bookmarkStart w:id="11" w:name="O_250819"/>
      <w:bookmarkEnd w:id="11"/>
      <w:r w:rsidRPr="005476E7">
        <w:t>Range Statement</w:t>
      </w:r>
    </w:p>
    <w:p w:rsidR="00000000" w:rsidRPr="005476E7" w:rsidP="005476E7">
      <w:pPr>
        <w:pStyle w:val="BodyText"/>
      </w:pPr>
      <w:r w:rsidRPr="005476E7">
        <w:rPr>
          <w:rStyle w:val="SpecialBold"/>
        </w:rPr>
        <w:t>RANGE STATEMENT</w:t>
      </w:r>
    </w:p>
    <w:p w:rsidR="00000000" w:rsidRPr="005476E7" w:rsidP="005476E7">
      <w:pPr>
        <w:pStyle w:val="BodyText"/>
      </w:pPr>
      <w:r w:rsidRPr="005476E7">
        <w:t xml:space="preserve">The range statement relates to the unit of competency as a whole. It allows for different work environments and situations that may affect performance. </w:t>
      </w:r>
      <w:r w:rsidRPr="005476E7">
        <w:rPr>
          <w:rStyle w:val="BoldandItalics"/>
        </w:rPr>
        <w:t>Bold italicised</w:t>
      </w:r>
      <w:r w:rsidRPr="005476E7">
        <w:t xml:space="preserve"> wording in the performance criteria is detailed below. Add any essential operating condi</w:t>
      </w:r>
      <w:r w:rsidRPr="005476E7">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18"/>
      </w:tblGrid>
      <w:tr w:rsidTr="00865BD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476E7">
            <w:pPr>
              <w:pStyle w:val="BodyText"/>
              <w:rPr>
                <w:lang w:val="en-NZ"/>
              </w:rPr>
            </w:pPr>
            <w:r w:rsidRPr="005476E7">
              <w:rPr>
                <w:rStyle w:val="BoldandItalics"/>
              </w:rPr>
              <w:t>Performance</w:t>
            </w:r>
            <w:r w:rsidRPr="005476E7">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5476E7" w:rsidP="005476E7">
            <w:pPr>
              <w:pStyle w:val="ListBullet"/>
            </w:pPr>
            <w:r w:rsidRPr="005476E7">
              <w:t>concepts and plans</w:t>
            </w:r>
          </w:p>
          <w:p w:rsidR="00000000" w:rsidRPr="005476E7" w:rsidP="005476E7">
            <w:pPr>
              <w:pStyle w:val="ListBullet"/>
            </w:pPr>
            <w:r w:rsidRPr="005476E7">
              <w:t>customer service outcomes</w:t>
            </w:r>
          </w:p>
          <w:p w:rsidR="00000000" w:rsidRPr="005476E7" w:rsidP="005476E7">
            <w:pPr>
              <w:pStyle w:val="ListBullet"/>
            </w:pPr>
            <w:r w:rsidRPr="005476E7">
              <w:t>pr</w:t>
            </w:r>
            <w:r w:rsidRPr="005476E7">
              <w:t>oductive use of property and assets</w:t>
            </w:r>
          </w:p>
          <w:p w:rsidR="00000000" w:rsidP="005476E7">
            <w:pPr>
              <w:pStyle w:val="ListBullet"/>
              <w:rPr>
                <w:lang w:val="en-NZ"/>
              </w:rPr>
            </w:pPr>
            <w:r w:rsidRPr="005476E7">
              <w:t>strategies and placement of capital in property for investment.</w:t>
            </w:r>
          </w:p>
        </w:tc>
      </w:tr>
      <w:tr w:rsidTr="00865BD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476E7">
            <w:pPr>
              <w:pStyle w:val="BodyText"/>
              <w:rPr>
                <w:lang w:val="en-NZ"/>
              </w:rPr>
            </w:pPr>
            <w:r w:rsidRPr="005476E7">
              <w:rPr>
                <w:rStyle w:val="BoldandItalics"/>
              </w:rPr>
              <w:t>Relevant people</w:t>
            </w:r>
            <w:r w:rsidRPr="005476E7">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5476E7" w:rsidP="005476E7">
            <w:pPr>
              <w:pStyle w:val="ListBullet"/>
            </w:pPr>
            <w:r w:rsidRPr="005476E7">
              <w:t>accountants</w:t>
            </w:r>
          </w:p>
          <w:p w:rsidR="00000000" w:rsidRPr="005476E7" w:rsidP="005476E7">
            <w:pPr>
              <w:pStyle w:val="ListBullet"/>
            </w:pPr>
            <w:r w:rsidRPr="005476E7">
              <w:t>analysts</w:t>
            </w:r>
          </w:p>
          <w:p w:rsidR="00000000" w:rsidRPr="005476E7" w:rsidP="005476E7">
            <w:pPr>
              <w:pStyle w:val="ListBullet"/>
            </w:pPr>
            <w:r w:rsidRPr="005476E7">
              <w:t>clients</w:t>
            </w:r>
          </w:p>
          <w:p w:rsidR="00000000" w:rsidRPr="005476E7" w:rsidP="005476E7">
            <w:pPr>
              <w:pStyle w:val="ListBullet"/>
            </w:pPr>
            <w:r w:rsidRPr="005476E7">
              <w:t>government personnel</w:t>
            </w:r>
          </w:p>
          <w:p w:rsidR="00000000" w:rsidRPr="005476E7" w:rsidP="005476E7">
            <w:pPr>
              <w:pStyle w:val="ListBullet"/>
            </w:pPr>
            <w:r w:rsidRPr="005476E7">
              <w:t>legal representatives</w:t>
            </w:r>
          </w:p>
          <w:p w:rsidR="00000000" w:rsidRPr="005476E7" w:rsidP="005476E7">
            <w:pPr>
              <w:pStyle w:val="ListBullet"/>
            </w:pPr>
            <w:r w:rsidRPr="005476E7">
              <w:t>management and colleagues</w:t>
            </w:r>
          </w:p>
          <w:p w:rsidR="00000000" w:rsidRPr="005476E7" w:rsidP="005476E7">
            <w:pPr>
              <w:pStyle w:val="ListBullet"/>
            </w:pPr>
            <w:r w:rsidRPr="005476E7">
              <w:t>members of industry associations</w:t>
            </w:r>
          </w:p>
          <w:p w:rsidR="00000000" w:rsidP="005476E7">
            <w:pPr>
              <w:pStyle w:val="ListBullet"/>
              <w:rPr>
                <w:lang w:val="en-NZ"/>
              </w:rPr>
            </w:pPr>
            <w:r w:rsidRPr="005476E7">
              <w:t>taxation specialists.</w:t>
            </w:r>
          </w:p>
        </w:tc>
      </w:tr>
      <w:tr w:rsidTr="00865BD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476E7">
            <w:pPr>
              <w:pStyle w:val="BodyText"/>
              <w:rPr>
                <w:lang w:val="en-NZ"/>
              </w:rPr>
            </w:pPr>
            <w:r w:rsidRPr="005476E7">
              <w:rPr>
                <w:rStyle w:val="BoldandItalics"/>
              </w:rPr>
              <w:t>Organisational requirements</w:t>
            </w:r>
            <w:r w:rsidRPr="005476E7">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5476E7" w:rsidP="005476E7">
            <w:pPr>
              <w:pStyle w:val="ListBullet"/>
            </w:pPr>
            <w:r w:rsidRPr="005476E7">
              <w:t>access and equity principles and practice guidelines</w:t>
            </w:r>
          </w:p>
          <w:p w:rsidR="00000000" w:rsidRPr="005476E7" w:rsidP="005476E7">
            <w:pPr>
              <w:pStyle w:val="ListBullet"/>
            </w:pPr>
            <w:r w:rsidRPr="005476E7">
              <w:t>business and performance plans</w:t>
            </w:r>
          </w:p>
          <w:p w:rsidR="00000000" w:rsidRPr="005476E7" w:rsidP="005476E7">
            <w:pPr>
              <w:pStyle w:val="ListBullet"/>
            </w:pPr>
            <w:r w:rsidRPr="005476E7">
              <w:t>complaint and dispute resolution procedures</w:t>
            </w:r>
          </w:p>
          <w:p w:rsidR="00000000" w:rsidRPr="005476E7" w:rsidP="005476E7">
            <w:pPr>
              <w:pStyle w:val="ListBullet"/>
            </w:pPr>
            <w:r w:rsidRPr="005476E7">
              <w:t>emergency and evacuation procedures</w:t>
            </w:r>
          </w:p>
          <w:p w:rsidR="00000000" w:rsidRPr="005476E7" w:rsidP="005476E7">
            <w:pPr>
              <w:pStyle w:val="ListBullet"/>
            </w:pPr>
            <w:r w:rsidRPr="005476E7">
              <w:t xml:space="preserve">employer and employee rights and responsibilities </w:t>
            </w:r>
          </w:p>
          <w:p w:rsidR="00000000" w:rsidRPr="005476E7" w:rsidP="005476E7">
            <w:pPr>
              <w:pStyle w:val="ListBullet"/>
            </w:pPr>
            <w:r w:rsidRPr="005476E7">
              <w:t>goals, objectives, plans, systems and processes</w:t>
            </w:r>
          </w:p>
          <w:p w:rsidR="00000000" w:rsidRPr="005476E7" w:rsidP="005476E7">
            <w:pPr>
              <w:pStyle w:val="ListBullet"/>
            </w:pPr>
            <w:r w:rsidRPr="005476E7">
              <w:t>legal and ethical requirements and codes of practice</w:t>
            </w:r>
          </w:p>
          <w:p w:rsidR="00000000" w:rsidRPr="005476E7" w:rsidP="005476E7">
            <w:pPr>
              <w:pStyle w:val="ListBullet"/>
            </w:pPr>
            <w:r w:rsidRPr="005476E7">
              <w:t>mission statements and strategic plans</w:t>
            </w:r>
          </w:p>
          <w:p w:rsidR="00000000" w:rsidRPr="005476E7" w:rsidP="005476E7">
            <w:pPr>
              <w:pStyle w:val="ListBullet"/>
            </w:pPr>
            <w:r w:rsidRPr="005476E7">
              <w:t xml:space="preserve">OHS policies, procedures and </w:t>
            </w:r>
            <w:r w:rsidRPr="005476E7">
              <w:t>programs</w:t>
            </w:r>
          </w:p>
          <w:p w:rsidR="00000000" w:rsidRPr="005476E7" w:rsidP="005476E7">
            <w:pPr>
              <w:pStyle w:val="ListBullet"/>
            </w:pPr>
            <w:r w:rsidRPr="005476E7">
              <w:t>policies and procedures in relation to client service</w:t>
            </w:r>
          </w:p>
          <w:p w:rsidR="00000000" w:rsidRPr="005476E7" w:rsidP="005476E7">
            <w:pPr>
              <w:pStyle w:val="ListBullet"/>
            </w:pPr>
            <w:r w:rsidRPr="005476E7">
              <w:t>policies and procedures relating to own role and responsibility</w:t>
            </w:r>
          </w:p>
          <w:p w:rsidR="00000000" w:rsidRPr="005476E7" w:rsidP="005476E7">
            <w:pPr>
              <w:pStyle w:val="ListBullet"/>
            </w:pPr>
            <w:r w:rsidRPr="005476E7">
              <w:t>quality and continuous improvement processes and standards</w:t>
            </w:r>
          </w:p>
          <w:p w:rsidR="00000000" w:rsidRPr="005476E7" w:rsidP="005476E7">
            <w:pPr>
              <w:pStyle w:val="ListBullet"/>
            </w:pPr>
            <w:r w:rsidRPr="005476E7">
              <w:t>quality assurance and procedure manuals</w:t>
            </w:r>
          </w:p>
          <w:p w:rsidR="00000000" w:rsidP="005476E7">
            <w:pPr>
              <w:pStyle w:val="ListBullet"/>
              <w:rPr>
                <w:lang w:val="en-NZ"/>
              </w:rPr>
            </w:pPr>
            <w:r w:rsidRPr="005476E7">
              <w:t>records and information system</w:t>
            </w:r>
            <w:r w:rsidRPr="005476E7">
              <w:t>s and processes.</w:t>
            </w:r>
          </w:p>
        </w:tc>
      </w:tr>
      <w:tr w:rsidTr="00865BD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476E7">
            <w:pPr>
              <w:pStyle w:val="BodyText"/>
              <w:rPr>
                <w:lang w:val="en-NZ"/>
              </w:rPr>
            </w:pPr>
            <w:r w:rsidRPr="005476E7">
              <w:rPr>
                <w:rStyle w:val="BoldandItalics"/>
              </w:rPr>
              <w:t>Clients</w:t>
            </w:r>
            <w:r w:rsidRPr="005476E7">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5476E7" w:rsidP="005476E7">
            <w:pPr>
              <w:pStyle w:val="ListBullet"/>
            </w:pPr>
            <w:r w:rsidRPr="005476E7">
              <w:t>developers</w:t>
            </w:r>
          </w:p>
          <w:p w:rsidR="00000000" w:rsidRPr="005476E7" w:rsidP="005476E7">
            <w:pPr>
              <w:pStyle w:val="ListBullet"/>
            </w:pPr>
            <w:r w:rsidRPr="005476E7">
              <w:t>financial institutions</w:t>
            </w:r>
          </w:p>
          <w:p w:rsidR="00000000" w:rsidRPr="005476E7" w:rsidP="005476E7">
            <w:pPr>
              <w:pStyle w:val="ListBullet"/>
            </w:pPr>
            <w:r w:rsidRPr="005476E7">
              <w:t>fund managers</w:t>
            </w:r>
          </w:p>
          <w:p w:rsidR="00000000" w:rsidRPr="005476E7" w:rsidP="005476E7">
            <w:pPr>
              <w:pStyle w:val="ListBullet"/>
            </w:pPr>
            <w:r w:rsidRPr="005476E7">
              <w:t>internal and external property groups</w:t>
            </w:r>
          </w:p>
          <w:p w:rsidR="00000000" w:rsidRPr="005476E7" w:rsidP="005476E7">
            <w:pPr>
              <w:pStyle w:val="ListBullet"/>
            </w:pPr>
            <w:r w:rsidRPr="005476E7">
              <w:t>investment organisations</w:t>
            </w:r>
          </w:p>
          <w:p w:rsidR="00000000" w:rsidRPr="005476E7" w:rsidP="005476E7">
            <w:pPr>
              <w:pStyle w:val="ListBullet"/>
            </w:pPr>
            <w:r w:rsidRPr="005476E7">
              <w:t>joint ventures</w:t>
            </w:r>
          </w:p>
          <w:p w:rsidR="00000000" w:rsidRPr="005476E7" w:rsidP="005476E7">
            <w:pPr>
              <w:pStyle w:val="ListBullet"/>
            </w:pPr>
            <w:r w:rsidRPr="005476E7">
              <w:t>owner-occupiers</w:t>
            </w:r>
          </w:p>
          <w:p w:rsidR="00000000" w:rsidRPr="005476E7" w:rsidP="005476E7">
            <w:pPr>
              <w:pStyle w:val="ListBullet"/>
            </w:pPr>
            <w:r w:rsidRPr="005476E7">
              <w:t>partners</w:t>
            </w:r>
          </w:p>
          <w:p w:rsidR="00000000" w:rsidP="005476E7">
            <w:pPr>
              <w:pStyle w:val="ListBullet"/>
              <w:rPr>
                <w:lang w:val="en-NZ"/>
              </w:rPr>
            </w:pPr>
            <w:r w:rsidRPr="005476E7">
              <w:t>unit trustees.</w:t>
            </w:r>
          </w:p>
        </w:tc>
      </w:tr>
      <w:tr w:rsidTr="00865BD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476E7">
            <w:pPr>
              <w:pStyle w:val="BodyText"/>
              <w:rPr>
                <w:lang w:val="en-NZ"/>
              </w:rPr>
            </w:pPr>
            <w:r w:rsidRPr="005476E7">
              <w:rPr>
                <w:rStyle w:val="BoldandItalics"/>
              </w:rPr>
              <w:t>Client needs and expectations</w:t>
            </w:r>
            <w:r w:rsidRPr="005476E7">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5476E7" w:rsidP="005476E7">
            <w:pPr>
              <w:pStyle w:val="ListBullet"/>
            </w:pPr>
            <w:r w:rsidRPr="005476E7">
              <w:t>immediate capital gains</w:t>
            </w:r>
          </w:p>
          <w:p w:rsidR="00000000" w:rsidP="005476E7">
            <w:pPr>
              <w:pStyle w:val="ListBullet"/>
              <w:rPr>
                <w:lang w:val="en-NZ"/>
              </w:rPr>
            </w:pPr>
            <w:r w:rsidRPr="005476E7">
              <w:t>long-term capital gains.</w:t>
            </w:r>
          </w:p>
        </w:tc>
      </w:tr>
      <w:tr w:rsidTr="00865BD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476E7">
            <w:pPr>
              <w:pStyle w:val="BodyText"/>
              <w:rPr>
                <w:lang w:val="en-NZ"/>
              </w:rPr>
            </w:pPr>
            <w:r w:rsidRPr="005476E7">
              <w:rPr>
                <w:rStyle w:val="BoldandItalics"/>
              </w:rPr>
              <w:t>Consultative processes</w:t>
            </w:r>
            <w:r w:rsidRPr="005476E7">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5476E7" w:rsidP="005476E7">
            <w:pPr>
              <w:pStyle w:val="ListBullet"/>
            </w:pPr>
            <w:r w:rsidRPr="005476E7">
              <w:t>face-to-face meetings</w:t>
            </w:r>
          </w:p>
          <w:p w:rsidR="00000000" w:rsidP="005476E7">
            <w:pPr>
              <w:pStyle w:val="ListBullet"/>
              <w:rPr>
                <w:lang w:val="en-NZ"/>
              </w:rPr>
            </w:pPr>
            <w:r w:rsidRPr="005476E7">
              <w:t>telephone, facsimile and written communication.</w:t>
            </w:r>
          </w:p>
        </w:tc>
      </w:tr>
      <w:tr w:rsidTr="00865BD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476E7">
            <w:pPr>
              <w:pStyle w:val="BodyText"/>
              <w:rPr>
                <w:lang w:val="en-NZ"/>
              </w:rPr>
            </w:pPr>
            <w:r w:rsidRPr="005476E7">
              <w:rPr>
                <w:rStyle w:val="BoldandItalics"/>
              </w:rPr>
              <w:t>Source documents</w:t>
            </w:r>
            <w:r w:rsidRPr="005476E7">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5476E7" w:rsidP="005476E7">
            <w:pPr>
              <w:pStyle w:val="ListBullet"/>
            </w:pPr>
            <w:r w:rsidRPr="005476E7">
              <w:t>business plans</w:t>
            </w:r>
          </w:p>
          <w:p w:rsidR="00000000" w:rsidRPr="005476E7" w:rsidP="005476E7">
            <w:pPr>
              <w:pStyle w:val="ListBullet"/>
            </w:pPr>
            <w:r w:rsidRPr="005476E7">
              <w:t>comparative market data</w:t>
            </w:r>
          </w:p>
          <w:p w:rsidR="00000000" w:rsidRPr="005476E7" w:rsidP="005476E7">
            <w:pPr>
              <w:pStyle w:val="ListBullet"/>
            </w:pPr>
            <w:r w:rsidRPr="005476E7">
              <w:t>depreciation schedules</w:t>
            </w:r>
          </w:p>
          <w:p w:rsidR="00000000" w:rsidRPr="005476E7" w:rsidP="005476E7">
            <w:pPr>
              <w:pStyle w:val="ListBullet"/>
            </w:pPr>
            <w:r w:rsidRPr="005476E7">
              <w:t>financial documents</w:t>
            </w:r>
          </w:p>
          <w:p w:rsidR="00000000" w:rsidRPr="005476E7" w:rsidP="005476E7">
            <w:pPr>
              <w:pStyle w:val="ListBullet"/>
            </w:pPr>
            <w:r w:rsidRPr="005476E7">
              <w:t>government statistics</w:t>
            </w:r>
          </w:p>
          <w:p w:rsidR="00000000" w:rsidRPr="005476E7" w:rsidP="005476E7">
            <w:pPr>
              <w:pStyle w:val="ListBullet"/>
            </w:pPr>
            <w:r w:rsidRPr="005476E7">
              <w:t>marketing plans</w:t>
            </w:r>
          </w:p>
          <w:p w:rsidR="00000000" w:rsidRPr="005476E7" w:rsidP="005476E7">
            <w:pPr>
              <w:pStyle w:val="ListBullet"/>
            </w:pPr>
            <w:r w:rsidRPr="005476E7">
              <w:t>property valuation statements</w:t>
            </w:r>
          </w:p>
          <w:p w:rsidR="00000000" w:rsidRPr="005476E7" w:rsidP="005476E7">
            <w:pPr>
              <w:pStyle w:val="ListBullet"/>
            </w:pPr>
            <w:r w:rsidRPr="005476E7">
              <w:t>qualitative and quantitative data</w:t>
            </w:r>
          </w:p>
          <w:p w:rsidR="00000000" w:rsidRPr="005476E7" w:rsidP="005476E7">
            <w:pPr>
              <w:pStyle w:val="ListBullet"/>
            </w:pPr>
            <w:r w:rsidRPr="005476E7">
              <w:t>reports and inventories</w:t>
            </w:r>
          </w:p>
          <w:p w:rsidR="00000000" w:rsidP="005476E7">
            <w:pPr>
              <w:pStyle w:val="ListBullet"/>
              <w:rPr>
                <w:lang w:val="en-NZ"/>
              </w:rPr>
            </w:pPr>
            <w:r w:rsidRPr="005476E7">
              <w:t>taxation records.</w:t>
            </w:r>
          </w:p>
        </w:tc>
      </w:tr>
      <w:tr w:rsidTr="00865BD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476E7">
            <w:pPr>
              <w:pStyle w:val="BodyText"/>
              <w:rPr>
                <w:lang w:val="en-NZ"/>
              </w:rPr>
            </w:pPr>
            <w:r w:rsidRPr="005476E7">
              <w:rPr>
                <w:rStyle w:val="BoldandItalics"/>
              </w:rPr>
              <w:t>Legislative requirements</w:t>
            </w:r>
            <w:r w:rsidRPr="005476E7">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5476E7" w:rsidP="005476E7">
            <w:pPr>
              <w:pStyle w:val="ListBullet"/>
            </w:pPr>
            <w:r w:rsidRPr="005476E7">
              <w:t>Australian standards</w:t>
            </w:r>
          </w:p>
          <w:p w:rsidR="00000000" w:rsidRPr="005476E7" w:rsidP="005476E7">
            <w:pPr>
              <w:pStyle w:val="ListBullet"/>
            </w:pPr>
            <w:r w:rsidRPr="005476E7">
              <w:t>general duty of care to clients</w:t>
            </w:r>
          </w:p>
          <w:p w:rsidR="00000000" w:rsidRPr="005476E7" w:rsidP="005476E7">
            <w:pPr>
              <w:pStyle w:val="ListBullet"/>
            </w:pPr>
            <w:r w:rsidRPr="005476E7">
              <w:t>home building requirements</w:t>
            </w:r>
          </w:p>
          <w:p w:rsidR="00000000" w:rsidRPr="005476E7" w:rsidP="005476E7">
            <w:pPr>
              <w:pStyle w:val="ListBullet"/>
            </w:pPr>
            <w:r w:rsidRPr="005476E7">
              <w:t>privacy requirements</w:t>
            </w:r>
          </w:p>
          <w:p w:rsidR="00000000" w:rsidRPr="005476E7" w:rsidP="005476E7">
            <w:pPr>
              <w:pStyle w:val="ListBullet"/>
            </w:pPr>
            <w:r w:rsidRPr="005476E7">
              <w:t>relevant federal, and state or territory legislation that affects organisational operation, including:</w:t>
            </w:r>
          </w:p>
          <w:p w:rsidR="00000000" w:rsidRPr="005476E7" w:rsidP="005476E7">
            <w:pPr>
              <w:pStyle w:val="ListBullet2"/>
            </w:pPr>
            <w:r w:rsidRPr="005476E7">
              <w:t>anti-discrimination and diversity</w:t>
            </w:r>
          </w:p>
          <w:p w:rsidR="00000000" w:rsidRPr="005476E7" w:rsidP="005476E7">
            <w:pPr>
              <w:pStyle w:val="ListBullet2"/>
            </w:pPr>
            <w:r w:rsidRPr="005476E7">
              <w:t>environmental issues</w:t>
            </w:r>
          </w:p>
          <w:p w:rsidR="00000000" w:rsidRPr="005476E7" w:rsidP="005476E7">
            <w:pPr>
              <w:pStyle w:val="ListBullet2"/>
            </w:pPr>
            <w:r w:rsidRPr="005476E7">
              <w:t>EEO</w:t>
            </w:r>
          </w:p>
          <w:p w:rsidR="00000000" w:rsidRPr="005476E7" w:rsidP="005476E7">
            <w:pPr>
              <w:pStyle w:val="ListBullet2"/>
            </w:pPr>
            <w:r w:rsidRPr="005476E7">
              <w:t>industrial re</w:t>
            </w:r>
            <w:r w:rsidRPr="005476E7">
              <w:t>lations</w:t>
            </w:r>
          </w:p>
          <w:p w:rsidR="00000000" w:rsidRPr="005476E7" w:rsidP="005476E7">
            <w:pPr>
              <w:pStyle w:val="ListBullet2"/>
            </w:pPr>
            <w:r w:rsidRPr="005476E7">
              <w:t>OHS</w:t>
            </w:r>
          </w:p>
          <w:p w:rsidR="00000000" w:rsidRPr="005476E7" w:rsidP="005476E7">
            <w:pPr>
              <w:pStyle w:val="ListBullet"/>
            </w:pPr>
            <w:r w:rsidRPr="005476E7">
              <w:t>relevant industry codes of practice covering the market sector and industry, financial transactions, taxation, environment, construction, land use, native title, zoning, utilities use (water, gas and electricity), and contract or common law</w:t>
            </w:r>
          </w:p>
          <w:p w:rsidR="00000000" w:rsidRPr="005476E7" w:rsidP="005476E7">
            <w:pPr>
              <w:pStyle w:val="ListBullet"/>
            </w:pPr>
            <w:r w:rsidRPr="005476E7">
              <w:t>st</w:t>
            </w:r>
            <w:r w:rsidRPr="005476E7">
              <w:t>rata, community and company titles</w:t>
            </w:r>
          </w:p>
          <w:p w:rsidR="00000000" w:rsidRPr="005476E7" w:rsidP="005476E7">
            <w:pPr>
              <w:pStyle w:val="ListBullet"/>
            </w:pPr>
            <w:r w:rsidRPr="005476E7">
              <w:t>tenancy agreements</w:t>
            </w:r>
          </w:p>
          <w:p w:rsidR="00000000" w:rsidP="005476E7">
            <w:pPr>
              <w:pStyle w:val="ListBullet"/>
              <w:rPr>
                <w:lang w:val="en-NZ"/>
              </w:rPr>
            </w:pPr>
            <w:r w:rsidRPr="005476E7">
              <w:t>trade practices laws and guidelines.</w:t>
            </w:r>
          </w:p>
        </w:tc>
      </w:tr>
      <w:tr w:rsidTr="00865BD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476E7">
            <w:pPr>
              <w:pStyle w:val="BodyText"/>
              <w:rPr>
                <w:lang w:val="en-NZ"/>
              </w:rPr>
            </w:pPr>
            <w:r w:rsidRPr="005476E7">
              <w:rPr>
                <w:rStyle w:val="BoldandItalics"/>
              </w:rPr>
              <w:t>Specialist advice</w:t>
            </w:r>
            <w:r w:rsidRPr="005476E7">
              <w:t xml:space="preserve"> may be sought from:</w:t>
            </w:r>
          </w:p>
        </w:tc>
        <w:tc>
          <w:tcPr>
            <w:tcW w:w="5918" w:type="dxa"/>
            <w:tcBorders>
              <w:top w:val="nil"/>
              <w:left w:val="nil"/>
              <w:bottom w:val="nil"/>
              <w:right w:val="nil"/>
            </w:tcBorders>
            <w:tcMar>
              <w:top w:w="0" w:type="dxa"/>
              <w:left w:w="62" w:type="dxa"/>
              <w:bottom w:w="0" w:type="dxa"/>
              <w:right w:w="62" w:type="dxa"/>
            </w:tcMar>
          </w:tcPr>
          <w:p w:rsidR="00000000" w:rsidRPr="005476E7" w:rsidP="005476E7">
            <w:pPr>
              <w:pStyle w:val="ListBullet"/>
            </w:pPr>
            <w:r w:rsidRPr="005476E7">
              <w:t>architects</w:t>
            </w:r>
          </w:p>
          <w:p w:rsidR="00000000" w:rsidRPr="005476E7" w:rsidP="005476E7">
            <w:pPr>
              <w:pStyle w:val="ListBullet"/>
            </w:pPr>
            <w:r w:rsidRPr="005476E7">
              <w:t>bankers and financiers</w:t>
            </w:r>
          </w:p>
          <w:p w:rsidR="00000000" w:rsidRPr="005476E7" w:rsidP="005476E7">
            <w:pPr>
              <w:pStyle w:val="ListBullet"/>
            </w:pPr>
            <w:r w:rsidRPr="005476E7">
              <w:t>builders</w:t>
            </w:r>
          </w:p>
          <w:p w:rsidR="00000000" w:rsidRPr="005476E7" w:rsidP="005476E7">
            <w:pPr>
              <w:pStyle w:val="ListBullet"/>
            </w:pPr>
            <w:r w:rsidRPr="005476E7">
              <w:t>environmental auditors</w:t>
            </w:r>
          </w:p>
          <w:p w:rsidR="00000000" w:rsidRPr="005476E7" w:rsidP="005476E7">
            <w:pPr>
              <w:pStyle w:val="ListBullet"/>
            </w:pPr>
            <w:r w:rsidRPr="005476E7">
              <w:t>government officials</w:t>
            </w:r>
          </w:p>
          <w:p w:rsidR="00000000" w:rsidRPr="005476E7" w:rsidP="005476E7">
            <w:pPr>
              <w:pStyle w:val="ListBullet"/>
            </w:pPr>
            <w:r w:rsidRPr="005476E7">
              <w:t>investment consultants</w:t>
            </w:r>
          </w:p>
          <w:p w:rsidR="00000000" w:rsidRPr="005476E7" w:rsidP="005476E7">
            <w:pPr>
              <w:pStyle w:val="ListBullet"/>
            </w:pPr>
            <w:r w:rsidRPr="005476E7">
              <w:t>members of industry associations</w:t>
            </w:r>
          </w:p>
          <w:p w:rsidR="00000000" w:rsidRPr="005476E7" w:rsidP="005476E7">
            <w:pPr>
              <w:pStyle w:val="ListBullet"/>
            </w:pPr>
            <w:r w:rsidRPr="005476E7">
              <w:t>real estate agents</w:t>
            </w:r>
          </w:p>
          <w:p w:rsidR="00000000" w:rsidRPr="005476E7" w:rsidP="005476E7">
            <w:pPr>
              <w:pStyle w:val="ListBullet"/>
            </w:pPr>
            <w:r w:rsidRPr="005476E7">
              <w:t>solicitors</w:t>
            </w:r>
          </w:p>
          <w:p w:rsidR="00000000" w:rsidRPr="005476E7" w:rsidP="005476E7">
            <w:pPr>
              <w:pStyle w:val="ListBullet"/>
            </w:pPr>
            <w:r w:rsidRPr="005476E7">
              <w:t>technical experts</w:t>
            </w:r>
          </w:p>
          <w:p w:rsidR="00000000" w:rsidP="005476E7">
            <w:pPr>
              <w:pStyle w:val="ListBullet"/>
              <w:rPr>
                <w:lang w:val="en-NZ"/>
              </w:rPr>
            </w:pPr>
            <w:r w:rsidRPr="005476E7">
              <w:t>valuers.</w:t>
            </w:r>
          </w:p>
        </w:tc>
      </w:tr>
      <w:tr w:rsidTr="00865BD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476E7">
            <w:pPr>
              <w:pStyle w:val="BodyText"/>
              <w:rPr>
                <w:lang w:val="en-NZ"/>
              </w:rPr>
            </w:pPr>
            <w:r w:rsidRPr="005476E7">
              <w:rPr>
                <w:rStyle w:val="BoldandItalics"/>
              </w:rPr>
              <w:t>Performance of portfolio</w:t>
            </w:r>
            <w:r w:rsidRPr="005476E7">
              <w:t xml:space="preserve"> may be influenced by:</w:t>
            </w:r>
          </w:p>
        </w:tc>
        <w:tc>
          <w:tcPr>
            <w:tcW w:w="5918" w:type="dxa"/>
            <w:tcBorders>
              <w:top w:val="nil"/>
              <w:left w:val="nil"/>
              <w:bottom w:val="nil"/>
              <w:right w:val="nil"/>
            </w:tcBorders>
            <w:tcMar>
              <w:top w:w="0" w:type="dxa"/>
              <w:left w:w="62" w:type="dxa"/>
              <w:bottom w:w="0" w:type="dxa"/>
              <w:right w:w="62" w:type="dxa"/>
            </w:tcMar>
          </w:tcPr>
          <w:p w:rsidR="00000000" w:rsidRPr="005476E7" w:rsidP="005476E7">
            <w:pPr>
              <w:pStyle w:val="ListBullet"/>
            </w:pPr>
            <w:r w:rsidRPr="005476E7">
              <w:t>capacity to improve assets</w:t>
            </w:r>
          </w:p>
          <w:p w:rsidR="00000000" w:rsidRPr="005476E7" w:rsidP="005476E7">
            <w:pPr>
              <w:pStyle w:val="ListBullet"/>
            </w:pPr>
            <w:r w:rsidRPr="005476E7">
              <w:t>capital growth versus short-term gain</w:t>
            </w:r>
          </w:p>
          <w:p w:rsidR="00000000" w:rsidRPr="005476E7" w:rsidP="005476E7">
            <w:pPr>
              <w:pStyle w:val="ListBullet"/>
            </w:pPr>
            <w:r w:rsidRPr="005476E7">
              <w:t>cash flows</w:t>
            </w:r>
          </w:p>
          <w:p w:rsidR="00000000" w:rsidRPr="005476E7" w:rsidP="005476E7">
            <w:pPr>
              <w:pStyle w:val="ListBullet"/>
            </w:pPr>
            <w:r w:rsidRPr="005476E7">
              <w:t>change to organisational structure</w:t>
            </w:r>
          </w:p>
          <w:p w:rsidR="00000000" w:rsidRPr="005476E7" w:rsidP="005476E7">
            <w:pPr>
              <w:pStyle w:val="ListBullet"/>
            </w:pPr>
            <w:r w:rsidRPr="005476E7">
              <w:t>demographics</w:t>
            </w:r>
          </w:p>
          <w:p w:rsidR="00000000" w:rsidRPr="005476E7" w:rsidP="005476E7">
            <w:pPr>
              <w:pStyle w:val="ListBullet"/>
            </w:pPr>
            <w:r w:rsidRPr="005476E7">
              <w:t>gearing possibilities</w:t>
            </w:r>
          </w:p>
          <w:p w:rsidR="00000000" w:rsidRPr="005476E7" w:rsidP="005476E7">
            <w:pPr>
              <w:pStyle w:val="ListBullet"/>
            </w:pPr>
            <w:r w:rsidRPr="005476E7">
              <w:t>geographic aspects</w:t>
            </w:r>
          </w:p>
          <w:p w:rsidR="00000000" w:rsidRPr="005476E7" w:rsidP="005476E7">
            <w:pPr>
              <w:pStyle w:val="ListBullet"/>
            </w:pPr>
            <w:r w:rsidRPr="005476E7">
              <w:t>limits to financial resources</w:t>
            </w:r>
          </w:p>
          <w:p w:rsidR="00000000" w:rsidRPr="005476E7" w:rsidP="005476E7">
            <w:pPr>
              <w:pStyle w:val="ListBullet"/>
            </w:pPr>
            <w:r w:rsidRPr="005476E7">
              <w:t>return on investment</w:t>
            </w:r>
          </w:p>
          <w:p w:rsidR="00000000" w:rsidP="005476E7">
            <w:pPr>
              <w:pStyle w:val="ListBullet"/>
              <w:rPr>
                <w:lang w:val="en-NZ"/>
              </w:rPr>
            </w:pPr>
            <w:r w:rsidRPr="005476E7">
              <w:t>return versus risk</w:t>
            </w:r>
          </w:p>
        </w:tc>
      </w:tr>
      <w:tr w:rsidTr="00865BD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476E7">
            <w:pPr>
              <w:pStyle w:val="BodyText"/>
              <w:rPr>
                <w:lang w:val="en-NZ"/>
              </w:rPr>
            </w:pPr>
          </w:p>
        </w:tc>
        <w:tc>
          <w:tcPr>
            <w:tcW w:w="5918" w:type="dxa"/>
            <w:tcBorders>
              <w:top w:val="nil"/>
              <w:left w:val="nil"/>
              <w:bottom w:val="nil"/>
              <w:right w:val="nil"/>
            </w:tcBorders>
            <w:tcMar>
              <w:top w:w="0" w:type="dxa"/>
              <w:left w:w="62" w:type="dxa"/>
              <w:bottom w:w="0" w:type="dxa"/>
              <w:right w:w="62" w:type="dxa"/>
            </w:tcMar>
          </w:tcPr>
          <w:p w:rsidR="00000000" w:rsidRPr="005476E7" w:rsidP="005476E7">
            <w:pPr>
              <w:pStyle w:val="ListBullet"/>
            </w:pPr>
            <w:r w:rsidRPr="005476E7">
              <w:t>taxation considerations</w:t>
            </w:r>
          </w:p>
          <w:p w:rsidR="00000000" w:rsidP="005476E7">
            <w:pPr>
              <w:pStyle w:val="ListBullet"/>
              <w:rPr>
                <w:lang w:val="en-NZ"/>
              </w:rPr>
            </w:pPr>
            <w:r w:rsidRPr="005476E7">
              <w:t>type of property or facility.</w:t>
            </w:r>
          </w:p>
        </w:tc>
      </w:tr>
      <w:tr w:rsidTr="00865BD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476E7">
            <w:pPr>
              <w:pStyle w:val="BodyText"/>
              <w:rPr>
                <w:lang w:val="en-NZ"/>
              </w:rPr>
            </w:pPr>
            <w:r w:rsidRPr="005476E7">
              <w:rPr>
                <w:rStyle w:val="BoldandItalics"/>
              </w:rPr>
              <w:t>Market conditions</w:t>
            </w:r>
            <w:r w:rsidRPr="005476E7">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5476E7" w:rsidP="005476E7">
            <w:pPr>
              <w:pStyle w:val="ListBullet"/>
            </w:pPr>
            <w:r w:rsidRPr="005476E7">
              <w:t>availability of alternatives</w:t>
            </w:r>
          </w:p>
          <w:p w:rsidR="00000000" w:rsidRPr="005476E7" w:rsidP="005476E7">
            <w:pPr>
              <w:pStyle w:val="ListBullet"/>
            </w:pPr>
            <w:r w:rsidRPr="005476E7">
              <w:t>business confidence</w:t>
            </w:r>
          </w:p>
          <w:p w:rsidR="00000000" w:rsidRPr="005476E7" w:rsidP="005476E7">
            <w:pPr>
              <w:pStyle w:val="ListBullet"/>
            </w:pPr>
            <w:r w:rsidRPr="005476E7">
              <w:t>economic conditions</w:t>
            </w:r>
          </w:p>
          <w:p w:rsidR="00000000" w:rsidP="005476E7">
            <w:pPr>
              <w:pStyle w:val="ListBullet"/>
              <w:rPr>
                <w:lang w:val="en-NZ"/>
              </w:rPr>
            </w:pPr>
            <w:r w:rsidRPr="005476E7">
              <w:t>level of competition.</w:t>
            </w:r>
          </w:p>
        </w:tc>
      </w:tr>
      <w:tr w:rsidTr="00865BD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476E7">
            <w:pPr>
              <w:pStyle w:val="BodyText"/>
              <w:rPr>
                <w:lang w:val="en-NZ"/>
              </w:rPr>
            </w:pPr>
            <w:r w:rsidRPr="005476E7">
              <w:rPr>
                <w:rStyle w:val="BoldandItalics"/>
              </w:rPr>
              <w:t>Industry benchmarks</w:t>
            </w:r>
            <w:r w:rsidRPr="005476E7">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5476E7" w:rsidP="005476E7">
            <w:pPr>
              <w:pStyle w:val="ListBullet"/>
            </w:pPr>
            <w:r w:rsidRPr="005476E7">
              <w:t>discounted cash flow</w:t>
            </w:r>
          </w:p>
          <w:p w:rsidR="00000000" w:rsidRPr="005476E7" w:rsidP="005476E7">
            <w:pPr>
              <w:pStyle w:val="ListBullet"/>
            </w:pPr>
            <w:r w:rsidRPr="005476E7">
              <w:t>employment rates</w:t>
            </w:r>
          </w:p>
          <w:p w:rsidR="00000000" w:rsidRPr="005476E7" w:rsidP="005476E7">
            <w:pPr>
              <w:pStyle w:val="ListBullet"/>
            </w:pPr>
            <w:r w:rsidRPr="005476E7">
              <w:t>industry association performance index</w:t>
            </w:r>
          </w:p>
          <w:p w:rsidR="00000000" w:rsidRPr="005476E7" w:rsidP="005476E7">
            <w:pPr>
              <w:pStyle w:val="ListBullet"/>
            </w:pPr>
            <w:r w:rsidRPr="005476E7">
              <w:t>inflation rate</w:t>
            </w:r>
          </w:p>
          <w:p w:rsidR="00000000" w:rsidRPr="005476E7" w:rsidP="005476E7">
            <w:pPr>
              <w:pStyle w:val="ListBullet"/>
            </w:pPr>
            <w:r w:rsidRPr="005476E7">
              <w:t>internal rate of return</w:t>
            </w:r>
          </w:p>
          <w:p w:rsidR="00000000" w:rsidRPr="005476E7" w:rsidP="005476E7">
            <w:pPr>
              <w:pStyle w:val="ListBullet"/>
            </w:pPr>
            <w:r w:rsidRPr="005476E7">
              <w:t>life cycle costing</w:t>
            </w:r>
          </w:p>
          <w:p w:rsidR="00000000" w:rsidRPr="005476E7" w:rsidP="005476E7">
            <w:pPr>
              <w:pStyle w:val="ListBullet"/>
            </w:pPr>
            <w:r w:rsidRPr="005476E7">
              <w:t>published vacancy factor</w:t>
            </w:r>
            <w:r w:rsidRPr="005476E7">
              <w:t>s</w:t>
            </w:r>
          </w:p>
          <w:p w:rsidR="00000000" w:rsidP="005476E7">
            <w:pPr>
              <w:pStyle w:val="ListBullet"/>
              <w:rPr>
                <w:lang w:val="en-NZ"/>
              </w:rPr>
            </w:pPr>
            <w:r w:rsidRPr="005476E7">
              <w:t>tenancy mix.</w:t>
            </w:r>
          </w:p>
        </w:tc>
      </w:tr>
      <w:tr w:rsidTr="00865BD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476E7">
            <w:pPr>
              <w:pStyle w:val="BodyText"/>
              <w:rPr>
                <w:lang w:val="en-NZ"/>
              </w:rPr>
            </w:pPr>
            <w:r w:rsidRPr="005476E7">
              <w:rPr>
                <w:rStyle w:val="BoldandItalics"/>
              </w:rPr>
              <w:t>Recommendations</w:t>
            </w:r>
            <w:r w:rsidRPr="005476E7">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5476E7" w:rsidP="005476E7">
            <w:pPr>
              <w:pStyle w:val="ListBullet"/>
            </w:pPr>
            <w:r w:rsidRPr="005476E7">
              <w:t>new finance arrangements</w:t>
            </w:r>
          </w:p>
          <w:p w:rsidR="00000000" w:rsidRPr="005476E7" w:rsidP="005476E7">
            <w:pPr>
              <w:pStyle w:val="ListBullet"/>
            </w:pPr>
            <w:r w:rsidRPr="005476E7">
              <w:t>new tenant or lease arrangements</w:t>
            </w:r>
          </w:p>
          <w:p w:rsidR="00000000" w:rsidRPr="005476E7" w:rsidP="005476E7">
            <w:pPr>
              <w:pStyle w:val="ListBullet"/>
            </w:pPr>
            <w:r w:rsidRPr="005476E7">
              <w:t>rebuilding</w:t>
            </w:r>
          </w:p>
          <w:p w:rsidR="00000000" w:rsidRPr="005476E7" w:rsidP="005476E7">
            <w:pPr>
              <w:pStyle w:val="ListBullet"/>
            </w:pPr>
            <w:r w:rsidRPr="005476E7">
              <w:t>redeveloping</w:t>
            </w:r>
          </w:p>
          <w:p w:rsidR="00000000" w:rsidRPr="005476E7" w:rsidP="005476E7">
            <w:pPr>
              <w:pStyle w:val="ListBullet"/>
            </w:pPr>
            <w:r w:rsidRPr="005476E7">
              <w:t>refitting</w:t>
            </w:r>
          </w:p>
          <w:p w:rsidR="00000000" w:rsidRPr="005476E7" w:rsidP="005476E7">
            <w:pPr>
              <w:pStyle w:val="ListBullet"/>
            </w:pPr>
            <w:r w:rsidRPr="005476E7">
              <w:t>refurbishment and fit-outs</w:t>
            </w:r>
          </w:p>
          <w:p w:rsidR="00000000" w:rsidRPr="005476E7" w:rsidP="005476E7">
            <w:pPr>
              <w:pStyle w:val="ListBullet"/>
            </w:pPr>
            <w:r w:rsidRPr="005476E7">
              <w:t>renovation</w:t>
            </w:r>
          </w:p>
          <w:p w:rsidR="00000000" w:rsidP="005476E7">
            <w:pPr>
              <w:pStyle w:val="ListBullet"/>
              <w:rPr>
                <w:lang w:val="en-NZ"/>
              </w:rPr>
            </w:pPr>
            <w:r w:rsidRPr="005476E7">
              <w:t>repackaging.</w:t>
            </w:r>
          </w:p>
        </w:tc>
      </w:tr>
      <w:tr w:rsidTr="00865BD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476E7">
            <w:pPr>
              <w:pStyle w:val="BodyText"/>
              <w:rPr>
                <w:lang w:val="en-NZ"/>
              </w:rPr>
            </w:pPr>
            <w:r w:rsidRPr="005476E7">
              <w:rPr>
                <w:rStyle w:val="BoldandItalics"/>
              </w:rPr>
              <w:t>Business equipment and technology</w:t>
            </w:r>
            <w:r w:rsidRPr="005476E7">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5476E7" w:rsidP="005476E7">
            <w:pPr>
              <w:pStyle w:val="ListBullet"/>
            </w:pPr>
            <w:r w:rsidRPr="005476E7">
              <w:t>computers</w:t>
            </w:r>
          </w:p>
          <w:p w:rsidR="00000000" w:rsidRPr="005476E7" w:rsidP="005476E7">
            <w:pPr>
              <w:pStyle w:val="ListBullet"/>
            </w:pPr>
            <w:r w:rsidRPr="005476E7">
              <w:t>data storage devices</w:t>
            </w:r>
          </w:p>
          <w:p w:rsidR="00000000" w:rsidRPr="005476E7" w:rsidP="005476E7">
            <w:pPr>
              <w:pStyle w:val="ListBullet"/>
            </w:pPr>
            <w:r w:rsidRPr="005476E7">
              <w:t>email</w:t>
            </w:r>
          </w:p>
          <w:p w:rsidR="00000000" w:rsidRPr="005476E7" w:rsidP="005476E7">
            <w:pPr>
              <w:pStyle w:val="ListBullet"/>
            </w:pPr>
            <w:r w:rsidRPr="005476E7">
              <w:t>facsimile machines</w:t>
            </w:r>
          </w:p>
          <w:p w:rsidR="00000000" w:rsidRPr="005476E7" w:rsidP="005476E7">
            <w:pPr>
              <w:pStyle w:val="ListBullet"/>
            </w:pPr>
            <w:r w:rsidRPr="005476E7">
              <w:t>internet, extranet and intranet</w:t>
            </w:r>
          </w:p>
          <w:p w:rsidR="00000000" w:rsidRPr="005476E7" w:rsidP="005476E7">
            <w:pPr>
              <w:pStyle w:val="ListBullet"/>
            </w:pPr>
            <w:r w:rsidRPr="005476E7">
              <w:t>photocopiers</w:t>
            </w:r>
          </w:p>
          <w:p w:rsidR="00000000" w:rsidRPr="005476E7" w:rsidP="005476E7">
            <w:pPr>
              <w:pStyle w:val="ListBullet"/>
            </w:pPr>
            <w:r w:rsidRPr="005476E7">
              <w:t>printers and scanners</w:t>
            </w:r>
          </w:p>
          <w:p w:rsidR="00000000" w:rsidP="005476E7">
            <w:pPr>
              <w:pStyle w:val="ListBullet"/>
              <w:rPr>
                <w:lang w:val="en-NZ"/>
              </w:rPr>
            </w:pPr>
            <w:r w:rsidRPr="005476E7">
              <w:t>software applications, such as databases and word applications.</w:t>
            </w:r>
          </w:p>
        </w:tc>
      </w:tr>
      <w:tr w:rsidTr="00865BD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476E7">
            <w:pPr>
              <w:pStyle w:val="BodyText"/>
              <w:rPr>
                <w:lang w:val="en-NZ"/>
              </w:rPr>
            </w:pPr>
            <w:r w:rsidRPr="005476E7">
              <w:rPr>
                <w:rStyle w:val="BoldandItalics"/>
              </w:rPr>
              <w:t>Feedback</w:t>
            </w:r>
            <w:r w:rsidRPr="005476E7">
              <w:t xml:space="preserve"> may be obtained from:</w:t>
            </w:r>
          </w:p>
        </w:tc>
        <w:tc>
          <w:tcPr>
            <w:tcW w:w="5918" w:type="dxa"/>
            <w:tcBorders>
              <w:top w:val="nil"/>
              <w:left w:val="nil"/>
              <w:bottom w:val="nil"/>
              <w:right w:val="nil"/>
            </w:tcBorders>
            <w:tcMar>
              <w:top w:w="0" w:type="dxa"/>
              <w:left w:w="62" w:type="dxa"/>
              <w:bottom w:w="0" w:type="dxa"/>
              <w:right w:w="62" w:type="dxa"/>
            </w:tcMar>
          </w:tcPr>
          <w:p w:rsidR="00000000" w:rsidRPr="005476E7" w:rsidP="005476E7">
            <w:pPr>
              <w:pStyle w:val="ListBullet"/>
            </w:pPr>
            <w:r w:rsidRPr="005476E7">
              <w:t>clients and colleagues</w:t>
            </w:r>
          </w:p>
          <w:p w:rsidR="00000000" w:rsidRPr="005476E7" w:rsidP="005476E7">
            <w:pPr>
              <w:pStyle w:val="ListBullet"/>
            </w:pPr>
            <w:r w:rsidRPr="005476E7">
              <w:t>legal representatives</w:t>
            </w:r>
          </w:p>
          <w:p w:rsidR="00000000" w:rsidRPr="005476E7" w:rsidP="005476E7">
            <w:pPr>
              <w:pStyle w:val="ListBullet"/>
            </w:pPr>
            <w:r w:rsidRPr="005476E7">
              <w:t>documentation and reports</w:t>
            </w:r>
          </w:p>
          <w:p w:rsidR="00000000" w:rsidRPr="005476E7" w:rsidP="005476E7">
            <w:pPr>
              <w:pStyle w:val="ListBullet"/>
            </w:pPr>
            <w:r w:rsidRPr="005476E7">
              <w:t>quality assurance data</w:t>
            </w:r>
          </w:p>
          <w:p w:rsidR="00000000" w:rsidRPr="005476E7" w:rsidP="005476E7">
            <w:pPr>
              <w:pStyle w:val="ListBullet"/>
            </w:pPr>
            <w:r w:rsidRPr="005476E7">
              <w:t>questionnaires</w:t>
            </w:r>
          </w:p>
          <w:p w:rsidR="00000000" w:rsidP="005476E7">
            <w:pPr>
              <w:pStyle w:val="ListBullet"/>
              <w:rPr>
                <w:lang w:val="en-NZ"/>
              </w:rPr>
            </w:pPr>
            <w:r w:rsidRPr="005476E7">
              <w:t>regular meetings.</w:t>
            </w:r>
          </w:p>
        </w:tc>
      </w:tr>
      <w:tr w:rsidTr="00865BD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5476E7" w:rsidP="005476E7">
            <w:pPr>
              <w:pStyle w:val="BodyText"/>
            </w:pPr>
          </w:p>
        </w:tc>
      </w:tr>
    </w:tbl>
    <w:p w:rsidR="00865BD8" w:rsidP="005476E7">
      <w:pPr>
        <w:pStyle w:val="BodyText"/>
      </w:pPr>
    </w:p>
    <w:p w:rsidR="00865BD8" w:rsidP="005476E7">
      <w:pPr>
        <w:pStyle w:val="BodyText"/>
      </w:pPr>
    </w:p>
    <w:p w:rsidR="00000000" w:rsidRPr="005476E7" w:rsidP="005476E7">
      <w:pPr>
        <w:pStyle w:val="Heading1"/>
      </w:pPr>
      <w:bookmarkStart w:id="12" w:name="O_201479"/>
      <w:bookmarkEnd w:id="12"/>
      <w:r w:rsidRPr="005476E7">
        <w:t>Unit Sector(s)</w:t>
      </w:r>
    </w:p>
    <w:tbl>
      <w:tblPr>
        <w:tblW w:w="0" w:type="auto"/>
        <w:tblLayout w:type="fixed"/>
        <w:tblCellMar>
          <w:left w:w="62" w:type="dxa"/>
          <w:right w:w="62" w:type="dxa"/>
        </w:tblCellMar>
        <w:tblLook w:val="0000"/>
      </w:tblPr>
      <w:tblGrid>
        <w:gridCol w:w="2754"/>
        <w:gridCol w:w="5768"/>
      </w:tblGrid>
      <w:tr w:rsidTr="00865BD8">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5476E7">
            <w:pPr>
              <w:pStyle w:val="BodyText"/>
              <w:rPr>
                <w:lang w:val="en-NZ"/>
              </w:rPr>
            </w:pPr>
            <w:r w:rsidRPr="005476E7">
              <w:rPr>
                <w:rStyle w:val="SpecialBold"/>
              </w:rPr>
              <w:t>Unit sector</w:t>
            </w:r>
          </w:p>
        </w:tc>
        <w:tc>
          <w:tcPr>
            <w:tcW w:w="5768" w:type="dxa"/>
            <w:tcBorders>
              <w:top w:val="nil"/>
              <w:left w:val="nil"/>
              <w:bottom w:val="nil"/>
              <w:right w:val="nil"/>
            </w:tcBorders>
            <w:tcMar>
              <w:top w:w="0" w:type="dxa"/>
              <w:left w:w="62" w:type="dxa"/>
              <w:bottom w:w="0" w:type="dxa"/>
              <w:right w:w="62" w:type="dxa"/>
            </w:tcMar>
          </w:tcPr>
          <w:p w:rsidR="00000000" w:rsidRPr="005476E7" w:rsidP="005476E7">
            <w:pPr>
              <w:pStyle w:val="BodyText"/>
            </w:pPr>
            <w:r w:rsidRPr="005476E7">
              <w:t>Property development, sales and management</w:t>
            </w:r>
          </w:p>
        </w:tc>
      </w:tr>
    </w:tbl>
    <w:p w:rsidR="00865BD8" w:rsidP="005476E7">
      <w:pPr>
        <w:pStyle w:val="BodyText"/>
      </w:pPr>
    </w:p>
    <w:p w:rsidR="00865BD8" w:rsidP="005476E7">
      <w:pPr>
        <w:pStyle w:val="BodyText"/>
      </w:pPr>
    </w:p>
    <w:p w:rsidR="00000000" w:rsidRPr="005476E7" w:rsidP="005476E7">
      <w:pPr>
        <w:pStyle w:val="Heading1"/>
      </w:pPr>
      <w:bookmarkStart w:id="13" w:name="O_201478"/>
      <w:bookmarkEnd w:id="13"/>
      <w:r w:rsidRPr="005476E7">
        <w:t>Competency field</w:t>
      </w:r>
    </w:p>
    <w:tbl>
      <w:tblPr>
        <w:tblW w:w="0" w:type="auto"/>
        <w:tblLayout w:type="fixed"/>
        <w:tblCellMar>
          <w:left w:w="62" w:type="dxa"/>
          <w:right w:w="62" w:type="dxa"/>
        </w:tblCellMar>
        <w:tblLook w:val="0000"/>
      </w:tblPr>
      <w:tblGrid>
        <w:gridCol w:w="2754"/>
        <w:gridCol w:w="5768"/>
      </w:tblGrid>
      <w:tr w:rsidTr="00865BD8">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5476E7">
            <w:pPr>
              <w:pStyle w:val="BodyText"/>
              <w:rPr>
                <w:lang w:val="en-NZ"/>
              </w:rPr>
            </w:pPr>
            <w:r w:rsidRPr="005476E7">
              <w:rPr>
                <w:rStyle w:val="SpecialBold"/>
              </w:rPr>
              <w:t>Competency field</w:t>
            </w:r>
          </w:p>
        </w:tc>
        <w:tc>
          <w:tcPr>
            <w:tcW w:w="5768" w:type="dxa"/>
            <w:tcBorders>
              <w:top w:val="nil"/>
              <w:left w:val="nil"/>
              <w:bottom w:val="nil"/>
              <w:right w:val="nil"/>
            </w:tcBorders>
            <w:tcMar>
              <w:top w:w="0" w:type="dxa"/>
              <w:left w:w="62" w:type="dxa"/>
              <w:bottom w:w="0" w:type="dxa"/>
              <w:right w:w="62" w:type="dxa"/>
            </w:tcMar>
          </w:tcPr>
          <w:p w:rsidR="00000000" w:rsidRPr="005476E7" w:rsidP="005476E7">
            <w:pPr>
              <w:pStyle w:val="BodyText"/>
            </w:pPr>
            <w:r w:rsidRPr="005476E7">
              <w:t>Property operations and development</w:t>
            </w:r>
          </w:p>
        </w:tc>
      </w:tr>
    </w:tbl>
    <w:p w:rsidR="00865BD8" w:rsidP="005476E7">
      <w:pPr>
        <w:pStyle w:val="BodyText"/>
      </w:pPr>
    </w:p>
    <w:p w:rsidR="00865BD8" w:rsidP="005476E7">
      <w:pPr>
        <w:pStyle w:val="BodyText"/>
      </w:pPr>
    </w:p>
    <w:p w:rsidR="00000000" w:rsidRPr="005476E7" w:rsidP="005476E7"/>
    <w:sectPr w:rsidSect="005476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6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5BD8" w:rsidP="00865B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6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BD8" w:rsidP="005476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65BD8" w:rsidP="005476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65BD8" w:rsidP="005476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6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5BD8" w:rsidP="00865B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6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BD8" w:rsidP="005476E7">
    <w:pPr>
      <w:pStyle w:val="Header"/>
      <w:framePr w:wrap="around"/>
    </w:pPr>
    <w:r>
      <w:fldChar w:fldCharType="begin"/>
    </w:r>
    <w:r>
      <w:instrText xml:space="preserve"> TITLE   \* MERGEFORMAT </w:instrText>
    </w:r>
    <w:r>
      <w:fldChar w:fldCharType="separate"/>
    </w:r>
    <w:r>
      <w:t>CPPDSM5034A Monitor performance of property or facility portfolio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65BD8" w:rsidP="005476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2CB7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ECAD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32A4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6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76E7"/>
    <w:pPr>
      <w:spacing w:before="360" w:after="60"/>
      <w:outlineLvl w:val="0"/>
    </w:pPr>
    <w:rPr>
      <w:sz w:val="32"/>
    </w:rPr>
  </w:style>
  <w:style w:type="paragraph" w:styleId="Heading2">
    <w:name w:val="heading 2"/>
    <w:basedOn w:val="HeadingBase"/>
    <w:next w:val="BodyText"/>
    <w:link w:val="Heading2Char"/>
    <w:qFormat/>
    <w:rsid w:val="005476E7"/>
    <w:pPr>
      <w:keepLines/>
      <w:spacing w:before="240" w:after="120"/>
      <w:outlineLvl w:val="1"/>
    </w:pPr>
    <w:rPr>
      <w:sz w:val="28"/>
      <w:szCs w:val="40"/>
    </w:rPr>
  </w:style>
  <w:style w:type="paragraph" w:styleId="Heading3">
    <w:name w:val="heading 3"/>
    <w:basedOn w:val="HeadingBase"/>
    <w:next w:val="BodyText"/>
    <w:link w:val="Heading3Char"/>
    <w:qFormat/>
    <w:rsid w:val="005476E7"/>
    <w:pPr>
      <w:spacing w:before="180" w:after="120"/>
      <w:outlineLvl w:val="2"/>
    </w:pPr>
    <w:rPr>
      <w:spacing w:val="-10"/>
      <w:kern w:val="32"/>
    </w:rPr>
  </w:style>
  <w:style w:type="paragraph" w:styleId="Heading4">
    <w:name w:val="heading 4"/>
    <w:basedOn w:val="HeadingBase"/>
    <w:next w:val="BodyText"/>
    <w:link w:val="Heading4Char"/>
    <w:qFormat/>
    <w:rsid w:val="005476E7"/>
    <w:pPr>
      <w:spacing w:before="160" w:after="120"/>
      <w:outlineLvl w:val="3"/>
    </w:pPr>
    <w:rPr>
      <w:sz w:val="22"/>
    </w:rPr>
  </w:style>
  <w:style w:type="paragraph" w:styleId="Heading5">
    <w:name w:val="heading 5"/>
    <w:basedOn w:val="HeadingBase"/>
    <w:next w:val="Normal"/>
    <w:link w:val="Heading5Char"/>
    <w:qFormat/>
    <w:rsid w:val="005476E7"/>
    <w:pPr>
      <w:spacing w:before="80"/>
      <w:outlineLvl w:val="4"/>
    </w:pPr>
    <w:rPr>
      <w:color w:val="918585"/>
      <w:sz w:val="20"/>
    </w:rPr>
  </w:style>
  <w:style w:type="paragraph" w:styleId="Heading6">
    <w:name w:val="heading 6"/>
    <w:basedOn w:val="HeadingBase"/>
    <w:next w:val="Normal"/>
    <w:link w:val="Heading6Char"/>
    <w:qFormat/>
    <w:rsid w:val="005476E7"/>
    <w:pPr>
      <w:spacing w:before="60"/>
      <w:outlineLvl w:val="5"/>
    </w:pPr>
    <w:rPr>
      <w:color w:val="918585"/>
      <w:sz w:val="20"/>
    </w:rPr>
  </w:style>
  <w:style w:type="paragraph" w:styleId="Heading7">
    <w:name w:val="heading 7"/>
    <w:basedOn w:val="Normal"/>
    <w:next w:val="Normal"/>
    <w:link w:val="Heading7Char"/>
    <w:qFormat/>
    <w:rsid w:val="005476E7"/>
    <w:pPr>
      <w:ind w:left="720"/>
      <w:outlineLvl w:val="6"/>
    </w:pPr>
    <w:rPr>
      <w:i/>
    </w:rPr>
  </w:style>
  <w:style w:type="paragraph" w:styleId="Heading8">
    <w:name w:val="heading 8"/>
    <w:basedOn w:val="Normal"/>
    <w:next w:val="Normal"/>
    <w:link w:val="Heading8Char"/>
    <w:qFormat/>
    <w:rsid w:val="005476E7"/>
    <w:pPr>
      <w:ind w:left="720"/>
      <w:outlineLvl w:val="7"/>
    </w:pPr>
    <w:rPr>
      <w:i/>
    </w:rPr>
  </w:style>
  <w:style w:type="paragraph" w:styleId="Heading9">
    <w:name w:val="heading 9"/>
    <w:basedOn w:val="Normal"/>
    <w:next w:val="Normal"/>
    <w:link w:val="Heading9Char"/>
    <w:qFormat/>
    <w:rsid w:val="005476E7"/>
    <w:pPr>
      <w:ind w:left="720"/>
      <w:outlineLvl w:val="8"/>
    </w:pPr>
    <w:rPr>
      <w:i/>
    </w:rPr>
  </w:style>
  <w:style w:type="character" w:default="1" w:styleId="DefaultParagraphFont">
    <w:name w:val="Default Paragraph Font"/>
    <w:uiPriority w:val="1"/>
    <w:unhideWhenUsed/>
    <w:rsid w:val="005476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76E7"/>
  </w:style>
  <w:style w:type="character" w:customStyle="1" w:styleId="Heading1Char">
    <w:name w:val="Heading 1 Char"/>
    <w:basedOn w:val="DefaultParagraphFont"/>
    <w:link w:val="Heading1"/>
    <w:rsid w:val="005476E7"/>
    <w:rPr>
      <w:rFonts w:ascii="Times New Roman" w:eastAsia="Times New Roman" w:hAnsi="Times New Roman" w:cs="Times New Roman"/>
      <w:b/>
      <w:sz w:val="32"/>
      <w:szCs w:val="20"/>
      <w:lang w:eastAsia="en-US"/>
    </w:rPr>
  </w:style>
  <w:style w:type="paragraph" w:styleId="BodyText">
    <w:name w:val="Body Text"/>
    <w:basedOn w:val="Normal"/>
    <w:link w:val="BodyTextChar"/>
    <w:rsid w:val="005476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76E7"/>
    <w:rPr>
      <w:rFonts w:ascii="Times New Roman" w:eastAsia="Times New Roman" w:hAnsi="Times New Roman" w:cs="Times New Roman"/>
      <w:sz w:val="24"/>
      <w:lang w:val="en-US" w:eastAsia="en-US"/>
    </w:rPr>
  </w:style>
  <w:style w:type="paragraph" w:styleId="Footer">
    <w:name w:val="footer"/>
    <w:basedOn w:val="Normal"/>
    <w:link w:val="FooterChar"/>
    <w:rsid w:val="005476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76E7"/>
    <w:rPr>
      <w:rFonts w:ascii="Times New Roman" w:eastAsia="Times New Roman" w:hAnsi="Times New Roman" w:cs="Times New Roman"/>
      <w:sz w:val="16"/>
      <w:lang w:val="en-US" w:eastAsia="en-US"/>
    </w:rPr>
  </w:style>
  <w:style w:type="paragraph" w:styleId="List">
    <w:name w:val="List"/>
    <w:basedOn w:val="BodyText"/>
    <w:next w:val="BodyText"/>
    <w:rsid w:val="005476E7"/>
    <w:pPr>
      <w:tabs>
        <w:tab w:val="left" w:pos="340"/>
      </w:tabs>
      <w:spacing w:before="60" w:after="60"/>
      <w:ind w:left="340" w:hanging="340"/>
    </w:pPr>
  </w:style>
  <w:style w:type="paragraph" w:styleId="ListBullet">
    <w:name w:val="List Bullet"/>
    <w:basedOn w:val="List"/>
    <w:rsid w:val="005476E7"/>
    <w:pPr>
      <w:numPr>
        <w:numId w:val="13"/>
      </w:numPr>
      <w:tabs>
        <w:tab w:val="clear" w:pos="340"/>
      </w:tabs>
      <w:spacing w:before="40" w:after="40"/>
    </w:pPr>
  </w:style>
  <w:style w:type="character" w:customStyle="1" w:styleId="SpecialBold">
    <w:name w:val="Special Bold"/>
    <w:basedOn w:val="DefaultParagraphFont"/>
    <w:rsid w:val="005476E7"/>
    <w:rPr>
      <w:b/>
      <w:spacing w:val="0"/>
    </w:rPr>
  </w:style>
  <w:style w:type="paragraph" w:styleId="ListBullet2">
    <w:name w:val="List Bullet 2"/>
    <w:basedOn w:val="List2"/>
    <w:rsid w:val="005476E7"/>
    <w:pPr>
      <w:numPr>
        <w:numId w:val="14"/>
      </w:numPr>
      <w:tabs>
        <w:tab w:val="clear" w:pos="680"/>
      </w:tabs>
    </w:pPr>
  </w:style>
  <w:style w:type="paragraph" w:styleId="Header">
    <w:name w:val="header"/>
    <w:basedOn w:val="Normal"/>
    <w:link w:val="HeaderChar"/>
    <w:rsid w:val="005476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76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76E7"/>
    <w:pPr>
      <w:spacing w:before="240" w:after="120"/>
      <w:outlineLvl w:val="0"/>
    </w:pPr>
    <w:rPr>
      <w:rFonts w:ascii="Times New Roman" w:hAnsi="Times New Roman"/>
      <w:b/>
      <w:sz w:val="28"/>
    </w:rPr>
  </w:style>
  <w:style w:type="paragraph" w:customStyle="1" w:styleId="AllowPageBreak">
    <w:name w:val="AllowPageBreak"/>
    <w:rsid w:val="005476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476E7"/>
    <w:rPr>
      <w:b/>
      <w:i/>
      <w:u w:val="none"/>
    </w:rPr>
  </w:style>
  <w:style w:type="character" w:customStyle="1" w:styleId="Heading2Char">
    <w:name w:val="Heading 2 Char"/>
    <w:basedOn w:val="DefaultParagraphFont"/>
    <w:link w:val="Heading2"/>
    <w:rsid w:val="005476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76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76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76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76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76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76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76E7"/>
    <w:rPr>
      <w:rFonts w:ascii="Courier New" w:eastAsia="Times New Roman" w:hAnsi="Courier New" w:cs="Times New Roman"/>
      <w:i/>
      <w:szCs w:val="20"/>
      <w:lang w:val="en-US" w:eastAsia="en-US"/>
    </w:rPr>
  </w:style>
  <w:style w:type="paragraph" w:customStyle="1" w:styleId="HeadingBase">
    <w:name w:val="Heading Base"/>
    <w:rsid w:val="005476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76E7"/>
    <w:pPr>
      <w:tabs>
        <w:tab w:val="right" w:leader="dot" w:pos="9072"/>
      </w:tabs>
      <w:ind w:left="567"/>
    </w:pPr>
    <w:rPr>
      <w:szCs w:val="22"/>
    </w:rPr>
  </w:style>
  <w:style w:type="paragraph" w:customStyle="1" w:styleId="TOCBase">
    <w:name w:val="TOC Base"/>
    <w:rsid w:val="005476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76E7"/>
    <w:pPr>
      <w:tabs>
        <w:tab w:val="right" w:leader="dot" w:pos="9072"/>
      </w:tabs>
      <w:spacing w:before="40" w:after="40"/>
      <w:ind w:left="284"/>
    </w:pPr>
    <w:rPr>
      <w:rFonts w:ascii="Times New Roman" w:hAnsi="Times New Roman"/>
    </w:rPr>
  </w:style>
  <w:style w:type="paragraph" w:styleId="TOC1">
    <w:name w:val="toc 1"/>
    <w:basedOn w:val="TOCBase"/>
    <w:next w:val="Normal"/>
    <w:rsid w:val="005476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76E7"/>
    <w:pPr>
      <w:spacing w:before="5040"/>
      <w:jc w:val="center"/>
    </w:pPr>
    <w:rPr>
      <w:sz w:val="48"/>
      <w:szCs w:val="72"/>
      <w:lang w:val="en-US"/>
    </w:rPr>
  </w:style>
  <w:style w:type="character" w:customStyle="1" w:styleId="TitleChar">
    <w:name w:val="Title Char"/>
    <w:basedOn w:val="DefaultParagraphFont"/>
    <w:link w:val="Title"/>
    <w:rsid w:val="005476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76E7"/>
    <w:pPr>
      <w:tabs>
        <w:tab w:val="left" w:pos="3600"/>
        <w:tab w:val="left" w:pos="3958"/>
      </w:tabs>
    </w:pPr>
  </w:style>
  <w:style w:type="paragraph" w:customStyle="1" w:styleId="Note">
    <w:name w:val="Note"/>
    <w:basedOn w:val="BodyText"/>
    <w:rsid w:val="005476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76E7"/>
    <w:pPr>
      <w:framePr w:wrap="auto" w:hAnchor="text" w:y="6049"/>
    </w:pPr>
    <w:rPr>
      <w:color w:val="000000"/>
      <w:sz w:val="40"/>
    </w:rPr>
  </w:style>
  <w:style w:type="paragraph" w:customStyle="1" w:styleId="TOCTitle">
    <w:name w:val="TOCTitle"/>
    <w:basedOn w:val="Heading1"/>
    <w:rsid w:val="005476E7"/>
    <w:pPr>
      <w:spacing w:after="240"/>
      <w:jc w:val="center"/>
      <w:outlineLvl w:val="9"/>
    </w:pPr>
    <w:rPr>
      <w:caps/>
    </w:rPr>
  </w:style>
  <w:style w:type="paragraph" w:customStyle="1" w:styleId="Version">
    <w:name w:val="Version"/>
    <w:rsid w:val="005476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76E7"/>
    <w:pPr>
      <w:keepNext w:val="0"/>
      <w:tabs>
        <w:tab w:val="right" w:pos="4176"/>
      </w:tabs>
      <w:ind w:left="198" w:hanging="198"/>
    </w:pPr>
    <w:rPr>
      <w:rFonts w:ascii="Garamond" w:hAnsi="Garamond"/>
    </w:rPr>
  </w:style>
  <w:style w:type="paragraph" w:styleId="IndexHeading">
    <w:name w:val="index heading"/>
    <w:basedOn w:val="Normal"/>
    <w:next w:val="Index1"/>
    <w:semiHidden/>
    <w:rsid w:val="005476E7"/>
    <w:pPr>
      <w:spacing w:before="120" w:after="120"/>
    </w:pPr>
    <w:rPr>
      <w:rFonts w:ascii="Arial" w:hAnsi="Arial"/>
      <w:b/>
      <w:color w:val="918585"/>
      <w:sz w:val="24"/>
    </w:rPr>
  </w:style>
  <w:style w:type="paragraph" w:customStyle="1" w:styleId="Chapter">
    <w:name w:val="Chapter"/>
    <w:basedOn w:val="Normal"/>
    <w:rsid w:val="005476E7"/>
    <w:pPr>
      <w:spacing w:before="240"/>
    </w:pPr>
    <w:rPr>
      <w:rFonts w:ascii="Times New Roman" w:hAnsi="Times New Roman"/>
      <w:smallCaps/>
      <w:spacing w:val="80"/>
      <w:sz w:val="28"/>
    </w:rPr>
  </w:style>
  <w:style w:type="paragraph" w:customStyle="1" w:styleId="InChapter">
    <w:name w:val="InChapter"/>
    <w:basedOn w:val="Heading3"/>
    <w:rsid w:val="005476E7"/>
    <w:pPr>
      <w:spacing w:after="240"/>
      <w:outlineLvl w:val="9"/>
    </w:pPr>
    <w:rPr>
      <w:noProof/>
    </w:rPr>
  </w:style>
  <w:style w:type="paragraph" w:styleId="Index2">
    <w:name w:val="index 2"/>
    <w:basedOn w:val="Normal"/>
    <w:next w:val="Normal"/>
    <w:semiHidden/>
    <w:rsid w:val="005476E7"/>
    <w:pPr>
      <w:tabs>
        <w:tab w:val="right" w:pos="4176"/>
      </w:tabs>
      <w:ind w:left="568" w:hanging="284"/>
    </w:pPr>
    <w:rPr>
      <w:rFonts w:ascii="Garamond" w:hAnsi="Garamond"/>
    </w:rPr>
  </w:style>
  <w:style w:type="paragraph" w:customStyle="1" w:styleId="Byline">
    <w:name w:val="Byline"/>
    <w:rsid w:val="005476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76E7"/>
    <w:pPr>
      <w:tabs>
        <w:tab w:val="clear" w:pos="3600"/>
        <w:tab w:val="clear" w:pos="3958"/>
      </w:tabs>
      <w:jc w:val="right"/>
    </w:pPr>
  </w:style>
  <w:style w:type="character" w:styleId="Emphasis">
    <w:name w:val="Emphasis"/>
    <w:basedOn w:val="DefaultParagraphFont"/>
    <w:qFormat/>
    <w:rsid w:val="005476E7"/>
    <w:rPr>
      <w:i/>
    </w:rPr>
  </w:style>
  <w:style w:type="paragraph" w:styleId="Caption">
    <w:name w:val="caption"/>
    <w:basedOn w:val="BodyText"/>
    <w:next w:val="Normal"/>
    <w:qFormat/>
    <w:rsid w:val="005476E7"/>
    <w:pPr>
      <w:framePr w:w="2268" w:hSpace="181" w:vSpace="181" w:wrap="around" w:vAnchor="text" w:hAnchor="page" w:x="1135" w:y="285" w:anchorLock="1"/>
    </w:pPr>
    <w:rPr>
      <w:i/>
    </w:rPr>
  </w:style>
  <w:style w:type="paragraph" w:customStyle="1" w:styleId="MiniTOCTitle">
    <w:name w:val="MiniTOCTitle"/>
    <w:basedOn w:val="Heading4"/>
    <w:rsid w:val="005476E7"/>
    <w:pPr>
      <w:spacing w:before="240"/>
      <w:outlineLvl w:val="9"/>
    </w:pPr>
    <w:rPr>
      <w:noProof/>
      <w:sz w:val="24"/>
    </w:rPr>
  </w:style>
  <w:style w:type="paragraph" w:customStyle="1" w:styleId="MiniTOCItem">
    <w:name w:val="MiniTOCItem"/>
    <w:basedOn w:val="ListBullet"/>
    <w:rsid w:val="005476E7"/>
    <w:pPr>
      <w:numPr>
        <w:numId w:val="0"/>
      </w:numPr>
      <w:tabs>
        <w:tab w:val="right" w:leader="dot" w:pos="6521"/>
      </w:tabs>
      <w:spacing w:before="0" w:after="0"/>
    </w:pPr>
  </w:style>
  <w:style w:type="paragraph" w:customStyle="1" w:styleId="TOFTitle">
    <w:name w:val="TOFTitle"/>
    <w:basedOn w:val="TOCTitle"/>
    <w:rsid w:val="005476E7"/>
  </w:style>
  <w:style w:type="paragraph" w:styleId="TableofFigures">
    <w:name w:val="table of figures"/>
    <w:basedOn w:val="Normal"/>
    <w:next w:val="Normal"/>
    <w:semiHidden/>
    <w:rsid w:val="005476E7"/>
    <w:pPr>
      <w:tabs>
        <w:tab w:val="right" w:leader="dot" w:pos="9072"/>
      </w:tabs>
      <w:ind w:left="970" w:hanging="403"/>
    </w:pPr>
    <w:rPr>
      <w:rFonts w:ascii="Times New Roman" w:hAnsi="Times New Roman"/>
      <w:b/>
    </w:rPr>
  </w:style>
  <w:style w:type="paragraph" w:styleId="ListNumber">
    <w:name w:val="List Number"/>
    <w:basedOn w:val="List"/>
    <w:rsid w:val="005476E7"/>
    <w:pPr>
      <w:numPr>
        <w:numId w:val="11"/>
      </w:numPr>
    </w:pPr>
  </w:style>
  <w:style w:type="character" w:customStyle="1" w:styleId="WingdingSymbols">
    <w:name w:val="Wingding Symbols"/>
    <w:rsid w:val="005476E7"/>
    <w:rPr>
      <w:rFonts w:ascii="Wingdings" w:hAnsi="Wingdings"/>
    </w:rPr>
  </w:style>
  <w:style w:type="paragraph" w:customStyle="1" w:styleId="TableHeading">
    <w:name w:val="Table Heading"/>
    <w:basedOn w:val="HeadingBase"/>
    <w:rsid w:val="005476E7"/>
    <w:pPr>
      <w:keepLines/>
      <w:pBdr>
        <w:bottom w:val="single" w:sz="6" w:space="1" w:color="918585"/>
      </w:pBdr>
      <w:spacing w:before="240"/>
    </w:pPr>
  </w:style>
  <w:style w:type="character" w:customStyle="1" w:styleId="HotSpot">
    <w:name w:val="HotSpot"/>
    <w:rsid w:val="005476E7"/>
    <w:rPr>
      <w:color w:val="0033CC"/>
      <w:u w:val="none"/>
    </w:rPr>
  </w:style>
  <w:style w:type="paragraph" w:customStyle="1" w:styleId="BodyTextRight">
    <w:name w:val="Body Text Right"/>
    <w:basedOn w:val="BodyText"/>
    <w:rsid w:val="005476E7"/>
    <w:pPr>
      <w:spacing w:before="0" w:after="0"/>
      <w:jc w:val="right"/>
    </w:pPr>
  </w:style>
  <w:style w:type="paragraph" w:styleId="Index3">
    <w:name w:val="index 3"/>
    <w:basedOn w:val="ListNumber2"/>
    <w:next w:val="Normal"/>
    <w:semiHidden/>
    <w:rsid w:val="005476E7"/>
    <w:pPr>
      <w:numPr>
        <w:numId w:val="0"/>
      </w:numPr>
      <w:tabs>
        <w:tab w:val="right" w:leader="dot" w:pos="4176"/>
      </w:tabs>
    </w:pPr>
  </w:style>
  <w:style w:type="paragraph" w:styleId="ListNumber2">
    <w:name w:val="List Number 2"/>
    <w:basedOn w:val="List2"/>
    <w:rsid w:val="005476E7"/>
    <w:pPr>
      <w:numPr>
        <w:numId w:val="10"/>
      </w:numPr>
      <w:tabs>
        <w:tab w:val="clear" w:pos="1060"/>
      </w:tabs>
    </w:pPr>
  </w:style>
  <w:style w:type="paragraph" w:customStyle="1" w:styleId="MarginNote">
    <w:name w:val="Margin Note"/>
    <w:basedOn w:val="BodyText"/>
    <w:rsid w:val="005476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76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76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76E7"/>
    <w:rPr>
      <w:sz w:val="32"/>
    </w:rPr>
  </w:style>
  <w:style w:type="paragraph" w:customStyle="1" w:styleId="HeadingProcedure">
    <w:name w:val="Heading Procedure"/>
    <w:basedOn w:val="HeadingBase"/>
    <w:next w:val="Normal"/>
    <w:rsid w:val="005476E7"/>
    <w:pPr>
      <w:tabs>
        <w:tab w:val="left" w:pos="0"/>
      </w:tabs>
      <w:spacing w:before="120" w:after="60"/>
    </w:pPr>
    <w:rPr>
      <w:i/>
      <w:color w:val="918585"/>
      <w:sz w:val="22"/>
    </w:rPr>
  </w:style>
  <w:style w:type="paragraph" w:customStyle="1" w:styleId="TableBodyText">
    <w:name w:val="Table Body Text"/>
    <w:basedOn w:val="BodyText"/>
    <w:rsid w:val="005476E7"/>
    <w:pPr>
      <w:spacing w:before="60" w:after="60"/>
    </w:pPr>
  </w:style>
  <w:style w:type="paragraph" w:styleId="ListContinue">
    <w:name w:val="List Continue"/>
    <w:basedOn w:val="List"/>
    <w:rsid w:val="005476E7"/>
    <w:pPr>
      <w:ind w:firstLine="0"/>
    </w:pPr>
  </w:style>
  <w:style w:type="paragraph" w:customStyle="1" w:styleId="ListNote">
    <w:name w:val="List Note"/>
    <w:basedOn w:val="List"/>
    <w:rsid w:val="005476E7"/>
    <w:pPr>
      <w:pBdr>
        <w:top w:val="single" w:sz="6" w:space="2" w:color="918585"/>
        <w:bottom w:val="single" w:sz="6" w:space="2" w:color="918585"/>
      </w:pBdr>
      <w:tabs>
        <w:tab w:val="left" w:pos="1021"/>
      </w:tabs>
      <w:ind w:firstLine="0"/>
    </w:pPr>
  </w:style>
  <w:style w:type="paragraph" w:customStyle="1" w:styleId="Warning">
    <w:name w:val="Warning"/>
    <w:basedOn w:val="BodyText"/>
    <w:rsid w:val="005476E7"/>
    <w:pPr>
      <w:shd w:val="clear" w:color="auto" w:fill="D9D9D9"/>
      <w:tabs>
        <w:tab w:val="left" w:pos="992"/>
      </w:tabs>
      <w:ind w:left="119" w:right="119"/>
    </w:pPr>
    <w:rPr>
      <w:sz w:val="20"/>
    </w:rPr>
  </w:style>
  <w:style w:type="paragraph" w:customStyle="1" w:styleId="MarginIcons">
    <w:name w:val="Margin Icons"/>
    <w:basedOn w:val="BodyText"/>
    <w:rsid w:val="005476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76E7"/>
    <w:rPr>
      <w:rFonts w:ascii="Courier New" w:hAnsi="Courier New"/>
    </w:rPr>
  </w:style>
  <w:style w:type="paragraph" w:customStyle="1" w:styleId="NoteBullet">
    <w:name w:val="Note Bullet"/>
    <w:basedOn w:val="Note"/>
    <w:rsid w:val="005476E7"/>
    <w:pPr>
      <w:tabs>
        <w:tab w:val="clear" w:pos="680"/>
      </w:tabs>
      <w:spacing w:before="60" w:after="60"/>
    </w:pPr>
  </w:style>
  <w:style w:type="paragraph" w:customStyle="1" w:styleId="SubHeading2">
    <w:name w:val="SubHeading2"/>
    <w:basedOn w:val="HeadingBase"/>
    <w:rsid w:val="005476E7"/>
    <w:pPr>
      <w:spacing w:before="240" w:after="60"/>
    </w:pPr>
    <w:rPr>
      <w:sz w:val="20"/>
    </w:rPr>
  </w:style>
  <w:style w:type="paragraph" w:customStyle="1" w:styleId="SubHeading1">
    <w:name w:val="SubHeading1"/>
    <w:basedOn w:val="HeadingBase"/>
    <w:rsid w:val="005476E7"/>
    <w:pPr>
      <w:spacing w:before="240" w:after="60"/>
    </w:pPr>
    <w:rPr>
      <w:color w:val="918585"/>
      <w:sz w:val="22"/>
    </w:rPr>
  </w:style>
  <w:style w:type="paragraph" w:customStyle="1" w:styleId="SideHeading">
    <w:name w:val="Side Heading"/>
    <w:basedOn w:val="HeadingBase"/>
    <w:rsid w:val="005476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76E7"/>
    <w:pPr>
      <w:numPr>
        <w:numId w:val="12"/>
      </w:numPr>
    </w:pPr>
  </w:style>
  <w:style w:type="paragraph" w:styleId="PlainText">
    <w:name w:val="Plain Text"/>
    <w:basedOn w:val="Normal"/>
    <w:link w:val="PlainTextChar"/>
    <w:rsid w:val="005476E7"/>
    <w:rPr>
      <w:sz w:val="20"/>
    </w:rPr>
  </w:style>
  <w:style w:type="character" w:customStyle="1" w:styleId="PlainTextChar">
    <w:name w:val="Plain Text Char"/>
    <w:basedOn w:val="DefaultParagraphFont"/>
    <w:link w:val="PlainText"/>
    <w:rsid w:val="005476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76E7"/>
    <w:rPr>
      <w:b/>
      <w:smallCaps/>
    </w:rPr>
  </w:style>
  <w:style w:type="paragraph" w:customStyle="1" w:styleId="TableListNumber">
    <w:name w:val="Table List Number"/>
    <w:basedOn w:val="ListNumber"/>
    <w:rsid w:val="005476E7"/>
    <w:pPr>
      <w:numPr>
        <w:numId w:val="0"/>
      </w:numPr>
    </w:pPr>
  </w:style>
  <w:style w:type="paragraph" w:styleId="TOC4">
    <w:name w:val="toc 4"/>
    <w:basedOn w:val="TOCBase"/>
    <w:next w:val="Normal"/>
    <w:semiHidden/>
    <w:rsid w:val="005476E7"/>
    <w:pPr>
      <w:tabs>
        <w:tab w:val="right" w:leader="dot" w:pos="9071"/>
      </w:tabs>
      <w:ind w:left="1701"/>
    </w:pPr>
  </w:style>
  <w:style w:type="paragraph" w:customStyle="1" w:styleId="ListAlpha">
    <w:name w:val="List Alpha"/>
    <w:basedOn w:val="List"/>
    <w:rsid w:val="005476E7"/>
    <w:pPr>
      <w:numPr>
        <w:numId w:val="9"/>
      </w:numPr>
    </w:pPr>
  </w:style>
  <w:style w:type="paragraph" w:customStyle="1" w:styleId="ListAlpha2">
    <w:name w:val="List Alpha 2"/>
    <w:basedOn w:val="List2"/>
    <w:rsid w:val="005476E7"/>
    <w:pPr>
      <w:numPr>
        <w:numId w:val="8"/>
      </w:numPr>
    </w:pPr>
  </w:style>
  <w:style w:type="paragraph" w:styleId="List2">
    <w:name w:val="List 2"/>
    <w:basedOn w:val="BodyText"/>
    <w:rsid w:val="005476E7"/>
    <w:pPr>
      <w:tabs>
        <w:tab w:val="left" w:pos="680"/>
      </w:tabs>
      <w:spacing w:before="60" w:after="60"/>
      <w:ind w:left="680" w:hanging="340"/>
    </w:pPr>
  </w:style>
  <w:style w:type="paragraph" w:styleId="List3">
    <w:name w:val="List 3"/>
    <w:basedOn w:val="BodyText"/>
    <w:rsid w:val="005476E7"/>
    <w:pPr>
      <w:tabs>
        <w:tab w:val="left" w:pos="1021"/>
      </w:tabs>
      <w:spacing w:before="60" w:after="60"/>
      <w:ind w:left="1020" w:hanging="340"/>
    </w:pPr>
  </w:style>
  <w:style w:type="paragraph" w:styleId="List4">
    <w:name w:val="List 4"/>
    <w:basedOn w:val="BodyText"/>
    <w:rsid w:val="005476E7"/>
    <w:pPr>
      <w:tabs>
        <w:tab w:val="left" w:pos="1361"/>
      </w:tabs>
      <w:spacing w:before="60" w:after="60"/>
      <w:ind w:left="1361" w:hanging="340"/>
    </w:pPr>
  </w:style>
  <w:style w:type="paragraph" w:styleId="List5">
    <w:name w:val="List 5"/>
    <w:basedOn w:val="BodyText"/>
    <w:rsid w:val="005476E7"/>
    <w:pPr>
      <w:tabs>
        <w:tab w:val="left" w:pos="1701"/>
      </w:tabs>
      <w:spacing w:before="60" w:after="60"/>
      <w:ind w:left="1701" w:hanging="340"/>
    </w:pPr>
  </w:style>
  <w:style w:type="paragraph" w:styleId="ListBullet3">
    <w:name w:val="List Bullet 3"/>
    <w:basedOn w:val="List3"/>
    <w:rsid w:val="005476E7"/>
    <w:pPr>
      <w:numPr>
        <w:numId w:val="15"/>
      </w:numPr>
      <w:tabs>
        <w:tab w:val="clear" w:pos="1021"/>
      </w:tabs>
      <w:ind w:left="1037" w:hanging="357"/>
    </w:pPr>
  </w:style>
  <w:style w:type="paragraph" w:styleId="ListBullet4">
    <w:name w:val="List Bullet 4"/>
    <w:basedOn w:val="List4"/>
    <w:rsid w:val="005476E7"/>
    <w:pPr>
      <w:numPr>
        <w:numId w:val="3"/>
      </w:numPr>
    </w:pPr>
  </w:style>
  <w:style w:type="paragraph" w:styleId="ListBullet5">
    <w:name w:val="List Bullet 5"/>
    <w:basedOn w:val="List5"/>
    <w:rsid w:val="005476E7"/>
    <w:pPr>
      <w:numPr>
        <w:numId w:val="4"/>
      </w:numPr>
    </w:pPr>
  </w:style>
  <w:style w:type="paragraph" w:styleId="ListContinue2">
    <w:name w:val="List Continue 2"/>
    <w:basedOn w:val="List2"/>
    <w:rsid w:val="005476E7"/>
    <w:pPr>
      <w:ind w:firstLine="0"/>
    </w:pPr>
  </w:style>
  <w:style w:type="paragraph" w:styleId="ListContinue3">
    <w:name w:val="List Continue 3"/>
    <w:basedOn w:val="List3"/>
    <w:rsid w:val="005476E7"/>
    <w:pPr>
      <w:ind w:left="1021" w:firstLine="0"/>
    </w:pPr>
  </w:style>
  <w:style w:type="paragraph" w:styleId="ListContinue4">
    <w:name w:val="List Continue 4"/>
    <w:basedOn w:val="List4"/>
    <w:rsid w:val="005476E7"/>
    <w:pPr>
      <w:ind w:firstLine="0"/>
    </w:pPr>
  </w:style>
  <w:style w:type="paragraph" w:styleId="ListContinue5">
    <w:name w:val="List Continue 5"/>
    <w:basedOn w:val="List5"/>
    <w:rsid w:val="005476E7"/>
    <w:pPr>
      <w:ind w:firstLine="0"/>
    </w:pPr>
  </w:style>
  <w:style w:type="paragraph" w:styleId="ListNumber3">
    <w:name w:val="List Number 3"/>
    <w:basedOn w:val="List3"/>
    <w:rsid w:val="005476E7"/>
    <w:pPr>
      <w:numPr>
        <w:numId w:val="5"/>
      </w:numPr>
    </w:pPr>
  </w:style>
  <w:style w:type="paragraph" w:styleId="ListNumber4">
    <w:name w:val="List Number 4"/>
    <w:basedOn w:val="List4"/>
    <w:rsid w:val="005476E7"/>
    <w:pPr>
      <w:numPr>
        <w:numId w:val="6"/>
      </w:numPr>
    </w:pPr>
  </w:style>
  <w:style w:type="paragraph" w:styleId="ListNumber5">
    <w:name w:val="List Number 5"/>
    <w:basedOn w:val="List5"/>
    <w:rsid w:val="005476E7"/>
    <w:pPr>
      <w:numPr>
        <w:numId w:val="7"/>
      </w:numPr>
    </w:pPr>
  </w:style>
  <w:style w:type="paragraph" w:styleId="BlockText">
    <w:name w:val="Block Text"/>
    <w:basedOn w:val="Normal"/>
    <w:rsid w:val="005476E7"/>
    <w:pPr>
      <w:spacing w:after="120"/>
      <w:ind w:left="1440" w:right="1440"/>
    </w:pPr>
  </w:style>
  <w:style w:type="character" w:customStyle="1" w:styleId="Subscript">
    <w:name w:val="Subscript"/>
    <w:basedOn w:val="DefaultParagraphFont"/>
    <w:rsid w:val="005476E7"/>
    <w:rPr>
      <w:sz w:val="16"/>
      <w:vertAlign w:val="subscript"/>
    </w:rPr>
  </w:style>
  <w:style w:type="character" w:customStyle="1" w:styleId="Superscript">
    <w:name w:val="Superscript"/>
    <w:basedOn w:val="DefaultParagraphFont"/>
    <w:rsid w:val="005476E7"/>
    <w:rPr>
      <w:sz w:val="16"/>
      <w:vertAlign w:val="superscript"/>
    </w:rPr>
  </w:style>
  <w:style w:type="character" w:customStyle="1" w:styleId="Symbols">
    <w:name w:val="Symbols"/>
    <w:basedOn w:val="DefaultParagraphFont"/>
    <w:rsid w:val="005476E7"/>
    <w:rPr>
      <w:rFonts w:ascii="Symbol" w:hAnsi="Symbol"/>
    </w:rPr>
  </w:style>
  <w:style w:type="character" w:customStyle="1" w:styleId="MenuOptions">
    <w:name w:val="Menu Options"/>
    <w:basedOn w:val="DefaultParagraphFont"/>
    <w:rsid w:val="005476E7"/>
    <w:rPr>
      <w:rFonts w:ascii="Arial Narrow" w:hAnsi="Arial Narrow"/>
      <w:smallCaps/>
    </w:rPr>
  </w:style>
  <w:style w:type="character" w:customStyle="1" w:styleId="Buttons">
    <w:name w:val="Buttons"/>
    <w:basedOn w:val="DefaultParagraphFont"/>
    <w:rsid w:val="005476E7"/>
    <w:rPr>
      <w:b/>
    </w:rPr>
  </w:style>
  <w:style w:type="character" w:customStyle="1" w:styleId="Underlined">
    <w:name w:val="Underlined"/>
    <w:basedOn w:val="DefaultParagraphFont"/>
    <w:rsid w:val="005476E7"/>
    <w:rPr>
      <w:u w:val="single"/>
    </w:rPr>
  </w:style>
  <w:style w:type="paragraph" w:customStyle="1" w:styleId="TableBodyTextRight">
    <w:name w:val="Table Body Text Right"/>
    <w:basedOn w:val="TableBodyText"/>
    <w:rsid w:val="005476E7"/>
    <w:pPr>
      <w:widowControl w:val="0"/>
      <w:autoSpaceDE w:val="0"/>
      <w:autoSpaceDN w:val="0"/>
      <w:adjustRightInd w:val="0"/>
      <w:jc w:val="right"/>
    </w:pPr>
    <w:rPr>
      <w:rFonts w:cs="Arial"/>
      <w:szCs w:val="18"/>
    </w:rPr>
  </w:style>
  <w:style w:type="paragraph" w:customStyle="1" w:styleId="CopyrightText">
    <w:name w:val="Copyright Text"/>
    <w:basedOn w:val="BodyText"/>
    <w:rsid w:val="005476E7"/>
    <w:rPr>
      <w:sz w:val="18"/>
    </w:rPr>
  </w:style>
  <w:style w:type="paragraph" w:customStyle="1" w:styleId="BodySmallRight">
    <w:name w:val="Body Small Right"/>
    <w:basedOn w:val="BodyTextRight"/>
    <w:rsid w:val="005476E7"/>
    <w:rPr>
      <w:sz w:val="18"/>
      <w:szCs w:val="18"/>
    </w:rPr>
  </w:style>
  <w:style w:type="paragraph" w:customStyle="1" w:styleId="MarginEdition">
    <w:name w:val="Margin Edition"/>
    <w:basedOn w:val="MarginNote"/>
    <w:rsid w:val="005476E7"/>
    <w:pPr>
      <w:spacing w:before="0" w:after="0"/>
    </w:pPr>
    <w:rPr>
      <w:rFonts w:ascii="Times New Roman" w:hAnsi="Times New Roman"/>
      <w:color w:val="999999"/>
    </w:rPr>
  </w:style>
  <w:style w:type="paragraph" w:customStyle="1" w:styleId="Spacer">
    <w:name w:val="Spacer"/>
    <w:basedOn w:val="Normal"/>
    <w:rsid w:val="005476E7"/>
    <w:rPr>
      <w:sz w:val="2"/>
      <w:szCs w:val="2"/>
    </w:rPr>
  </w:style>
  <w:style w:type="character" w:customStyle="1" w:styleId="Small">
    <w:name w:val="Small"/>
    <w:basedOn w:val="DefaultParagraphFont"/>
    <w:rsid w:val="005476E7"/>
    <w:rPr>
      <w:sz w:val="16"/>
    </w:rPr>
  </w:style>
  <w:style w:type="paragraph" w:customStyle="1" w:styleId="WideTable">
    <w:name w:val="Wide Table"/>
    <w:basedOn w:val="Normal"/>
    <w:rsid w:val="005476E7"/>
    <w:pPr>
      <w:ind w:left="-1418"/>
    </w:pPr>
    <w:rPr>
      <w:sz w:val="2"/>
      <w:szCs w:val="2"/>
    </w:rPr>
  </w:style>
  <w:style w:type="character" w:styleId="PageNumber">
    <w:name w:val="page number"/>
    <w:basedOn w:val="DefaultParagraphFont"/>
    <w:rsid w:val="005476E7"/>
  </w:style>
  <w:style w:type="paragraph" w:styleId="Quote">
    <w:name w:val="Quote"/>
    <w:basedOn w:val="Heading1"/>
    <w:link w:val="QuoteChar"/>
    <w:qFormat/>
    <w:rsid w:val="005476E7"/>
    <w:rPr>
      <w:b w:val="0"/>
      <w:sz w:val="72"/>
      <w:szCs w:val="72"/>
      <w:lang w:val="en-NZ"/>
    </w:rPr>
  </w:style>
  <w:style w:type="character" w:customStyle="1" w:styleId="QuoteChar">
    <w:name w:val="Quote Char"/>
    <w:basedOn w:val="DefaultParagraphFont"/>
    <w:link w:val="Quote"/>
    <w:rsid w:val="005476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76E7"/>
    <w:pPr>
      <w:pageBreakBefore/>
    </w:pPr>
  </w:style>
  <w:style w:type="paragraph" w:customStyle="1" w:styleId="Border">
    <w:name w:val="Border"/>
    <w:basedOn w:val="Normal"/>
    <w:qFormat/>
    <w:rsid w:val="005476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76E7"/>
    <w:rPr>
      <w:b/>
      <w:bCs/>
      <w:i/>
      <w:iCs/>
      <w:color w:val="auto"/>
    </w:rPr>
  </w:style>
  <w:style w:type="paragraph" w:styleId="IntenseQuote">
    <w:name w:val="Intense Quote"/>
    <w:basedOn w:val="Normal"/>
    <w:next w:val="Normal"/>
    <w:link w:val="IntenseQuoteChar"/>
    <w:uiPriority w:val="30"/>
    <w:qFormat/>
    <w:rsid w:val="005476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76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76E7"/>
    <w:rPr>
      <w:smallCaps/>
      <w:color w:val="auto"/>
      <w:u w:val="single"/>
    </w:rPr>
  </w:style>
  <w:style w:type="character" w:styleId="IntenseReference">
    <w:name w:val="Intense Reference"/>
    <w:basedOn w:val="DefaultParagraphFont"/>
    <w:uiPriority w:val="32"/>
    <w:qFormat/>
    <w:rsid w:val="005476E7"/>
    <w:rPr>
      <w:b/>
      <w:bCs/>
      <w:smallCaps/>
      <w:color w:val="auto"/>
      <w:spacing w:val="5"/>
      <w:u w:val="single"/>
    </w:rPr>
  </w:style>
  <w:style w:type="paragraph" w:customStyle="1" w:styleId="2ColumnHeading">
    <w:name w:val="2Column Heading"/>
    <w:basedOn w:val="BodyText"/>
    <w:qFormat/>
    <w:rsid w:val="005476E7"/>
    <w:pPr>
      <w:spacing w:after="60"/>
      <w:ind w:left="-2268"/>
    </w:pPr>
    <w:rPr>
      <w:b/>
    </w:rPr>
  </w:style>
  <w:style w:type="paragraph" w:customStyle="1" w:styleId="Heading1TOC">
    <w:name w:val="Heading1 TOC"/>
    <w:basedOn w:val="Normal"/>
    <w:qFormat/>
    <w:rsid w:val="005476E7"/>
    <w:pPr>
      <w:spacing w:before="240" w:after="120"/>
    </w:pPr>
    <w:rPr>
      <w:rFonts w:ascii="Times New Roman" w:hAnsi="Times New Roman"/>
      <w:b/>
      <w:sz w:val="32"/>
    </w:rPr>
  </w:style>
  <w:style w:type="paragraph" w:customStyle="1" w:styleId="Heading2TOC">
    <w:name w:val="Heading2 TOC"/>
    <w:basedOn w:val="Normal"/>
    <w:qFormat/>
    <w:rsid w:val="005476E7"/>
    <w:pPr>
      <w:spacing w:before="240" w:after="60"/>
    </w:pPr>
    <w:rPr>
      <w:rFonts w:ascii="Times New Roman" w:hAnsi="Times New Roman"/>
      <w:b/>
      <w:sz w:val="28"/>
    </w:rPr>
  </w:style>
  <w:style w:type="character" w:customStyle="1" w:styleId="Underline">
    <w:name w:val="Underline"/>
    <w:basedOn w:val="DefaultParagraphFont"/>
    <w:qFormat/>
    <w:rsid w:val="005476E7"/>
    <w:rPr>
      <w:u w:val="single"/>
    </w:rPr>
  </w:style>
  <w:style w:type="paragraph" w:styleId="BalloonText">
    <w:name w:val="Balloon Text"/>
    <w:basedOn w:val="Normal"/>
    <w:link w:val="BalloonTextChar"/>
    <w:rsid w:val="005476E7"/>
    <w:rPr>
      <w:rFonts w:ascii="Tahoma" w:hAnsi="Tahoma" w:cs="Tahoma"/>
      <w:sz w:val="16"/>
      <w:szCs w:val="16"/>
    </w:rPr>
  </w:style>
  <w:style w:type="character" w:customStyle="1" w:styleId="BalloonTextChar">
    <w:name w:val="Balloon Text Char"/>
    <w:basedOn w:val="DefaultParagraphFont"/>
    <w:link w:val="BalloonText"/>
    <w:rsid w:val="005476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76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76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1849</Words>
  <Characters>12243</Characters>
  <Application>Microsoft Office Word</Application>
  <DocSecurity>0</DocSecurity>
  <Lines>424</Lines>
  <Paragraphs>248</Paragraphs>
  <ScaleCrop>false</ScaleCrop>
  <Company>Author-it Software Corporation Ltd.</Company>
  <LinksUpToDate>false</LinksUpToDate>
  <CharactersWithSpaces>14010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CPPDSM5034A Monitor performance of property or facility portfolio</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2012-05-26T06:13:00Z</dcterms:created>
  <dcterms:modified xsi:type="dcterms:W3CDTF">2012-05-26T06:13:00Z</dcterms:modified>
</cp:coreProperties>
</file>