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038" w:rsidP="00061038">
      <w:pPr>
        <w:pStyle w:val="Title"/>
      </w:pPr>
      <w:r>
        <w:fldChar w:fldCharType="begin"/>
      </w:r>
      <w:r>
        <w:instrText xml:space="preserve"> TITLE   \* MERGEFORMAT </w:instrText>
      </w:r>
      <w:r>
        <w:fldChar w:fldCharType="separate"/>
      </w:r>
      <w:r>
        <w:t>CPPDSM5017A Dispose of property</w:t>
      </w:r>
      <w:r>
        <w:fldChar w:fldCharType="end"/>
      </w:r>
    </w:p>
    <w:p w:rsidR="00061038" w:rsidP="00061038">
      <w:pPr>
        <w:pStyle w:val="Version"/>
        <w:sectPr w:rsidSect="00CF0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111" w:rsidP="00CF0111">
      <w:pPr>
        <w:pStyle w:val="SuperHeading"/>
      </w:pPr>
      <w:r w:rsidRPr="00CF0111">
        <w:t>CPPDSM5017A Dispose of property</w:t>
      </w:r>
    </w:p>
    <w:p w:rsidR="00000000" w:rsidRPr="00CF0111" w:rsidP="00CF0111">
      <w:pPr>
        <w:pStyle w:val="Heading1"/>
      </w:pPr>
      <w:bookmarkStart w:id="1" w:name="O_270124"/>
      <w:bookmarkEnd w:id="1"/>
      <w:r w:rsidRPr="00CF0111">
        <w:t>Modification History</w:t>
      </w:r>
    </w:p>
    <w:p w:rsidR="00000000" w:rsidRPr="00CF0111" w:rsidP="00CF0111">
      <w:pPr>
        <w:pStyle w:val="BodyText"/>
      </w:pPr>
      <w:r w:rsidRPr="00CF0111">
        <w:t>Not Applicable</w:t>
      </w:r>
    </w:p>
    <w:p w:rsidR="00000000" w:rsidRPr="00CF0111" w:rsidP="00CF0111">
      <w:pPr>
        <w:pStyle w:val="AllowPageBreak"/>
      </w:pPr>
    </w:p>
    <w:p w:rsidR="00000000" w:rsidRPr="00CF0111" w:rsidP="00CF0111">
      <w:pPr>
        <w:pStyle w:val="Heading1"/>
      </w:pPr>
      <w:bookmarkStart w:id="2" w:name="O_201384"/>
      <w:bookmarkEnd w:id="2"/>
      <w:r w:rsidRPr="00CF0111">
        <w:t>Unit Descriptor</w:t>
      </w:r>
    </w:p>
    <w:tbl>
      <w:tblPr>
        <w:tblW w:w="0" w:type="auto"/>
        <w:tblLayout w:type="fixed"/>
        <w:tblCellMar>
          <w:left w:w="62" w:type="dxa"/>
          <w:right w:w="62" w:type="dxa"/>
        </w:tblCellMar>
        <w:tblLook w:val="0000"/>
      </w:tblPr>
      <w:tblGrid>
        <w:gridCol w:w="2746"/>
        <w:gridCol w:w="5776"/>
      </w:tblGrid>
      <w:tr w:rsidTr="00061038">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This unit of competency specifies the outcomes required to dispose of property as part of an investment portfolio. It r</w:t>
            </w:r>
            <w:r w:rsidRPr="00CF0111">
              <w:t>equires the ability to determine client requirements accurately and use effective communication methods in dealings with legal advisers and sale agents to coordinate and finalise arrangements for the disposal of property.</w:t>
            </w:r>
          </w:p>
          <w:p w:rsidR="00000000" w:rsidRPr="00CF0111" w:rsidP="00CF0111">
            <w:pPr>
              <w:pStyle w:val="BodyText"/>
            </w:pPr>
            <w:r w:rsidRPr="00CF0111">
              <w:t>The unit may form part of the lice</w:t>
            </w:r>
            <w:r w:rsidRPr="00CF0111">
              <w:t>nsing requirements for persons working in the property industry, including in the real estate, business broking, stock and station agency and property operations and development sectors, in those States and Territories where these are regulated activities.</w:t>
            </w:r>
          </w:p>
        </w:tc>
      </w:tr>
    </w:tbl>
    <w:p w:rsidR="00061038" w:rsidP="00CF0111">
      <w:pPr>
        <w:pStyle w:val="BodyText"/>
      </w:pPr>
    </w:p>
    <w:p w:rsidR="00061038" w:rsidP="00CF0111">
      <w:pPr>
        <w:pStyle w:val="BodyText"/>
      </w:pPr>
    </w:p>
    <w:p w:rsidR="00000000" w:rsidRPr="00CF0111" w:rsidP="00CF0111">
      <w:pPr>
        <w:pStyle w:val="Heading1"/>
      </w:pPr>
      <w:bookmarkStart w:id="3" w:name="O_201387"/>
      <w:bookmarkEnd w:id="3"/>
      <w:r w:rsidRPr="00CF0111">
        <w:t>Application of the Unit</w:t>
      </w:r>
    </w:p>
    <w:tbl>
      <w:tblPr>
        <w:tblW w:w="0" w:type="auto"/>
        <w:tblLayout w:type="fixed"/>
        <w:tblCellMar>
          <w:left w:w="62" w:type="dxa"/>
          <w:right w:w="62" w:type="dxa"/>
        </w:tblCellMar>
        <w:tblLook w:val="0000"/>
      </w:tblPr>
      <w:tblGrid>
        <w:gridCol w:w="2746"/>
        <w:gridCol w:w="5776"/>
      </w:tblGrid>
      <w:tr w:rsidTr="0006103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This unit of competency supports the work of those involved in disposing of property as part of an investment portfolio.</w:t>
            </w:r>
          </w:p>
        </w:tc>
      </w:tr>
    </w:tbl>
    <w:p w:rsidR="00061038" w:rsidP="00CF0111">
      <w:pPr>
        <w:pStyle w:val="BodyText"/>
      </w:pPr>
    </w:p>
    <w:p w:rsidR="00061038" w:rsidP="00CF0111">
      <w:pPr>
        <w:pStyle w:val="BodyText"/>
      </w:pPr>
    </w:p>
    <w:p w:rsidR="00000000" w:rsidRPr="00CF0111" w:rsidP="00CF0111">
      <w:pPr>
        <w:pStyle w:val="Heading1"/>
      </w:pPr>
      <w:bookmarkStart w:id="4" w:name="O_278384"/>
      <w:bookmarkEnd w:id="4"/>
      <w:r w:rsidRPr="00CF0111">
        <w:t>Licensing/Regulatory Information</w:t>
      </w:r>
    </w:p>
    <w:p w:rsidR="00000000" w:rsidRPr="00CF0111" w:rsidP="00CF0111">
      <w:pPr>
        <w:pStyle w:val="BodyText"/>
      </w:pPr>
      <w:r w:rsidRPr="00CF0111">
        <w:t>Refer to Unit Descriptor</w:t>
      </w:r>
    </w:p>
    <w:p w:rsidR="00000000" w:rsidRPr="00CF0111" w:rsidP="00CF0111">
      <w:pPr>
        <w:pStyle w:val="AllowPageBreak"/>
      </w:pPr>
    </w:p>
    <w:p w:rsidR="00000000" w:rsidRPr="00CF0111" w:rsidP="00CF0111">
      <w:pPr>
        <w:pStyle w:val="Heading1"/>
      </w:pPr>
      <w:bookmarkStart w:id="5" w:name="O_201386"/>
      <w:bookmarkEnd w:id="5"/>
      <w:r w:rsidRPr="00CF0111">
        <w:t>Pre-Requisites</w:t>
      </w:r>
    </w:p>
    <w:tbl>
      <w:tblPr>
        <w:tblW w:w="0" w:type="auto"/>
        <w:tblLayout w:type="fixed"/>
        <w:tblCellMar>
          <w:left w:w="62" w:type="dxa"/>
          <w:right w:w="62" w:type="dxa"/>
        </w:tblCellMar>
        <w:tblLook w:val="0000"/>
      </w:tblPr>
      <w:tblGrid>
        <w:gridCol w:w="2746"/>
        <w:gridCol w:w="5776"/>
      </w:tblGrid>
      <w:tr w:rsidTr="0006103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Nil</w:t>
            </w:r>
          </w:p>
        </w:tc>
      </w:tr>
    </w:tbl>
    <w:p w:rsidR="00061038" w:rsidP="00CF0111">
      <w:pPr>
        <w:pStyle w:val="BodyText"/>
      </w:pPr>
    </w:p>
    <w:p w:rsidR="00061038" w:rsidP="00CF0111">
      <w:pPr>
        <w:pStyle w:val="BodyText"/>
      </w:pPr>
    </w:p>
    <w:p w:rsidR="00000000" w:rsidRPr="00CF0111" w:rsidP="00CF0111">
      <w:pPr>
        <w:pStyle w:val="Heading1"/>
      </w:pPr>
      <w:bookmarkStart w:id="6" w:name="O_201385"/>
      <w:bookmarkEnd w:id="6"/>
      <w:r w:rsidRPr="00CF0111">
        <w:t>Employability Skills Information</w:t>
      </w:r>
    </w:p>
    <w:tbl>
      <w:tblPr>
        <w:tblW w:w="0" w:type="auto"/>
        <w:tblLayout w:type="fixed"/>
        <w:tblCellMar>
          <w:left w:w="62" w:type="dxa"/>
          <w:right w:w="62" w:type="dxa"/>
        </w:tblCellMar>
        <w:tblLook w:val="0000"/>
      </w:tblPr>
      <w:tblGrid>
        <w:gridCol w:w="2746"/>
        <w:gridCol w:w="5776"/>
      </w:tblGrid>
      <w:tr w:rsidTr="0006103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The required outcomes described in this unit of competency contain applicable facets of employability skills. The Employability Skills Summary of the qualification in which this unit of competency is packaged, will assist in identifying employability skill</w:t>
            </w:r>
            <w:r w:rsidRPr="00CF0111">
              <w:t>s requirements.</w:t>
            </w:r>
          </w:p>
        </w:tc>
      </w:tr>
    </w:tbl>
    <w:p w:rsidR="00061038" w:rsidP="00CF0111">
      <w:pPr>
        <w:pStyle w:val="BodyText"/>
      </w:pPr>
    </w:p>
    <w:p w:rsidR="00061038" w:rsidP="00CF0111">
      <w:pPr>
        <w:pStyle w:val="BodyText"/>
      </w:pPr>
    </w:p>
    <w:p w:rsidR="00000000" w:rsidRPr="00CF0111" w:rsidP="00CF0111">
      <w:pPr>
        <w:pStyle w:val="Heading1"/>
      </w:pPr>
      <w:bookmarkStart w:id="7" w:name="O_288170"/>
      <w:bookmarkEnd w:id="7"/>
      <w:r w:rsidRPr="00CF0111">
        <w:t>Elements and Performance Criteria Pre-Content</w:t>
      </w:r>
    </w:p>
    <w:tbl>
      <w:tblPr>
        <w:tblW w:w="0" w:type="auto"/>
        <w:tblLayout w:type="fixed"/>
        <w:tblCellMar>
          <w:left w:w="62" w:type="dxa"/>
          <w:right w:w="62" w:type="dxa"/>
        </w:tblCellMar>
        <w:tblLook w:val="0000"/>
      </w:tblPr>
      <w:tblGrid>
        <w:gridCol w:w="2800"/>
        <w:gridCol w:w="5940"/>
      </w:tblGrid>
      <w:tr w:rsidTr="0006103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Performance criteria describe the required performance needed to demonstrate achievement of the element. Whe</w:t>
            </w:r>
            <w:r w:rsidRPr="00CF0111">
              <w:t xml:space="preserve">re </w:t>
            </w:r>
            <w:r w:rsidRPr="00CF0111">
              <w:rPr>
                <w:rStyle w:val="BoldandItalics"/>
              </w:rPr>
              <w:t>bold italicised</w:t>
            </w:r>
            <w:r w:rsidRPr="00CF0111">
              <w:t xml:space="preserve"> text is used, further information is detailed in the required skills and knowledge and/or the range statement. Assessment of performance is to be consistent with the evidence guide.</w:t>
            </w:r>
          </w:p>
        </w:tc>
      </w:tr>
    </w:tbl>
    <w:p w:rsidR="00000000" w:rsidRPr="00CF0111" w:rsidP="00CF0111">
      <w:pPr>
        <w:pStyle w:val="BodyText"/>
      </w:pPr>
    </w:p>
    <w:p w:rsidR="00000000" w:rsidRPr="00CF0111" w:rsidP="00CF0111">
      <w:pPr>
        <w:pStyle w:val="AllowPageBreak"/>
      </w:pPr>
    </w:p>
    <w:p w:rsidR="00000000" w:rsidRPr="00CF0111" w:rsidP="00CF0111">
      <w:pPr>
        <w:pStyle w:val="Heading1"/>
      </w:pPr>
      <w:bookmarkStart w:id="8" w:name="O_234837"/>
      <w:bookmarkEnd w:id="8"/>
      <w:r w:rsidRPr="00CF0111">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061038">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CF0111" w:rsidP="00CF0111">
            <w:pPr>
              <w:pStyle w:val="List"/>
            </w:pPr>
            <w:r w:rsidRPr="00CF0111">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CF0111">
            <w:pPr>
              <w:pStyle w:val="List"/>
              <w:rPr>
                <w:lang w:val="en-NZ"/>
              </w:rPr>
            </w:pPr>
            <w:r w:rsidRPr="00CF0111">
              <w:rPr>
                <w:rStyle w:val="SpecialBold"/>
              </w:rPr>
              <w:t>PERFORMANCE CRITERIA</w:t>
            </w:r>
          </w:p>
        </w:tc>
      </w:tr>
      <w:tr w:rsidTr="0006103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F0111">
            <w:pPr>
              <w:pStyle w:val="List"/>
              <w:rPr>
                <w:lang w:val="en-NZ"/>
              </w:rPr>
            </w:pPr>
            <w:r w:rsidRPr="00CF0111">
              <w:rPr>
                <w:rStyle w:val="SpecialBold"/>
              </w:rPr>
              <w:t>1</w:t>
            </w:r>
            <w:r w:rsidRPr="00CF0111">
              <w:tab/>
            </w:r>
            <w:r w:rsidRPr="00CF0111">
              <w:rPr>
                <w:rStyle w:val="SpecialBold"/>
              </w:rPr>
              <w:t>Determine disposal requirements</w:t>
            </w:r>
            <w:r w:rsidRPr="00CF0111">
              <w:t>.</w:t>
            </w:r>
          </w:p>
        </w:tc>
        <w:tc>
          <w:tcPr>
            <w:tcW w:w="5940" w:type="dxa"/>
            <w:gridSpan w:val="2"/>
            <w:tcBorders>
              <w:top w:val="nil"/>
              <w:left w:val="nil"/>
              <w:bottom w:val="nil"/>
              <w:right w:val="nil"/>
            </w:tcBorders>
            <w:tcMar>
              <w:top w:w="0" w:type="dxa"/>
              <w:left w:w="62" w:type="dxa"/>
              <w:bottom w:w="0" w:type="dxa"/>
              <w:right w:w="62" w:type="dxa"/>
            </w:tcMar>
          </w:tcPr>
          <w:p w:rsidR="00000000" w:rsidRPr="00CF0111" w:rsidP="00CF0111">
            <w:pPr>
              <w:pStyle w:val="List"/>
            </w:pPr>
            <w:r w:rsidRPr="00CF0111">
              <w:t>1.1</w:t>
            </w:r>
            <w:r w:rsidRPr="00CF0111">
              <w:tab/>
              <w:t xml:space="preserve">Disposal requirements are confirmed in consultation with </w:t>
            </w:r>
            <w:r w:rsidRPr="00CF0111">
              <w:rPr>
                <w:rStyle w:val="BoldandItalics"/>
              </w:rPr>
              <w:t>client</w:t>
            </w:r>
            <w:r w:rsidRPr="00CF0111">
              <w:t xml:space="preserve"> according to </w:t>
            </w:r>
            <w:r w:rsidRPr="00CF0111">
              <w:rPr>
                <w:rStyle w:val="BoldandItalics"/>
              </w:rPr>
              <w:t>organisational requirements</w:t>
            </w:r>
            <w:r w:rsidRPr="00CF0111">
              <w:t xml:space="preserve">. </w:t>
            </w:r>
          </w:p>
          <w:p w:rsidR="00000000" w:rsidRPr="00CF0111" w:rsidP="00CF0111">
            <w:pPr>
              <w:pStyle w:val="List"/>
            </w:pPr>
            <w:r w:rsidRPr="00CF0111">
              <w:t>1.2</w:t>
            </w:r>
            <w:r w:rsidRPr="00CF0111">
              <w:tab/>
              <w:t xml:space="preserve">Client is informed of relevant </w:t>
            </w:r>
            <w:r w:rsidRPr="00CF0111">
              <w:rPr>
                <w:rStyle w:val="BoldandItalics"/>
              </w:rPr>
              <w:t>factors that may impact on disposal of proper</w:t>
            </w:r>
            <w:r w:rsidRPr="00CF0111">
              <w:rPr>
                <w:rStyle w:val="BoldandItalics"/>
              </w:rPr>
              <w:t>ty</w:t>
            </w:r>
            <w:r w:rsidRPr="00CF0111">
              <w:t xml:space="preserve"> according to organisational requirements.</w:t>
            </w:r>
          </w:p>
          <w:p w:rsidR="00000000" w:rsidRPr="00CF0111" w:rsidP="00CF0111">
            <w:pPr>
              <w:pStyle w:val="List"/>
            </w:pPr>
            <w:r w:rsidRPr="00CF0111">
              <w:t>1.3</w:t>
            </w:r>
            <w:r w:rsidRPr="00CF0111">
              <w:tab/>
            </w:r>
            <w:r w:rsidRPr="00CF0111">
              <w:rPr>
                <w:rStyle w:val="BoldandItalics"/>
              </w:rPr>
              <w:t>Disposal method</w:t>
            </w:r>
            <w:r w:rsidRPr="00CF0111">
              <w:t xml:space="preserve"> suitable for </w:t>
            </w:r>
            <w:r w:rsidRPr="00CF0111">
              <w:rPr>
                <w:rStyle w:val="BoldandItalics"/>
              </w:rPr>
              <w:t>asset type</w:t>
            </w:r>
            <w:r w:rsidRPr="00CF0111">
              <w:t xml:space="preserve"> is selected according to organisational requirements.</w:t>
            </w:r>
          </w:p>
          <w:p w:rsidR="00000000" w:rsidRPr="00CF0111" w:rsidP="00CF0111">
            <w:pPr>
              <w:pStyle w:val="List"/>
            </w:pPr>
            <w:r w:rsidRPr="00CF0111">
              <w:t>1.4</w:t>
            </w:r>
            <w:r w:rsidRPr="00CF0111">
              <w:tab/>
            </w:r>
            <w:r w:rsidRPr="00CF0111">
              <w:rPr>
                <w:rStyle w:val="BoldandItalics"/>
              </w:rPr>
              <w:t>Business equipment and technology</w:t>
            </w:r>
            <w:r w:rsidRPr="00CF0111">
              <w:t xml:space="preserve"> are used to access and organise </w:t>
            </w:r>
            <w:r w:rsidRPr="00CF0111">
              <w:rPr>
                <w:rStyle w:val="BoldandItalics"/>
              </w:rPr>
              <w:t>relevant</w:t>
            </w:r>
            <w:r w:rsidRPr="00CF0111">
              <w:t xml:space="preserve"> </w:t>
            </w:r>
            <w:r w:rsidRPr="00CF0111">
              <w:rPr>
                <w:rStyle w:val="BoldandItalics"/>
              </w:rPr>
              <w:t>information</w:t>
            </w:r>
            <w:r w:rsidRPr="00CF0111">
              <w:t xml:space="preserve"> according to organisat</w:t>
            </w:r>
            <w:r w:rsidRPr="00CF0111">
              <w:t>ional requirements.</w:t>
            </w:r>
          </w:p>
          <w:p w:rsidR="00000000" w:rsidP="00CF0111">
            <w:pPr>
              <w:pStyle w:val="List"/>
              <w:rPr>
                <w:lang w:val="en-NZ"/>
              </w:rPr>
            </w:pPr>
            <w:r w:rsidRPr="00CF0111">
              <w:t>1.5</w:t>
            </w:r>
            <w:r w:rsidRPr="00CF0111">
              <w:tab/>
              <w:t xml:space="preserve">Situations requiring </w:t>
            </w:r>
            <w:r w:rsidRPr="00CF0111">
              <w:rPr>
                <w:rStyle w:val="BoldandItalics"/>
              </w:rPr>
              <w:t>specialist advice</w:t>
            </w:r>
            <w:r w:rsidRPr="00CF0111">
              <w:t xml:space="preserve"> are identified and assistance is sought as required according to organisational requirements.</w:t>
            </w:r>
          </w:p>
        </w:tc>
      </w:tr>
      <w:tr w:rsidTr="0006103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F0111">
            <w:pPr>
              <w:pStyle w:val="List"/>
              <w:rPr>
                <w:lang w:val="en-NZ"/>
              </w:rPr>
            </w:pPr>
            <w:r w:rsidRPr="00CF0111">
              <w:rPr>
                <w:rStyle w:val="SpecialBold"/>
              </w:rPr>
              <w:t>2</w:t>
            </w:r>
            <w:r w:rsidRPr="00CF0111">
              <w:tab/>
            </w:r>
            <w:r w:rsidRPr="00CF0111">
              <w:rPr>
                <w:rStyle w:val="SpecialBold"/>
              </w:rPr>
              <w:t>Arrange disposal</w:t>
            </w:r>
            <w:r w:rsidRPr="00CF0111">
              <w:t>.</w:t>
            </w:r>
          </w:p>
        </w:tc>
        <w:tc>
          <w:tcPr>
            <w:tcW w:w="5940" w:type="dxa"/>
            <w:gridSpan w:val="2"/>
            <w:tcBorders>
              <w:top w:val="nil"/>
              <w:left w:val="nil"/>
              <w:bottom w:val="nil"/>
              <w:right w:val="nil"/>
            </w:tcBorders>
            <w:tcMar>
              <w:top w:w="0" w:type="dxa"/>
              <w:left w:w="62" w:type="dxa"/>
              <w:bottom w:w="0" w:type="dxa"/>
              <w:right w:w="62" w:type="dxa"/>
            </w:tcMar>
          </w:tcPr>
          <w:p w:rsidR="00000000" w:rsidRPr="00CF0111" w:rsidP="00CF0111">
            <w:pPr>
              <w:pStyle w:val="List"/>
            </w:pPr>
            <w:r w:rsidRPr="00CF0111">
              <w:t>2.1</w:t>
            </w:r>
            <w:r w:rsidRPr="00CF0111">
              <w:tab/>
              <w:t xml:space="preserve">Market information is collected and evaluated to determine </w:t>
            </w:r>
            <w:r w:rsidRPr="00CF0111">
              <w:rPr>
                <w:rStyle w:val="BoldandItalics"/>
              </w:rPr>
              <w:t>price</w:t>
            </w:r>
            <w:r w:rsidRPr="00CF0111">
              <w:t xml:space="preserve"> according to organisational and </w:t>
            </w:r>
            <w:r w:rsidRPr="00CF0111">
              <w:rPr>
                <w:rStyle w:val="BoldandItalics"/>
              </w:rPr>
              <w:t>legislative requirements</w:t>
            </w:r>
            <w:r w:rsidRPr="00CF0111">
              <w:t>.</w:t>
            </w:r>
          </w:p>
          <w:p w:rsidR="00000000" w:rsidRPr="00CF0111" w:rsidP="00CF0111">
            <w:pPr>
              <w:pStyle w:val="List"/>
            </w:pPr>
            <w:r w:rsidRPr="00CF0111">
              <w:t>2.2</w:t>
            </w:r>
            <w:r w:rsidRPr="00CF0111">
              <w:tab/>
              <w:t xml:space="preserve">Appropriate </w:t>
            </w:r>
            <w:r w:rsidRPr="00CF0111">
              <w:rPr>
                <w:rStyle w:val="BoldandItalics"/>
              </w:rPr>
              <w:t>interpersonal techniques</w:t>
            </w:r>
            <w:r w:rsidRPr="00CF0111">
              <w:t xml:space="preserve"> are used to facilitate an accurate and relevant exchange of information with </w:t>
            </w:r>
            <w:r w:rsidRPr="00CF0111">
              <w:rPr>
                <w:rStyle w:val="BoldandItalics"/>
              </w:rPr>
              <w:t>relevant people</w:t>
            </w:r>
            <w:r w:rsidRPr="00CF0111">
              <w:t>.</w:t>
            </w:r>
          </w:p>
          <w:p w:rsidR="00000000" w:rsidRPr="00CF0111" w:rsidP="00CF0111">
            <w:pPr>
              <w:pStyle w:val="List"/>
            </w:pPr>
            <w:r w:rsidRPr="00CF0111">
              <w:t>2.3</w:t>
            </w:r>
            <w:r w:rsidRPr="00CF0111">
              <w:tab/>
              <w:t>Disposal documentation is reviewed to ensure it is accurat</w:t>
            </w:r>
            <w:r w:rsidRPr="00CF0111">
              <w:t>e and meets intending purchaser, legal and organisational requirements.</w:t>
            </w:r>
          </w:p>
          <w:p w:rsidR="00000000" w:rsidP="00CF0111">
            <w:pPr>
              <w:pStyle w:val="List"/>
              <w:rPr>
                <w:lang w:val="en-NZ"/>
              </w:rPr>
            </w:pPr>
            <w:r w:rsidRPr="00CF0111">
              <w:t>2.4</w:t>
            </w:r>
            <w:r w:rsidRPr="00CF0111">
              <w:tab/>
              <w:t>Agent is appointed to facilitate completion of property disposal according to legislative and organisational requirements.</w:t>
            </w:r>
          </w:p>
        </w:tc>
      </w:tr>
      <w:tr w:rsidTr="0006103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F0111">
            <w:pPr>
              <w:pStyle w:val="List"/>
              <w:rPr>
                <w:lang w:val="en-NZ"/>
              </w:rPr>
            </w:pPr>
            <w:r w:rsidRPr="00CF0111">
              <w:rPr>
                <w:rStyle w:val="SpecialBold"/>
              </w:rPr>
              <w:t>3</w:t>
            </w:r>
            <w:r w:rsidRPr="00CF0111">
              <w:tab/>
            </w:r>
            <w:r w:rsidRPr="00CF0111">
              <w:rPr>
                <w:rStyle w:val="SpecialBold"/>
              </w:rPr>
              <w:t>Complete disposal</w:t>
            </w:r>
            <w:r w:rsidRPr="00CF0111">
              <w:t>.</w:t>
            </w:r>
          </w:p>
        </w:tc>
        <w:tc>
          <w:tcPr>
            <w:tcW w:w="5940" w:type="dxa"/>
            <w:gridSpan w:val="2"/>
            <w:tcBorders>
              <w:top w:val="nil"/>
              <w:left w:val="nil"/>
              <w:bottom w:val="nil"/>
              <w:right w:val="nil"/>
            </w:tcBorders>
            <w:tcMar>
              <w:top w:w="0" w:type="dxa"/>
              <w:left w:w="62" w:type="dxa"/>
              <w:bottom w:w="0" w:type="dxa"/>
              <w:right w:w="62" w:type="dxa"/>
            </w:tcMar>
          </w:tcPr>
          <w:p w:rsidR="00000000" w:rsidRPr="00CF0111" w:rsidP="00CF0111">
            <w:pPr>
              <w:pStyle w:val="List"/>
            </w:pPr>
            <w:r w:rsidRPr="00CF0111">
              <w:t>3.1</w:t>
            </w:r>
            <w:r w:rsidRPr="00CF0111">
              <w:tab/>
            </w:r>
            <w:r w:rsidRPr="00CF0111">
              <w:t xml:space="preserve">Arrangements for sale are completed and </w:t>
            </w:r>
            <w:r w:rsidRPr="00CF0111">
              <w:rPr>
                <w:rStyle w:val="BoldandItalics"/>
              </w:rPr>
              <w:t>appropriate documentation</w:t>
            </w:r>
            <w:r w:rsidRPr="00CF0111">
              <w:t xml:space="preserve"> is executed according to organisational and legislative requirements.</w:t>
            </w:r>
          </w:p>
          <w:p w:rsidR="00000000" w:rsidRPr="00CF0111" w:rsidP="00CF0111">
            <w:pPr>
              <w:pStyle w:val="List"/>
            </w:pPr>
            <w:r w:rsidRPr="00CF0111">
              <w:t>3.2</w:t>
            </w:r>
            <w:r w:rsidRPr="00CF0111">
              <w:tab/>
              <w:t>Deposits are secured and appropriate arrangements made to account for deposit on subsequent settlement.</w:t>
            </w:r>
          </w:p>
          <w:p w:rsidR="00000000" w:rsidRPr="00CF0111" w:rsidP="00CF0111">
            <w:pPr>
              <w:pStyle w:val="List"/>
            </w:pPr>
            <w:r w:rsidRPr="00CF0111">
              <w:t>3.3</w:t>
            </w:r>
            <w:r w:rsidRPr="00CF0111">
              <w:tab/>
            </w:r>
            <w:r w:rsidRPr="00CF0111">
              <w:rPr>
                <w:rStyle w:val="BoldandItalics"/>
              </w:rPr>
              <w:t>Feedback</w:t>
            </w:r>
            <w:r w:rsidRPr="00CF0111">
              <w:t xml:space="preserve"> on disposal arrangements is sought and reviewed to determine cost-effectiveness according to organisational requirements.</w:t>
            </w:r>
          </w:p>
          <w:p w:rsidR="00000000" w:rsidRPr="00CF0111" w:rsidP="00CF0111">
            <w:pPr>
              <w:pStyle w:val="List"/>
            </w:pPr>
            <w:r w:rsidRPr="00CF0111">
              <w:t>3.4</w:t>
            </w:r>
            <w:r w:rsidRPr="00CF0111">
              <w:tab/>
              <w:t>Sale records are updated to reflect completion of sale and securely stored according to legislative and organisational requiremen</w:t>
            </w:r>
            <w:r w:rsidRPr="00CF0111">
              <w:t>ts.</w:t>
            </w:r>
          </w:p>
        </w:tc>
      </w:tr>
    </w:tbl>
    <w:p w:rsidR="00061038" w:rsidP="00CF0111">
      <w:pPr>
        <w:pStyle w:val="BodyText"/>
      </w:pPr>
    </w:p>
    <w:p w:rsidR="00061038" w:rsidP="00CF0111">
      <w:pPr>
        <w:pStyle w:val="BodyText"/>
      </w:pPr>
    </w:p>
    <w:p w:rsidR="00000000" w:rsidRPr="00CF0111" w:rsidP="00CF0111">
      <w:pPr>
        <w:pStyle w:val="Heading1"/>
      </w:pPr>
      <w:bookmarkStart w:id="9" w:name="O_258787"/>
      <w:bookmarkEnd w:id="9"/>
      <w:r w:rsidRPr="00CF0111">
        <w:t>Required Skills and Knowledge</w:t>
      </w:r>
    </w:p>
    <w:tbl>
      <w:tblPr>
        <w:tblW w:w="0" w:type="auto"/>
        <w:tblLayout w:type="fixed"/>
        <w:tblCellMar>
          <w:left w:w="62" w:type="dxa"/>
          <w:right w:w="62" w:type="dxa"/>
        </w:tblCellMar>
        <w:tblLook w:val="0000"/>
      </w:tblPr>
      <w:tblGrid>
        <w:gridCol w:w="8513"/>
        <w:gridCol w:w="9"/>
      </w:tblGrid>
      <w:tr w:rsidTr="0006103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REQUIRED SKILLS AND KNOWLEDGE</w:t>
            </w:r>
          </w:p>
        </w:tc>
      </w:tr>
      <w:tr w:rsidTr="0006103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t>This section describes the essential skills and knowledge and their level, required for this unit.</w:t>
            </w:r>
          </w:p>
        </w:tc>
      </w:tr>
      <w:tr w:rsidTr="0006103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rPr>
                <w:rStyle w:val="SpecialBold"/>
              </w:rPr>
              <w:t>Required skills</w:t>
            </w:r>
            <w:r w:rsidRPr="00CF0111">
              <w:t>:</w:t>
            </w:r>
          </w:p>
          <w:p w:rsidR="00000000" w:rsidRPr="00CF0111" w:rsidP="00CF0111">
            <w:pPr>
              <w:pStyle w:val="ListBullet"/>
            </w:pPr>
            <w:r w:rsidRPr="00CF0111">
              <w:t>communication skills to provide relevant instructions and advice on property disposal</w:t>
            </w:r>
          </w:p>
          <w:p w:rsidR="00000000" w:rsidRPr="00CF0111" w:rsidP="00CF0111">
            <w:pPr>
              <w:pStyle w:val="ListBullet"/>
            </w:pPr>
            <w:r w:rsidRPr="00CF0111">
              <w:t>computing skills to access the internet and web pages, prepare and complete online forms, lodge electronic documents and search online databases</w:t>
            </w:r>
          </w:p>
          <w:p w:rsidR="00000000" w:rsidRPr="00CF0111" w:rsidP="00CF0111">
            <w:pPr>
              <w:pStyle w:val="ListBullet"/>
            </w:pPr>
            <w:r w:rsidRPr="00CF0111">
              <w:t>interpersonal skills to r</w:t>
            </w:r>
            <w:r w:rsidRPr="00CF0111">
              <w:t>elate to people from a range of social, cultural and ethnic backgrounds and varying physical and mental abilities</w:t>
            </w:r>
          </w:p>
          <w:p w:rsidR="00000000" w:rsidRPr="00CF0111" w:rsidP="00CF0111">
            <w:pPr>
              <w:pStyle w:val="ListBullet"/>
            </w:pPr>
            <w:r w:rsidRPr="00CF0111">
              <w:t>organisational skills to monitor property disposals and obtain and collate feedback on disposal methods</w:t>
            </w:r>
          </w:p>
          <w:p w:rsidR="00000000" w:rsidP="00CF0111">
            <w:pPr>
              <w:pStyle w:val="ListBullet"/>
              <w:rPr>
                <w:lang w:val="en-NZ"/>
              </w:rPr>
            </w:pPr>
            <w:r w:rsidRPr="00CF0111">
              <w:t>problem solving skills to negotiate pr</w:t>
            </w:r>
            <w:r w:rsidRPr="00CF0111">
              <w:t>operty disposals and to source, analyse and interpret property and market information</w:t>
            </w:r>
          </w:p>
        </w:tc>
      </w:tr>
      <w:tr w:rsidTr="0006103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research skills to source information on a range of appropriate disposal methods, and collect and analyse financial performance information on property disposals to det</w:t>
            </w:r>
            <w:r w:rsidRPr="00CF0111">
              <w:t>ermine price</w:t>
            </w:r>
          </w:p>
          <w:p w:rsidR="00000000" w:rsidP="00CF0111">
            <w:pPr>
              <w:pStyle w:val="ListBullet"/>
              <w:rPr>
                <w:lang w:val="en-NZ"/>
              </w:rPr>
            </w:pPr>
            <w:r w:rsidRPr="00CF0111">
              <w:t>technical skills to prepare and complete reports and access market information.</w:t>
            </w:r>
          </w:p>
        </w:tc>
      </w:tr>
      <w:tr w:rsidTr="0006103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rPr>
                <w:rStyle w:val="SpecialBold"/>
              </w:rPr>
              <w:t>Required knowledge and understanding</w:t>
            </w:r>
            <w:r w:rsidRPr="00CF0111">
              <w:t>:</w:t>
            </w:r>
          </w:p>
          <w:p w:rsidR="00000000" w:rsidRPr="00CF0111" w:rsidP="00CF0111">
            <w:pPr>
              <w:pStyle w:val="ListBullet"/>
            </w:pPr>
            <w:r w:rsidRPr="00CF0111">
              <w:t>limitations of work role, responsibility and professional abilities</w:t>
            </w:r>
          </w:p>
          <w:p w:rsidR="00000000" w:rsidRPr="00CF0111" w:rsidP="00CF0111">
            <w:pPr>
              <w:pStyle w:val="ListBullet"/>
            </w:pPr>
            <w:r w:rsidRPr="00CF0111">
              <w:t>local property market conditions and overall trends in the industry</w:t>
            </w:r>
          </w:p>
          <w:p w:rsidR="00000000" w:rsidRPr="00CF0111" w:rsidP="00CF0111">
            <w:pPr>
              <w:pStyle w:val="ListBullet"/>
            </w:pPr>
            <w:r w:rsidRPr="00CF0111">
              <w:t>methods and techniques of disposal</w:t>
            </w:r>
          </w:p>
          <w:p w:rsidR="00000000" w:rsidRPr="00CF0111" w:rsidP="00CF0111">
            <w:pPr>
              <w:pStyle w:val="ListBullet"/>
            </w:pPr>
            <w:r w:rsidRPr="00CF0111">
              <w:t>organisational and professional procedures, ethical practices and business standards</w:t>
            </w:r>
          </w:p>
          <w:p w:rsidR="00000000" w:rsidRPr="00CF0111" w:rsidP="00CF0111">
            <w:pPr>
              <w:pStyle w:val="ListBullet"/>
            </w:pPr>
            <w:r w:rsidRPr="00CF0111">
              <w:t>relevant federal and state or territory legislation and local govern</w:t>
            </w:r>
            <w:r w:rsidRPr="00CF0111">
              <w:t>ment regulations related to:</w:t>
            </w:r>
          </w:p>
          <w:p w:rsidR="00000000" w:rsidRPr="00CF0111" w:rsidP="00CF0111">
            <w:pPr>
              <w:pStyle w:val="ListBullet2"/>
            </w:pPr>
            <w:r w:rsidRPr="00CF0111">
              <w:t>anti-discrimination</w:t>
            </w:r>
          </w:p>
          <w:p w:rsidR="00000000" w:rsidRPr="00CF0111" w:rsidP="00CF0111">
            <w:pPr>
              <w:pStyle w:val="ListBullet2"/>
            </w:pPr>
            <w:r w:rsidRPr="00CF0111">
              <w:t>consumer protection</w:t>
            </w:r>
          </w:p>
          <w:p w:rsidR="00000000" w:rsidRPr="00CF0111" w:rsidP="00CF0111">
            <w:pPr>
              <w:pStyle w:val="ListBullet2"/>
            </w:pPr>
            <w:r w:rsidRPr="00CF0111">
              <w:t>environmental issues</w:t>
            </w:r>
          </w:p>
          <w:p w:rsidR="00000000" w:rsidRPr="00CF0111" w:rsidP="00CF0111">
            <w:pPr>
              <w:pStyle w:val="ListBullet2"/>
            </w:pPr>
            <w:r w:rsidRPr="00CF0111">
              <w:t>equal employment opportunity (EEO)</w:t>
            </w:r>
          </w:p>
          <w:p w:rsidR="00000000" w:rsidRPr="00CF0111" w:rsidP="00CF0111">
            <w:pPr>
              <w:pStyle w:val="ListBullet2"/>
            </w:pPr>
            <w:r w:rsidRPr="00CF0111">
              <w:t>financial probity</w:t>
            </w:r>
          </w:p>
          <w:p w:rsidR="00000000" w:rsidRPr="00CF0111" w:rsidP="00CF0111">
            <w:pPr>
              <w:pStyle w:val="ListBullet2"/>
            </w:pPr>
            <w:r w:rsidRPr="00CF0111">
              <w:t>franchise and business structures</w:t>
            </w:r>
          </w:p>
          <w:p w:rsidR="00000000" w:rsidRPr="00CF0111" w:rsidP="00CF0111">
            <w:pPr>
              <w:pStyle w:val="ListBullet2"/>
            </w:pPr>
            <w:r w:rsidRPr="00CF0111">
              <w:t>industrial relations</w:t>
            </w:r>
          </w:p>
          <w:p w:rsidR="00000000" w:rsidRPr="00CF0111" w:rsidP="00CF0111">
            <w:pPr>
              <w:pStyle w:val="ListBullet2"/>
            </w:pPr>
            <w:r w:rsidRPr="00CF0111">
              <w:t>OHS</w:t>
            </w:r>
          </w:p>
          <w:p w:rsidR="00000000" w:rsidRPr="00CF0111" w:rsidP="00CF0111">
            <w:pPr>
              <w:pStyle w:val="ListBullet2"/>
            </w:pPr>
            <w:r w:rsidRPr="00CF0111">
              <w:t>privacy</w:t>
            </w:r>
          </w:p>
          <w:p w:rsidR="00000000" w:rsidRPr="00CF0111" w:rsidP="00CF0111">
            <w:pPr>
              <w:pStyle w:val="ListBullet2"/>
            </w:pPr>
            <w:r w:rsidRPr="00CF0111">
              <w:t>property sales, leasing and management</w:t>
            </w:r>
          </w:p>
          <w:p w:rsidR="00000000" w:rsidRPr="00CF0111" w:rsidP="00CF0111">
            <w:pPr>
              <w:pStyle w:val="ListBullet"/>
            </w:pPr>
            <w:r w:rsidRPr="00CF0111">
              <w:t>sources of advice on property disposals</w:t>
            </w:r>
          </w:p>
          <w:p w:rsidR="00000000" w:rsidRPr="00CF0111" w:rsidP="00CF0111">
            <w:pPr>
              <w:pStyle w:val="ListBullet"/>
            </w:pPr>
            <w:r w:rsidRPr="00CF0111">
              <w:t>taxation issues regarding property disposals</w:t>
            </w:r>
          </w:p>
          <w:p w:rsidR="00000000" w:rsidRPr="00CF0111" w:rsidP="00CF0111">
            <w:pPr>
              <w:pStyle w:val="ListBullet"/>
            </w:pPr>
            <w:r w:rsidRPr="00CF0111">
              <w:t>valuation methods and techniques to appraise property.</w:t>
            </w:r>
          </w:p>
        </w:tc>
      </w:tr>
    </w:tbl>
    <w:p w:rsidR="00061038" w:rsidP="00CF0111">
      <w:pPr>
        <w:pStyle w:val="BodyText"/>
      </w:pPr>
    </w:p>
    <w:p w:rsidR="00061038" w:rsidP="00CF0111">
      <w:pPr>
        <w:pStyle w:val="BodyText"/>
      </w:pPr>
    </w:p>
    <w:p w:rsidR="00000000" w:rsidRPr="00CF0111" w:rsidP="00CF0111">
      <w:pPr>
        <w:pStyle w:val="Heading1"/>
      </w:pPr>
      <w:bookmarkStart w:id="10" w:name="O_242821"/>
      <w:bookmarkEnd w:id="10"/>
      <w:r w:rsidRPr="00CF0111">
        <w:t>Evidence Guide</w:t>
      </w:r>
    </w:p>
    <w:p w:rsidR="00000000" w:rsidRPr="00CF0111" w:rsidP="00CF0111">
      <w:pPr>
        <w:pStyle w:val="BodyText"/>
      </w:pPr>
      <w:r w:rsidRPr="00CF0111">
        <w:rPr>
          <w:rStyle w:val="SpecialBold"/>
        </w:rPr>
        <w:t>EVIDENCE GUIDE</w:t>
      </w:r>
    </w:p>
    <w:p w:rsidR="00000000" w:rsidRPr="00CF0111" w:rsidP="00CF0111">
      <w:pPr>
        <w:pStyle w:val="BodyText"/>
      </w:pPr>
      <w:r w:rsidRPr="00CF011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225"/>
        <w:gridCol w:w="5580"/>
      </w:tblGrid>
      <w:tr w:rsidTr="0006103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Overview of assessment</w:t>
            </w:r>
          </w:p>
        </w:tc>
        <w:tc>
          <w:tcPr>
            <w:tcW w:w="5580"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t xml:space="preserve">This unit of </w:t>
            </w:r>
            <w:r w:rsidRPr="00CF0111">
              <w:t>competency could be assessed through practical demonstration of disposal of property as part of an investment portfolio. Targeted written (including alternative formats where necessary) or verbal questioning to assess the candidate's underpinning knowledge</w:t>
            </w:r>
            <w:r w:rsidRPr="00CF0111">
              <w:t xml:space="preserve"> would provide additional supporting evidence of competence. The demonstration and questioning would include collecting evidence of the candidate's knowledge and application of ethical standards and relevant federal, and state or territory legislation and </w:t>
            </w:r>
            <w:r w:rsidRPr="00CF0111">
              <w:t>regulations. This assessment may be carried out in a simulated or workplace environment.</w:t>
            </w:r>
          </w:p>
        </w:tc>
      </w:tr>
      <w:tr w:rsidTr="0006103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A person who demonstrates competency in this unit must be able to provide</w:t>
            </w:r>
            <w:r w:rsidRPr="00CF0111">
              <w:t xml:space="preserve"> evidence of:</w:t>
            </w:r>
          </w:p>
          <w:p w:rsidR="00000000" w:rsidRPr="00CF0111" w:rsidP="00CF0111">
            <w:pPr>
              <w:pStyle w:val="ListBullet"/>
            </w:pPr>
            <w:r w:rsidRPr="00CF0111">
              <w:t>choosing suitable disposal methods appropriate to a range of at least three asset types</w:t>
            </w:r>
          </w:p>
          <w:p w:rsidR="00000000" w:rsidRPr="00CF0111" w:rsidP="00CF0111">
            <w:pPr>
              <w:pStyle w:val="ListBullet"/>
            </w:pPr>
            <w:r w:rsidRPr="00CF0111">
              <w:t>communicating disposal documentation requirements clearly to advisers</w:t>
            </w:r>
          </w:p>
          <w:p w:rsidR="00000000" w:rsidRPr="00CF0111" w:rsidP="00CF0111">
            <w:pPr>
              <w:pStyle w:val="ListBullet"/>
            </w:pPr>
            <w:r w:rsidRPr="00CF0111">
              <w:t>determining appropriate price based on an accurate analysis of market information</w:t>
            </w:r>
          </w:p>
          <w:p w:rsidR="00000000" w:rsidRPr="00CF0111" w:rsidP="00CF0111">
            <w:pPr>
              <w:pStyle w:val="ListBullet"/>
            </w:pPr>
            <w:r w:rsidRPr="00CF0111">
              <w:t>gathering regular feedback during the disposal cycle</w:t>
            </w:r>
          </w:p>
          <w:p w:rsidR="00000000" w:rsidRPr="00CF0111" w:rsidP="00CF0111">
            <w:pPr>
              <w:pStyle w:val="ListBullet"/>
            </w:pPr>
            <w:r w:rsidRPr="00CF0111">
              <w:t>knowledge of organisation's practices, ethical standards and legislative requirements associated with disposing of property as part of an investment portfolio</w:t>
            </w:r>
          </w:p>
          <w:p w:rsidR="00000000" w:rsidP="00CF0111">
            <w:pPr>
              <w:pStyle w:val="ListBullet"/>
              <w:rPr>
                <w:lang w:val="en-NZ"/>
              </w:rPr>
            </w:pPr>
            <w:r w:rsidRPr="00CF0111">
              <w:t>successfully disposing of a property.</w:t>
            </w:r>
          </w:p>
        </w:tc>
      </w:tr>
      <w:tr w:rsidTr="0006103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Conte</w:t>
            </w:r>
            <w:r w:rsidRPr="00CF0111">
              <w:rPr>
                <w:rStyle w:val="SpecialBold"/>
              </w:rPr>
              <w:t>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Resource implications for assessment include:</w:t>
            </w:r>
          </w:p>
          <w:p w:rsidR="00000000" w:rsidRPr="00CF0111" w:rsidP="00CF0111">
            <w:pPr>
              <w:pStyle w:val="ListBullet"/>
            </w:pPr>
            <w:r w:rsidRPr="00CF0111">
              <w:t>a registered provider of assessment services</w:t>
            </w:r>
          </w:p>
          <w:p w:rsidR="00000000" w:rsidRPr="00CF0111" w:rsidP="00CF0111">
            <w:pPr>
              <w:pStyle w:val="ListBullet"/>
            </w:pPr>
            <w:r w:rsidRPr="00CF0111">
              <w:t>assessment materials and tools</w:t>
            </w:r>
          </w:p>
          <w:p w:rsidR="00000000" w:rsidRPr="00CF0111" w:rsidP="00CF0111">
            <w:pPr>
              <w:pStyle w:val="ListBullet"/>
            </w:pPr>
            <w:r w:rsidRPr="00CF0111">
              <w:t>candidate special requirements</w:t>
            </w:r>
          </w:p>
          <w:p w:rsidR="00000000" w:rsidRPr="00CF0111" w:rsidP="00CF0111">
            <w:pPr>
              <w:pStyle w:val="ListBullet"/>
            </w:pPr>
            <w:r w:rsidRPr="00CF0111">
              <w:t>competency standards</w:t>
            </w:r>
          </w:p>
          <w:p w:rsidR="00000000" w:rsidRPr="00CF0111" w:rsidP="00CF0111">
            <w:pPr>
              <w:pStyle w:val="ListBullet"/>
            </w:pPr>
            <w:r w:rsidRPr="00CF0111">
              <w:t xml:space="preserve">cost and time considerations </w:t>
            </w:r>
          </w:p>
          <w:p w:rsidR="00000000" w:rsidRPr="00CF0111" w:rsidP="00CF0111">
            <w:pPr>
              <w:pStyle w:val="ListBullet"/>
            </w:pPr>
            <w:r w:rsidRPr="00CF0111">
              <w:t>suitabl</w:t>
            </w:r>
            <w:r w:rsidRPr="00CF0111">
              <w:t>e assessment venue and equipment.</w:t>
            </w:r>
          </w:p>
          <w:p w:rsidR="00000000" w:rsidRPr="00CF0111" w:rsidP="00CF0111">
            <w:pPr>
              <w:pStyle w:val="BodyText"/>
            </w:pPr>
            <w:r w:rsidRPr="00CF0111">
              <w:t>Where applicable, physical resources should include equipment modified for people with disabilities.</w:t>
            </w:r>
          </w:p>
          <w:p w:rsidR="00000000" w:rsidRPr="00CF0111" w:rsidP="00CF0111">
            <w:pPr>
              <w:pStyle w:val="BodyText"/>
            </w:pPr>
            <w:r w:rsidRPr="00CF0111">
              <w:t>Access must be provided to appropriate learning and/or assessment support when required.</w:t>
            </w:r>
          </w:p>
          <w:p w:rsidR="00000000" w:rsidRPr="00CF0111" w:rsidP="00CF0111">
            <w:pPr>
              <w:pStyle w:val="BodyText"/>
            </w:pPr>
            <w:r w:rsidRPr="00CF0111">
              <w:t>Assessment processes and techniques must be culturally appropriate, and appropriate to the language and literacy capacity of the candidate and the work being performed.</w:t>
            </w:r>
          </w:p>
          <w:p w:rsidR="00000000" w:rsidRPr="00CF0111" w:rsidP="00CF0111">
            <w:pPr>
              <w:pStyle w:val="BodyText"/>
            </w:pPr>
            <w:r w:rsidRPr="00CF0111">
              <w:t>Validity and sufficiency of evidence require that:</w:t>
            </w:r>
          </w:p>
          <w:p w:rsidR="00000000" w:rsidP="00CF0111">
            <w:pPr>
              <w:pStyle w:val="ListBullet"/>
              <w:rPr>
                <w:lang w:val="en-NZ"/>
              </w:rPr>
            </w:pPr>
            <w:r w:rsidRPr="00CF0111">
              <w:t>competency will need to be demonstr</w:t>
            </w:r>
            <w:r w:rsidRPr="00CF0111">
              <w:t>ated over a period of time reflecting the scope of the role and the practical requirements of the workplace</w:t>
            </w:r>
          </w:p>
        </w:tc>
      </w:tr>
      <w:tr w:rsidTr="0006103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where the assessment is part of a structured learning experience the evidence collected must relate to a number of performances assessed at diffe</w:t>
            </w:r>
            <w:r w:rsidRPr="00CF0111">
              <w:t>rent points in time and separated by further learning and practice with a decision of competence only taken at the point when the assessor has complete confidence in the person's competence</w:t>
            </w:r>
          </w:p>
          <w:p w:rsidR="00000000" w:rsidRPr="00CF0111" w:rsidP="00CF0111">
            <w:pPr>
              <w:pStyle w:val="ListBullet"/>
            </w:pPr>
            <w:r w:rsidRPr="00CF0111">
              <w:t>all assessment that is part of a structured learning experience mu</w:t>
            </w:r>
            <w:r w:rsidRPr="00CF0111">
              <w:t>st include a combination of direct, indirect and supplementary evidence</w:t>
            </w:r>
          </w:p>
          <w:p w:rsidR="00000000" w:rsidRPr="00CF0111" w:rsidP="00CF0111">
            <w:pPr>
              <w:pStyle w:val="ListBullet"/>
            </w:pPr>
            <w:r w:rsidRPr="00CF0111">
              <w:t>where assessment is for the purpose of recognition (RCC/RPL), the evidence provided will need to be current and show that it represents competency demonstrated over a period of time</w:t>
            </w:r>
          </w:p>
          <w:p w:rsidR="00000000" w:rsidRPr="00CF0111" w:rsidP="00CF0111">
            <w:pPr>
              <w:pStyle w:val="ListBullet"/>
            </w:pPr>
            <w:r w:rsidRPr="00CF0111">
              <w:t>as</w:t>
            </w:r>
            <w:r w:rsidRPr="00CF0111">
              <w:t>sessment can be through simulated project-based activity and must include evidence relating to each of the elements in this unit.</w:t>
            </w:r>
          </w:p>
          <w:p w:rsidR="00000000" w:rsidP="00CF0111">
            <w:pPr>
              <w:pStyle w:val="BodyText"/>
              <w:rPr>
                <w:lang w:val="en-NZ"/>
              </w:rPr>
            </w:pPr>
            <w:r w:rsidRPr="00CF0111">
              <w:t>In all cases activity and must include evidence relating to each of the where practical assessment is used it will be combined</w:t>
            </w:r>
            <w:r w:rsidRPr="00CF0111">
              <w:t xml:space="preserve"> with targeted questioning to assess the underpinning knowledge. Questioning will be undertaken in such a manner as is appropriate to the language and literacy levels of the candidate and any cultural issues that may affect responses to the questions, and </w:t>
            </w:r>
            <w:r w:rsidRPr="00CF0111">
              <w:t>will reflect the requirements of the competency and the work being performed.</w:t>
            </w:r>
          </w:p>
        </w:tc>
      </w:tr>
      <w:tr w:rsidTr="0006103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F0111" w:rsidP="00CF0111">
            <w:pPr>
              <w:pStyle w:val="BodyText"/>
            </w:pPr>
          </w:p>
        </w:tc>
      </w:tr>
    </w:tbl>
    <w:p w:rsidR="00061038" w:rsidP="00CF0111">
      <w:pPr>
        <w:pStyle w:val="BodyText"/>
      </w:pPr>
    </w:p>
    <w:p w:rsidR="00061038" w:rsidP="00CF0111">
      <w:pPr>
        <w:pStyle w:val="BodyText"/>
      </w:pPr>
    </w:p>
    <w:p w:rsidR="00000000" w:rsidRPr="00CF0111" w:rsidP="00CF0111">
      <w:pPr>
        <w:pStyle w:val="Heading1"/>
      </w:pPr>
      <w:bookmarkStart w:id="11" w:name="O_250804"/>
      <w:bookmarkEnd w:id="11"/>
      <w:r w:rsidRPr="00CF0111">
        <w:t>Range Statement</w:t>
      </w:r>
    </w:p>
    <w:p w:rsidR="00000000" w:rsidRPr="00CF0111" w:rsidP="00CF0111">
      <w:pPr>
        <w:pStyle w:val="BodyText"/>
      </w:pPr>
      <w:r w:rsidRPr="00CF0111">
        <w:rPr>
          <w:rStyle w:val="SpecialBold"/>
        </w:rPr>
        <w:t>RANGE STATEMENT</w:t>
      </w:r>
    </w:p>
    <w:p w:rsidR="00000000" w:rsidRPr="00CF0111" w:rsidP="00CF0111">
      <w:pPr>
        <w:pStyle w:val="BodyText"/>
      </w:pPr>
      <w:r w:rsidRPr="00CF0111">
        <w:t xml:space="preserve">The range statement relates to the unit of competency as a whole. It allows for different work environments and situations that may affect performance. </w:t>
      </w:r>
      <w:r w:rsidRPr="00CF0111">
        <w:rPr>
          <w:rStyle w:val="BoldandItalics"/>
        </w:rPr>
        <w:t>Bold italicised</w:t>
      </w:r>
      <w:r w:rsidRPr="00CF0111">
        <w:t xml:space="preserve"> wording in the performance criteria is detailed below. Add any essential operating condi</w:t>
      </w:r>
      <w:r w:rsidRPr="00CF011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524"/>
      </w:tblGrid>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Clients</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bankers</w:t>
            </w:r>
          </w:p>
          <w:p w:rsidR="00000000" w:rsidRPr="00CF0111" w:rsidP="00CF0111">
            <w:pPr>
              <w:pStyle w:val="ListBullet"/>
            </w:pPr>
            <w:r w:rsidRPr="00CF0111">
              <w:t>fund managers</w:t>
            </w:r>
          </w:p>
          <w:p w:rsidR="00000000" w:rsidRPr="00CF0111" w:rsidP="00CF0111">
            <w:pPr>
              <w:pStyle w:val="ListBullet"/>
            </w:pPr>
            <w:r w:rsidRPr="00CF0111">
              <w:t>institutions</w:t>
            </w:r>
          </w:p>
          <w:p w:rsidR="00000000" w:rsidRPr="00CF0111" w:rsidP="00CF0111">
            <w:pPr>
              <w:pStyle w:val="ListBullet"/>
            </w:pPr>
            <w:r w:rsidRPr="00CF0111">
              <w:t>internal and exter</w:t>
            </w:r>
            <w:r w:rsidRPr="00CF0111">
              <w:t>nal property groups</w:t>
            </w:r>
          </w:p>
          <w:p w:rsidR="00000000" w:rsidRPr="00CF0111" w:rsidP="00CF0111">
            <w:pPr>
              <w:pStyle w:val="ListBullet"/>
            </w:pPr>
            <w:r w:rsidRPr="00CF0111">
              <w:t>private investors</w:t>
            </w:r>
          </w:p>
          <w:p w:rsidR="00000000" w:rsidP="00CF0111">
            <w:pPr>
              <w:pStyle w:val="ListBullet"/>
              <w:rPr>
                <w:lang w:val="en-NZ"/>
              </w:rPr>
            </w:pPr>
            <w:r w:rsidRPr="00CF0111">
              <w:t>property owners.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Organisational requirements</w:t>
            </w:r>
            <w:r w:rsidRPr="00CF0111">
              <w:t xml:space="preserve"> may be outlined and reflected in:</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access and equity principles and practice guidelines</w:t>
            </w:r>
          </w:p>
          <w:p w:rsidR="00000000" w:rsidRPr="00CF0111" w:rsidP="00CF0111">
            <w:pPr>
              <w:pStyle w:val="ListBullet"/>
            </w:pPr>
            <w:r w:rsidRPr="00CF0111">
              <w:t>business and performance plans</w:t>
            </w:r>
          </w:p>
          <w:p w:rsidR="00000000" w:rsidRPr="00CF0111" w:rsidP="00CF0111">
            <w:pPr>
              <w:pStyle w:val="ListBullet"/>
            </w:pPr>
            <w:r w:rsidRPr="00CF0111">
              <w:t>complaint and dispute resolution procedures</w:t>
            </w:r>
          </w:p>
          <w:p w:rsidR="00000000" w:rsidRPr="00CF0111" w:rsidP="00CF0111">
            <w:pPr>
              <w:pStyle w:val="ListBullet"/>
            </w:pPr>
            <w:r w:rsidRPr="00CF0111">
              <w:t>goals, objectives, plans, systems and processes</w:t>
            </w:r>
          </w:p>
          <w:p w:rsidR="00000000" w:rsidRPr="00CF0111" w:rsidP="00CF0111">
            <w:pPr>
              <w:pStyle w:val="ListBullet"/>
            </w:pPr>
            <w:r w:rsidRPr="00CF0111">
              <w:t>legal and ethical requirements and codes of practice</w:t>
            </w:r>
          </w:p>
          <w:p w:rsidR="00000000" w:rsidRPr="00CF0111" w:rsidP="00CF0111">
            <w:pPr>
              <w:pStyle w:val="ListBullet"/>
            </w:pPr>
            <w:r w:rsidRPr="00CF0111">
              <w:t>mission statements and strategic plans</w:t>
            </w:r>
          </w:p>
          <w:p w:rsidR="00000000" w:rsidRPr="00CF0111" w:rsidP="00CF0111">
            <w:pPr>
              <w:pStyle w:val="ListBullet"/>
            </w:pPr>
            <w:r w:rsidRPr="00CF0111">
              <w:t>OHS policies, procedures and programs</w:t>
            </w:r>
          </w:p>
          <w:p w:rsidR="00000000" w:rsidRPr="00CF0111" w:rsidP="00CF0111">
            <w:pPr>
              <w:pStyle w:val="ListBullet"/>
            </w:pPr>
            <w:r w:rsidRPr="00CF0111">
              <w:t>policies and procedures in relation to client service</w:t>
            </w:r>
          </w:p>
          <w:p w:rsidR="00000000" w:rsidRPr="00CF0111" w:rsidP="00CF0111">
            <w:pPr>
              <w:pStyle w:val="ListBullet"/>
            </w:pPr>
            <w:r w:rsidRPr="00CF0111">
              <w:t>quality and continuous i</w:t>
            </w:r>
            <w:r w:rsidRPr="00CF0111">
              <w:t>mprovement processes and standards</w:t>
            </w:r>
          </w:p>
          <w:p w:rsidR="00000000" w:rsidP="00CF0111">
            <w:pPr>
              <w:pStyle w:val="ListBullet"/>
              <w:rPr>
                <w:lang w:val="en-NZ"/>
              </w:rPr>
            </w:pPr>
            <w:r w:rsidRPr="00CF0111">
              <w:t>quality assurance and procedure manuals.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Factors that may impact on disposal</w:t>
            </w:r>
            <w:r w:rsidRPr="00CF0111">
              <w:t xml:space="preserve"> </w:t>
            </w:r>
            <w:r w:rsidRPr="00CF0111">
              <w:rPr>
                <w:rStyle w:val="BoldandItalics"/>
              </w:rPr>
              <w:t>of property</w:t>
            </w:r>
            <w:r w:rsidRPr="00CF0111">
              <w:t xml:space="preserve"> may relate to:</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environmental aspects</w:t>
            </w:r>
          </w:p>
          <w:p w:rsidR="00000000" w:rsidRPr="00CF0111" w:rsidP="00CF0111">
            <w:pPr>
              <w:pStyle w:val="ListBullet"/>
            </w:pPr>
            <w:r w:rsidRPr="00CF0111">
              <w:t>financial and building constraints</w:t>
            </w:r>
          </w:p>
          <w:p w:rsidR="00000000" w:rsidRPr="00CF0111" w:rsidP="00CF0111">
            <w:pPr>
              <w:pStyle w:val="ListBullet"/>
            </w:pPr>
            <w:r w:rsidRPr="00CF0111">
              <w:t>intrinsic value, such as heritage or cultural value</w:t>
            </w:r>
          </w:p>
          <w:p w:rsidR="00000000" w:rsidRPr="00CF0111" w:rsidP="00CF0111">
            <w:pPr>
              <w:pStyle w:val="ListBullet"/>
            </w:pPr>
            <w:r w:rsidRPr="00CF0111">
              <w:t>location</w:t>
            </w:r>
          </w:p>
          <w:p w:rsidR="00000000" w:rsidRPr="00CF0111" w:rsidP="00CF0111">
            <w:pPr>
              <w:pStyle w:val="ListBullet"/>
            </w:pPr>
            <w:r w:rsidRPr="00CF0111">
              <w:t>market conditions</w:t>
            </w:r>
          </w:p>
          <w:p w:rsidR="00000000" w:rsidRPr="00CF0111" w:rsidP="00CF0111">
            <w:pPr>
              <w:pStyle w:val="ListBullet"/>
            </w:pPr>
            <w:r w:rsidRPr="00CF0111">
              <w:t>nature of asset</w:t>
            </w:r>
          </w:p>
          <w:p w:rsidR="00000000" w:rsidP="00CF0111">
            <w:pPr>
              <w:pStyle w:val="ListBullet"/>
              <w:rPr>
                <w:lang w:val="en-NZ"/>
              </w:rPr>
            </w:pPr>
            <w:r w:rsidRPr="00CF0111">
              <w:t>potential market value.</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Disposal method</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closed tender</w:t>
            </w:r>
          </w:p>
          <w:p w:rsidR="00000000" w:rsidRPr="00CF0111" w:rsidP="00CF0111">
            <w:pPr>
              <w:pStyle w:val="ListBullet"/>
            </w:pPr>
            <w:r w:rsidRPr="00CF0111">
              <w:t>direct disposal</w:t>
            </w:r>
          </w:p>
          <w:p w:rsidR="00000000" w:rsidRPr="00CF0111" w:rsidP="00CF0111">
            <w:pPr>
              <w:pStyle w:val="ListBullet"/>
            </w:pPr>
            <w:r w:rsidRPr="00CF0111">
              <w:t>expression of interest</w:t>
            </w:r>
          </w:p>
          <w:p w:rsidR="00000000" w:rsidRPr="00CF0111" w:rsidP="00CF0111">
            <w:pPr>
              <w:pStyle w:val="ListBullet"/>
            </w:pPr>
            <w:r w:rsidRPr="00CF0111">
              <w:t>private treaty</w:t>
            </w:r>
          </w:p>
          <w:p w:rsidR="00000000" w:rsidRPr="00CF0111" w:rsidP="00CF0111">
            <w:pPr>
              <w:pStyle w:val="ListBullet"/>
            </w:pPr>
            <w:r w:rsidRPr="00CF0111">
              <w:t>public auction</w:t>
            </w:r>
          </w:p>
          <w:p w:rsidR="00000000" w:rsidRPr="00CF0111" w:rsidP="00CF0111">
            <w:pPr>
              <w:pStyle w:val="ListBullet"/>
            </w:pPr>
            <w:r w:rsidRPr="00CF0111">
              <w:t>public tender</w:t>
            </w:r>
          </w:p>
          <w:p w:rsidR="00000000" w:rsidP="00CF0111">
            <w:pPr>
              <w:pStyle w:val="ListBullet"/>
              <w:rPr>
                <w:lang w:val="en-NZ"/>
              </w:rPr>
            </w:pPr>
            <w:r w:rsidRPr="00CF0111">
              <w:t>sale and leaseback.</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Asset types</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land</w:t>
            </w:r>
          </w:p>
          <w:p w:rsidR="00000000" w:rsidRPr="00CF0111" w:rsidP="00CF0111">
            <w:pPr>
              <w:pStyle w:val="ListBullet"/>
            </w:pPr>
            <w:r w:rsidRPr="00CF0111">
              <w:t>land and improvements</w:t>
            </w:r>
          </w:p>
          <w:p w:rsidR="00000000" w:rsidRPr="00CF0111" w:rsidP="00CF0111">
            <w:pPr>
              <w:pStyle w:val="ListBullet"/>
            </w:pPr>
            <w:r w:rsidRPr="00CF0111">
              <w:t>site with planning or development approvals</w:t>
            </w:r>
          </w:p>
          <w:p w:rsidR="00000000" w:rsidP="00CF0111">
            <w:pPr>
              <w:pStyle w:val="ListBullet"/>
              <w:rPr>
                <w:lang w:val="en-NZ"/>
              </w:rPr>
            </w:pPr>
            <w:r w:rsidRPr="00CF0111">
              <w:t>site without planning or development approvals.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Business equipment and technology</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 xml:space="preserve">computers </w:t>
            </w:r>
          </w:p>
          <w:p w:rsidR="00000000" w:rsidRPr="00CF0111" w:rsidP="00CF0111">
            <w:pPr>
              <w:pStyle w:val="ListBullet"/>
            </w:pPr>
            <w:r w:rsidRPr="00CF0111">
              <w:t>data storage devices</w:t>
            </w:r>
          </w:p>
          <w:p w:rsidR="00000000" w:rsidRPr="00CF0111" w:rsidP="00CF0111">
            <w:pPr>
              <w:pStyle w:val="ListBullet"/>
            </w:pPr>
            <w:r w:rsidRPr="00CF0111">
              <w:t>email</w:t>
            </w:r>
          </w:p>
          <w:p w:rsidR="00000000" w:rsidRPr="00CF0111" w:rsidP="00CF0111">
            <w:pPr>
              <w:pStyle w:val="ListBullet"/>
            </w:pPr>
            <w:r w:rsidRPr="00CF0111">
              <w:t>facsimile machines</w:t>
            </w:r>
          </w:p>
          <w:p w:rsidR="00000000" w:rsidRPr="00CF0111" w:rsidP="00CF0111">
            <w:pPr>
              <w:pStyle w:val="ListBullet"/>
            </w:pPr>
            <w:r w:rsidRPr="00CF0111">
              <w:t>internet, extranet and intranet</w:t>
            </w:r>
          </w:p>
          <w:p w:rsidR="00000000" w:rsidRPr="00CF0111" w:rsidP="00CF0111">
            <w:pPr>
              <w:pStyle w:val="ListBullet"/>
            </w:pPr>
            <w:r w:rsidRPr="00CF0111">
              <w:t>photocopiers</w:t>
            </w:r>
          </w:p>
          <w:p w:rsidR="00000000" w:rsidRPr="00CF0111" w:rsidP="00CF0111">
            <w:pPr>
              <w:pStyle w:val="ListBullet"/>
            </w:pPr>
            <w:r w:rsidRPr="00CF0111">
              <w:t>printers</w:t>
            </w:r>
          </w:p>
          <w:p w:rsidR="00000000" w:rsidRPr="00CF0111" w:rsidP="00CF0111">
            <w:pPr>
              <w:pStyle w:val="ListBullet"/>
            </w:pPr>
            <w:r w:rsidRPr="00CF0111">
              <w:t>scanners</w:t>
            </w:r>
          </w:p>
          <w:p w:rsidR="00000000" w:rsidP="00CF0111">
            <w:pPr>
              <w:pStyle w:val="ListBullet"/>
              <w:rPr>
                <w:lang w:val="en-NZ"/>
              </w:rPr>
            </w:pPr>
            <w:r w:rsidRPr="00CF0111">
              <w:t>software applications, such as databases and word applications.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Relevant information</w:t>
            </w:r>
            <w:r w:rsidRPr="00CF0111">
              <w:t xml:space="preserve"> to disposal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bank reports</w:t>
            </w:r>
          </w:p>
          <w:p w:rsidR="00000000" w:rsidRPr="00CF0111" w:rsidP="00CF0111">
            <w:pPr>
              <w:pStyle w:val="ListBullet"/>
            </w:pPr>
            <w:r w:rsidRPr="00CF0111">
              <w:t>general knowledge of industry</w:t>
            </w:r>
          </w:p>
          <w:p w:rsidR="00000000" w:rsidRPr="00CF0111" w:rsidP="00CF0111">
            <w:pPr>
              <w:pStyle w:val="ListBullet"/>
            </w:pPr>
            <w:r w:rsidRPr="00CF0111">
              <w:t>government statistics</w:t>
            </w:r>
          </w:p>
          <w:p w:rsidR="00000000" w:rsidRPr="00CF0111" w:rsidP="00CF0111">
            <w:pPr>
              <w:pStyle w:val="ListBullet"/>
            </w:pPr>
            <w:r w:rsidRPr="00CF0111">
              <w:t>industry reports and indices</w:t>
            </w:r>
          </w:p>
          <w:p w:rsidR="00000000" w:rsidRPr="00CF0111" w:rsidP="00CF0111">
            <w:pPr>
              <w:pStyle w:val="ListBullet"/>
            </w:pPr>
            <w:r w:rsidRPr="00CF0111">
              <w:t>market intelligence</w:t>
            </w:r>
            <w:r w:rsidRPr="00CF0111">
              <w:t xml:space="preserve"> from industry operators</w:t>
            </w:r>
          </w:p>
          <w:p w:rsidR="00000000" w:rsidRPr="00CF0111" w:rsidP="00CF0111">
            <w:pPr>
              <w:pStyle w:val="ListBullet"/>
            </w:pPr>
            <w:r w:rsidRPr="00CF0111">
              <w:t>media reports</w:t>
            </w:r>
          </w:p>
          <w:p w:rsidR="00000000" w:rsidP="00CF0111">
            <w:pPr>
              <w:pStyle w:val="ListBullet"/>
              <w:rPr>
                <w:lang w:val="en-NZ"/>
              </w:rPr>
            </w:pPr>
            <w:r w:rsidRPr="00CF0111">
              <w:t>published analytical reports.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Specialist advice</w:t>
            </w:r>
            <w:r w:rsidRPr="00CF0111">
              <w:t xml:space="preserve"> may be sought from:</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architects</w:t>
            </w:r>
          </w:p>
          <w:p w:rsidR="00000000" w:rsidRPr="00CF0111" w:rsidP="00CF0111">
            <w:pPr>
              <w:pStyle w:val="ListBullet"/>
            </w:pPr>
            <w:r w:rsidRPr="00CF0111">
              <w:t>bankers and financiers</w:t>
            </w:r>
          </w:p>
          <w:p w:rsidR="00000000" w:rsidRPr="00CF0111" w:rsidP="00CF0111">
            <w:pPr>
              <w:pStyle w:val="ListBullet"/>
            </w:pPr>
            <w:r w:rsidRPr="00CF0111">
              <w:t>land economists</w:t>
            </w:r>
          </w:p>
          <w:p w:rsidR="00000000" w:rsidRPr="00CF0111" w:rsidP="00CF0111">
            <w:pPr>
              <w:pStyle w:val="ListBullet"/>
            </w:pPr>
            <w:r w:rsidRPr="00CF0111">
              <w:t>members of industry associations</w:t>
            </w:r>
          </w:p>
          <w:p w:rsidR="00000000" w:rsidRPr="00CF0111" w:rsidP="00CF0111">
            <w:pPr>
              <w:pStyle w:val="ListBullet"/>
            </w:pPr>
            <w:r w:rsidRPr="00CF0111">
              <w:t>other developers</w:t>
            </w:r>
          </w:p>
          <w:p w:rsidR="00000000" w:rsidP="00CF0111">
            <w:pPr>
              <w:pStyle w:val="ListBullet"/>
              <w:rPr>
                <w:lang w:val="en-NZ"/>
              </w:rPr>
            </w:pPr>
            <w:r w:rsidRPr="00CF0111">
              <w:t>planners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real estate agents</w:t>
            </w:r>
          </w:p>
          <w:p w:rsidR="00000000" w:rsidRPr="00CF0111" w:rsidP="00CF0111">
            <w:pPr>
              <w:pStyle w:val="ListBullet"/>
            </w:pPr>
            <w:r w:rsidRPr="00CF0111">
              <w:t>solicitors</w:t>
            </w:r>
          </w:p>
          <w:p w:rsidR="00000000" w:rsidRPr="00CF0111" w:rsidP="00CF0111">
            <w:pPr>
              <w:pStyle w:val="ListBullet"/>
            </w:pPr>
            <w:r w:rsidRPr="00CF0111">
              <w:t>taxation and accounting practitioners</w:t>
            </w:r>
          </w:p>
          <w:p w:rsidR="00000000" w:rsidP="00CF0111">
            <w:pPr>
              <w:pStyle w:val="ListBullet"/>
              <w:rPr>
                <w:lang w:val="en-NZ"/>
              </w:rPr>
            </w:pPr>
            <w:r w:rsidRPr="00CF0111">
              <w:t>valuers.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Price</w:t>
            </w:r>
            <w:r w:rsidRPr="00CF0111">
              <w:t xml:space="preserve"> may be determined by factors such as:</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current market price tolerances</w:t>
            </w:r>
          </w:p>
          <w:p w:rsidR="00000000" w:rsidRPr="00CF0111" w:rsidP="00CF0111">
            <w:pPr>
              <w:pStyle w:val="ListBullet"/>
            </w:pPr>
            <w:r w:rsidRPr="00CF0111">
              <w:t>method of sale</w:t>
            </w:r>
          </w:p>
          <w:p w:rsidR="00000000" w:rsidRPr="00CF0111" w:rsidP="00CF0111">
            <w:pPr>
              <w:pStyle w:val="ListBullet"/>
            </w:pPr>
            <w:r w:rsidRPr="00CF0111">
              <w:t>tax implications</w:t>
            </w:r>
          </w:p>
          <w:p w:rsidR="00000000" w:rsidRPr="00CF0111" w:rsidP="00CF0111">
            <w:pPr>
              <w:pStyle w:val="ListBullet"/>
            </w:pPr>
            <w:r w:rsidRPr="00CF0111">
              <w:t>terms of disposal</w:t>
            </w:r>
          </w:p>
          <w:p w:rsidR="00000000" w:rsidP="00CF0111">
            <w:pPr>
              <w:pStyle w:val="ListBullet"/>
              <w:rPr>
                <w:lang w:val="en-NZ"/>
              </w:rPr>
            </w:pPr>
            <w:r w:rsidRPr="00CF0111">
              <w:t>timeframes and conditions.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Legislative requirements</w:t>
            </w:r>
            <w:r w:rsidRPr="00CF0111">
              <w:t xml:space="preserve"> may be outlined and reflected in:</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 xml:space="preserve">Australian standards, and quality assurance and certification requirements </w:t>
            </w:r>
          </w:p>
          <w:p w:rsidR="00000000" w:rsidRPr="00CF0111" w:rsidP="00CF0111">
            <w:pPr>
              <w:pStyle w:val="ListBullet"/>
            </w:pPr>
            <w:r w:rsidRPr="00CF0111">
              <w:t>award and enterprise agreements</w:t>
            </w:r>
          </w:p>
          <w:p w:rsidR="00000000" w:rsidRPr="00CF0111" w:rsidP="00CF0111">
            <w:pPr>
              <w:pStyle w:val="ListBullet"/>
            </w:pPr>
            <w:r w:rsidRPr="00CF0111">
              <w:t>codes of practice covering the market sector and industry, financial transactions, taxation, environment, constr</w:t>
            </w:r>
            <w:r w:rsidRPr="00CF0111">
              <w:t>uction, land use, native title, zoning, utilities use (water, gas and electricity), and contract or common law</w:t>
            </w:r>
          </w:p>
          <w:p w:rsidR="00000000" w:rsidRPr="00CF0111" w:rsidP="00CF0111">
            <w:pPr>
              <w:pStyle w:val="ListBullet"/>
            </w:pPr>
            <w:r w:rsidRPr="00CF0111">
              <w:t>home building requirements</w:t>
            </w:r>
          </w:p>
          <w:p w:rsidR="00000000" w:rsidRPr="00CF0111" w:rsidP="00CF0111">
            <w:pPr>
              <w:pStyle w:val="ListBullet"/>
            </w:pPr>
            <w:r w:rsidRPr="00CF0111">
              <w:t>privacy requirements</w:t>
            </w:r>
          </w:p>
          <w:p w:rsidR="00000000" w:rsidRPr="00CF0111" w:rsidP="00CF0111">
            <w:pPr>
              <w:pStyle w:val="ListBullet"/>
            </w:pPr>
            <w:r w:rsidRPr="00CF0111">
              <w:t>relevant federal, and state or territory legislation that affects organisational operation, inclu</w:t>
            </w:r>
            <w:r w:rsidRPr="00CF0111">
              <w:t>ding:</w:t>
            </w:r>
          </w:p>
          <w:p w:rsidR="00000000" w:rsidRPr="00CF0111" w:rsidP="00CF0111">
            <w:pPr>
              <w:pStyle w:val="ListBullet2"/>
            </w:pPr>
            <w:r w:rsidRPr="00CF0111">
              <w:t>anti-discrimination and diversity</w:t>
            </w:r>
          </w:p>
          <w:p w:rsidR="00000000" w:rsidRPr="00CF0111" w:rsidP="00CF0111">
            <w:pPr>
              <w:pStyle w:val="ListBullet2"/>
            </w:pPr>
            <w:r w:rsidRPr="00CF0111">
              <w:t>environmental issues</w:t>
            </w:r>
          </w:p>
          <w:p w:rsidR="00000000" w:rsidRPr="00CF0111" w:rsidP="00CF0111">
            <w:pPr>
              <w:pStyle w:val="ListBullet2"/>
            </w:pPr>
            <w:r w:rsidRPr="00CF0111">
              <w:t>EEO</w:t>
            </w:r>
          </w:p>
          <w:p w:rsidR="00000000" w:rsidRPr="00CF0111" w:rsidP="00CF0111">
            <w:pPr>
              <w:pStyle w:val="ListBullet2"/>
            </w:pPr>
            <w:r w:rsidRPr="00CF0111">
              <w:t>industrial relations</w:t>
            </w:r>
          </w:p>
          <w:p w:rsidR="00000000" w:rsidRPr="00CF0111" w:rsidP="00CF0111">
            <w:pPr>
              <w:pStyle w:val="ListBullet2"/>
            </w:pPr>
            <w:r w:rsidRPr="00CF0111">
              <w:t>OHS</w:t>
            </w:r>
          </w:p>
          <w:p w:rsidR="00000000" w:rsidRPr="00CF0111" w:rsidP="00CF0111">
            <w:pPr>
              <w:pStyle w:val="ListBullet"/>
            </w:pPr>
            <w:r w:rsidRPr="00CF0111">
              <w:t>strata, community and company titles</w:t>
            </w:r>
          </w:p>
          <w:p w:rsidR="00000000" w:rsidRPr="00CF0111" w:rsidP="00CF0111">
            <w:pPr>
              <w:pStyle w:val="ListBullet"/>
            </w:pPr>
            <w:r w:rsidRPr="00CF0111">
              <w:t>tenancy agreements</w:t>
            </w:r>
          </w:p>
          <w:p w:rsidR="00000000" w:rsidP="00CF0111">
            <w:pPr>
              <w:pStyle w:val="ListBullet"/>
              <w:rPr>
                <w:lang w:val="en-NZ"/>
              </w:rPr>
            </w:pPr>
            <w:r w:rsidRPr="00CF0111">
              <w:t>trade practices laws and guidelines.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Interpersonal techniques</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active listening</w:t>
            </w:r>
          </w:p>
          <w:p w:rsidR="00000000" w:rsidRPr="00CF0111" w:rsidP="00CF0111">
            <w:pPr>
              <w:pStyle w:val="ListBullet"/>
            </w:pPr>
            <w:r w:rsidRPr="00CF0111">
              <w:t>clear presentation of options</w:t>
            </w:r>
          </w:p>
          <w:p w:rsidR="00000000" w:rsidRPr="00CF0111" w:rsidP="00CF0111">
            <w:pPr>
              <w:pStyle w:val="ListBullet"/>
            </w:pPr>
            <w:r w:rsidRPr="00CF0111">
              <w:t>consultation methods</w:t>
            </w:r>
          </w:p>
          <w:p w:rsidR="00000000" w:rsidP="00CF0111">
            <w:pPr>
              <w:pStyle w:val="ListBullet"/>
              <w:rPr>
                <w:lang w:val="en-NZ"/>
              </w:rPr>
            </w:pPr>
            <w:r w:rsidRPr="00CF0111">
              <w:t>culturally inclusive and sensitive engagement techniques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questioning to clarify and confirm understanding</w:t>
            </w:r>
          </w:p>
          <w:p w:rsidR="00000000" w:rsidRPr="00CF0111" w:rsidP="00CF0111">
            <w:pPr>
              <w:pStyle w:val="ListBullet"/>
            </w:pPr>
            <w:r w:rsidRPr="00CF0111">
              <w:t>seeking feedback</w:t>
            </w:r>
          </w:p>
          <w:p w:rsidR="00000000" w:rsidRPr="00CF0111" w:rsidP="00CF0111">
            <w:pPr>
              <w:pStyle w:val="ListBullet"/>
            </w:pPr>
            <w:r w:rsidRPr="00CF0111">
              <w:t>two-way interaction</w:t>
            </w:r>
          </w:p>
          <w:p w:rsidR="00000000" w:rsidP="00CF0111">
            <w:pPr>
              <w:pStyle w:val="ListBullet"/>
              <w:rPr>
                <w:lang w:val="en-NZ"/>
              </w:rPr>
            </w:pPr>
            <w:r w:rsidRPr="00CF0111">
              <w:t>verbal or non-verbal language.</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Relevant people</w:t>
            </w:r>
            <w:r w:rsidRPr="00CF0111">
              <w:t xml:space="preserve"> may include</w:t>
            </w:r>
            <w:r w:rsidRPr="00CF0111">
              <w:t>:</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internal and external legal advisers</w:t>
            </w:r>
          </w:p>
          <w:p w:rsidR="00000000" w:rsidRPr="00CF0111" w:rsidP="00CF0111">
            <w:pPr>
              <w:pStyle w:val="ListBullet"/>
            </w:pPr>
            <w:r w:rsidRPr="00CF0111">
              <w:t>managers</w:t>
            </w:r>
          </w:p>
          <w:p w:rsidR="00000000" w:rsidRPr="00CF0111" w:rsidP="00CF0111">
            <w:pPr>
              <w:pStyle w:val="ListBullet"/>
            </w:pPr>
            <w:r w:rsidRPr="00CF0111">
              <w:t>solicitors</w:t>
            </w:r>
          </w:p>
          <w:p w:rsidR="00000000" w:rsidP="00CF0111">
            <w:pPr>
              <w:pStyle w:val="ListBullet"/>
              <w:rPr>
                <w:lang w:val="en-NZ"/>
              </w:rPr>
            </w:pPr>
            <w:r w:rsidRPr="00CF0111">
              <w:t>taxation and accounting practitioners.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Appropriate documentation</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documents and pro formas for the client</w:t>
            </w:r>
          </w:p>
          <w:p w:rsidR="00000000" w:rsidRPr="00CF0111" w:rsidP="00CF0111">
            <w:pPr>
              <w:pStyle w:val="ListBullet"/>
            </w:pPr>
            <w:r w:rsidRPr="00CF0111">
              <w:t>forms and paperwork required by legislation and statutory regulation</w:t>
            </w:r>
          </w:p>
          <w:p w:rsidR="00000000" w:rsidP="00CF0111">
            <w:pPr>
              <w:pStyle w:val="ListBullet"/>
              <w:rPr>
                <w:lang w:val="en-NZ"/>
              </w:rPr>
            </w:pPr>
            <w:r w:rsidRPr="00CF0111">
              <w:t>internal documents required for the completion of the disposal process.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BoldandItalics"/>
              </w:rPr>
              <w:t>Feedback</w:t>
            </w:r>
            <w:r w:rsidRPr="00CF0111">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ListBullet"/>
            </w:pPr>
            <w:r w:rsidRPr="00CF0111">
              <w:t>clients and colleagues</w:t>
            </w:r>
          </w:p>
          <w:p w:rsidR="00000000" w:rsidRPr="00CF0111" w:rsidP="00CF0111">
            <w:pPr>
              <w:pStyle w:val="ListBullet"/>
            </w:pPr>
            <w:r w:rsidRPr="00CF0111">
              <w:t>documentation and reports</w:t>
            </w:r>
          </w:p>
          <w:p w:rsidR="00000000" w:rsidRPr="00CF0111" w:rsidP="00CF0111">
            <w:pPr>
              <w:pStyle w:val="ListBullet"/>
            </w:pPr>
            <w:r w:rsidRPr="00CF0111">
              <w:t>quality assurance data</w:t>
            </w:r>
          </w:p>
          <w:p w:rsidR="00000000" w:rsidP="00CF0111">
            <w:pPr>
              <w:pStyle w:val="ListBullet"/>
              <w:rPr>
                <w:lang w:val="en-NZ"/>
              </w:rPr>
            </w:pPr>
            <w:r w:rsidRPr="00CF0111">
              <w:t>questionnaires.</w:t>
            </w:r>
          </w:p>
        </w:tc>
      </w:tr>
      <w:tr w:rsidTr="0006103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4" w:type="dxa"/>
            <w:tcBorders>
              <w:top w:val="nil"/>
              <w:left w:val="nil"/>
              <w:bottom w:val="nil"/>
              <w:right w:val="nil"/>
            </w:tcBorders>
            <w:tcMar>
              <w:top w:w="0" w:type="dxa"/>
              <w:left w:w="62" w:type="dxa"/>
              <w:bottom w:w="0" w:type="dxa"/>
              <w:right w:w="62" w:type="dxa"/>
            </w:tcMar>
          </w:tcPr>
          <w:p w:rsidR="00000000" w:rsidRPr="00CF0111" w:rsidP="00CF0111">
            <w:pPr>
              <w:pStyle w:val="BodyText"/>
            </w:pPr>
          </w:p>
        </w:tc>
      </w:tr>
    </w:tbl>
    <w:p w:rsidR="00061038" w:rsidP="00CF0111">
      <w:pPr>
        <w:pStyle w:val="BodyText"/>
      </w:pPr>
    </w:p>
    <w:p w:rsidR="00061038" w:rsidP="00CF0111">
      <w:pPr>
        <w:pStyle w:val="BodyText"/>
      </w:pPr>
    </w:p>
    <w:p w:rsidR="00000000" w:rsidRPr="00CF0111" w:rsidP="00CF0111">
      <w:pPr>
        <w:pStyle w:val="Heading1"/>
      </w:pPr>
      <w:bookmarkStart w:id="12" w:name="O_201389"/>
      <w:bookmarkEnd w:id="12"/>
      <w:r w:rsidRPr="00CF0111">
        <w:t>Unit Sector(s)</w:t>
      </w:r>
    </w:p>
    <w:tbl>
      <w:tblPr>
        <w:tblW w:w="0" w:type="auto"/>
        <w:tblLayout w:type="fixed"/>
        <w:tblCellMar>
          <w:left w:w="62" w:type="dxa"/>
          <w:right w:w="62" w:type="dxa"/>
        </w:tblCellMar>
        <w:tblLook w:val="0000"/>
      </w:tblPr>
      <w:tblGrid>
        <w:gridCol w:w="2746"/>
        <w:gridCol w:w="5776"/>
      </w:tblGrid>
      <w:tr w:rsidTr="0006103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Property development, sales and management</w:t>
            </w:r>
          </w:p>
        </w:tc>
      </w:tr>
    </w:tbl>
    <w:p w:rsidR="00061038" w:rsidP="00CF0111">
      <w:pPr>
        <w:pStyle w:val="BodyText"/>
      </w:pPr>
    </w:p>
    <w:p w:rsidR="00061038" w:rsidP="00CF0111">
      <w:pPr>
        <w:pStyle w:val="BodyText"/>
      </w:pPr>
    </w:p>
    <w:p w:rsidR="00000000" w:rsidRPr="00CF0111" w:rsidP="00CF0111">
      <w:pPr>
        <w:pStyle w:val="Heading1"/>
      </w:pPr>
      <w:bookmarkStart w:id="13" w:name="O_201388"/>
      <w:bookmarkEnd w:id="13"/>
      <w:r w:rsidRPr="00CF0111">
        <w:t>Competency field</w:t>
      </w:r>
    </w:p>
    <w:tbl>
      <w:tblPr>
        <w:tblW w:w="0" w:type="auto"/>
        <w:tblLayout w:type="fixed"/>
        <w:tblCellMar>
          <w:left w:w="62" w:type="dxa"/>
          <w:right w:w="62" w:type="dxa"/>
        </w:tblCellMar>
        <w:tblLook w:val="0000"/>
      </w:tblPr>
      <w:tblGrid>
        <w:gridCol w:w="2746"/>
        <w:gridCol w:w="5776"/>
      </w:tblGrid>
      <w:tr w:rsidTr="0006103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F0111">
            <w:pPr>
              <w:pStyle w:val="BodyText"/>
              <w:rPr>
                <w:lang w:val="en-NZ"/>
              </w:rPr>
            </w:pPr>
            <w:r w:rsidRPr="00CF0111">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CF0111" w:rsidP="00CF0111">
            <w:pPr>
              <w:pStyle w:val="BodyText"/>
            </w:pPr>
            <w:r w:rsidRPr="00CF0111">
              <w:t>Property operations and development</w:t>
            </w:r>
          </w:p>
        </w:tc>
      </w:tr>
    </w:tbl>
    <w:p w:rsidR="00061038" w:rsidP="00CF0111">
      <w:pPr>
        <w:pStyle w:val="BodyText"/>
      </w:pPr>
    </w:p>
    <w:p w:rsidR="00061038" w:rsidP="00CF0111">
      <w:pPr>
        <w:pStyle w:val="BodyText"/>
      </w:pPr>
    </w:p>
    <w:p w:rsidR="00000000" w:rsidRPr="00CF0111" w:rsidP="00CF0111"/>
    <w:sectPr w:rsidSect="00CF0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038" w:rsidP="00061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38" w:rsidP="00CF0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1038" w:rsidP="00CF01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1038" w:rsidP="00CF01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038" w:rsidP="000610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38" w:rsidP="00CF0111">
    <w:pPr>
      <w:pStyle w:val="Header"/>
      <w:framePr w:wrap="around"/>
    </w:pPr>
    <w:r>
      <w:fldChar w:fldCharType="begin"/>
    </w:r>
    <w:r>
      <w:instrText xml:space="preserve"> TITLE   \* MERGEFORMAT </w:instrText>
    </w:r>
    <w:r>
      <w:fldChar w:fldCharType="separate"/>
    </w:r>
    <w:r>
      <w:t>CPPDSM5017A Dispose of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1038" w:rsidP="00CF01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8A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C6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AD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111"/>
    <w:pPr>
      <w:spacing w:before="360" w:after="60"/>
      <w:outlineLvl w:val="0"/>
    </w:pPr>
    <w:rPr>
      <w:sz w:val="32"/>
    </w:rPr>
  </w:style>
  <w:style w:type="paragraph" w:styleId="Heading2">
    <w:name w:val="heading 2"/>
    <w:basedOn w:val="HeadingBase"/>
    <w:next w:val="BodyText"/>
    <w:link w:val="Heading2Char"/>
    <w:qFormat/>
    <w:rsid w:val="00CF0111"/>
    <w:pPr>
      <w:keepLines/>
      <w:spacing w:before="240" w:after="120"/>
      <w:outlineLvl w:val="1"/>
    </w:pPr>
    <w:rPr>
      <w:sz w:val="28"/>
      <w:szCs w:val="40"/>
    </w:rPr>
  </w:style>
  <w:style w:type="paragraph" w:styleId="Heading3">
    <w:name w:val="heading 3"/>
    <w:basedOn w:val="HeadingBase"/>
    <w:next w:val="BodyText"/>
    <w:link w:val="Heading3Char"/>
    <w:qFormat/>
    <w:rsid w:val="00CF0111"/>
    <w:pPr>
      <w:spacing w:before="180" w:after="120"/>
      <w:outlineLvl w:val="2"/>
    </w:pPr>
    <w:rPr>
      <w:spacing w:val="-10"/>
      <w:kern w:val="32"/>
    </w:rPr>
  </w:style>
  <w:style w:type="paragraph" w:styleId="Heading4">
    <w:name w:val="heading 4"/>
    <w:basedOn w:val="HeadingBase"/>
    <w:next w:val="BodyText"/>
    <w:link w:val="Heading4Char"/>
    <w:qFormat/>
    <w:rsid w:val="00CF0111"/>
    <w:pPr>
      <w:spacing w:before="160" w:after="120"/>
      <w:outlineLvl w:val="3"/>
    </w:pPr>
    <w:rPr>
      <w:sz w:val="22"/>
    </w:rPr>
  </w:style>
  <w:style w:type="paragraph" w:styleId="Heading5">
    <w:name w:val="heading 5"/>
    <w:basedOn w:val="HeadingBase"/>
    <w:next w:val="Normal"/>
    <w:link w:val="Heading5Char"/>
    <w:qFormat/>
    <w:rsid w:val="00CF0111"/>
    <w:pPr>
      <w:spacing w:before="80"/>
      <w:outlineLvl w:val="4"/>
    </w:pPr>
    <w:rPr>
      <w:color w:val="918585"/>
      <w:sz w:val="20"/>
    </w:rPr>
  </w:style>
  <w:style w:type="paragraph" w:styleId="Heading6">
    <w:name w:val="heading 6"/>
    <w:basedOn w:val="HeadingBase"/>
    <w:next w:val="Normal"/>
    <w:link w:val="Heading6Char"/>
    <w:qFormat/>
    <w:rsid w:val="00CF0111"/>
    <w:pPr>
      <w:spacing w:before="60"/>
      <w:outlineLvl w:val="5"/>
    </w:pPr>
    <w:rPr>
      <w:color w:val="918585"/>
      <w:sz w:val="20"/>
    </w:rPr>
  </w:style>
  <w:style w:type="paragraph" w:styleId="Heading7">
    <w:name w:val="heading 7"/>
    <w:basedOn w:val="Normal"/>
    <w:next w:val="Normal"/>
    <w:link w:val="Heading7Char"/>
    <w:qFormat/>
    <w:rsid w:val="00CF0111"/>
    <w:pPr>
      <w:ind w:left="720"/>
      <w:outlineLvl w:val="6"/>
    </w:pPr>
    <w:rPr>
      <w:i/>
    </w:rPr>
  </w:style>
  <w:style w:type="paragraph" w:styleId="Heading8">
    <w:name w:val="heading 8"/>
    <w:basedOn w:val="Normal"/>
    <w:next w:val="Normal"/>
    <w:link w:val="Heading8Char"/>
    <w:qFormat/>
    <w:rsid w:val="00CF0111"/>
    <w:pPr>
      <w:ind w:left="720"/>
      <w:outlineLvl w:val="7"/>
    </w:pPr>
    <w:rPr>
      <w:i/>
    </w:rPr>
  </w:style>
  <w:style w:type="paragraph" w:styleId="Heading9">
    <w:name w:val="heading 9"/>
    <w:basedOn w:val="Normal"/>
    <w:next w:val="Normal"/>
    <w:link w:val="Heading9Char"/>
    <w:qFormat/>
    <w:rsid w:val="00CF0111"/>
    <w:pPr>
      <w:ind w:left="720"/>
      <w:outlineLvl w:val="8"/>
    </w:pPr>
    <w:rPr>
      <w:i/>
    </w:rPr>
  </w:style>
  <w:style w:type="character" w:default="1" w:styleId="DefaultParagraphFont">
    <w:name w:val="Default Paragraph Font"/>
    <w:uiPriority w:val="1"/>
    <w:unhideWhenUsed/>
    <w:rsid w:val="00CF0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111"/>
  </w:style>
  <w:style w:type="character" w:customStyle="1" w:styleId="Heading1Char">
    <w:name w:val="Heading 1 Char"/>
    <w:link w:val="Heading1"/>
    <w:rsid w:val="00CF0111"/>
    <w:rPr>
      <w:rFonts w:ascii="Times New Roman" w:eastAsia="Times New Roman" w:hAnsi="Times New Roman" w:cs="Times New Roman"/>
      <w:b/>
      <w:sz w:val="32"/>
      <w:szCs w:val="20"/>
      <w:lang w:eastAsia="en-US"/>
    </w:rPr>
  </w:style>
  <w:style w:type="paragraph" w:styleId="BodyText">
    <w:name w:val="Body Text"/>
    <w:basedOn w:val="Normal"/>
    <w:link w:val="BodyTextChar"/>
    <w:rsid w:val="00CF0111"/>
    <w:pPr>
      <w:spacing w:before="120" w:after="120"/>
      <w:contextualSpacing/>
    </w:pPr>
    <w:rPr>
      <w:rFonts w:ascii="Times New Roman" w:hAnsi="Times New Roman"/>
      <w:sz w:val="24"/>
      <w:szCs w:val="22"/>
    </w:rPr>
  </w:style>
  <w:style w:type="character" w:customStyle="1" w:styleId="BodyTextChar">
    <w:name w:val="Body Text Char"/>
    <w:link w:val="BodyText"/>
    <w:rsid w:val="00CF0111"/>
    <w:rPr>
      <w:rFonts w:ascii="Times New Roman" w:eastAsia="Times New Roman" w:hAnsi="Times New Roman" w:cs="Times New Roman"/>
      <w:sz w:val="24"/>
      <w:lang w:val="en-US" w:eastAsia="en-US"/>
    </w:rPr>
  </w:style>
  <w:style w:type="paragraph" w:styleId="Footer">
    <w:name w:val="footer"/>
    <w:basedOn w:val="Normal"/>
    <w:link w:val="FooterChar"/>
    <w:rsid w:val="00CF0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0111"/>
    <w:rPr>
      <w:rFonts w:ascii="Times New Roman" w:eastAsia="Times New Roman" w:hAnsi="Times New Roman" w:cs="Times New Roman"/>
      <w:sz w:val="16"/>
      <w:lang w:val="en-US" w:eastAsia="en-US"/>
    </w:rPr>
  </w:style>
  <w:style w:type="paragraph" w:styleId="List">
    <w:name w:val="List"/>
    <w:basedOn w:val="BodyText"/>
    <w:next w:val="BodyText"/>
    <w:rsid w:val="00CF0111"/>
    <w:pPr>
      <w:tabs>
        <w:tab w:val="left" w:pos="340"/>
      </w:tabs>
      <w:spacing w:before="60" w:after="60"/>
      <w:ind w:left="340" w:hanging="340"/>
    </w:pPr>
  </w:style>
  <w:style w:type="paragraph" w:styleId="ListBullet">
    <w:name w:val="List Bullet"/>
    <w:basedOn w:val="List"/>
    <w:rsid w:val="00CF0111"/>
    <w:pPr>
      <w:numPr>
        <w:numId w:val="13"/>
      </w:numPr>
      <w:tabs>
        <w:tab w:val="clear" w:pos="340"/>
      </w:tabs>
      <w:spacing w:before="40" w:after="40"/>
    </w:pPr>
  </w:style>
  <w:style w:type="character" w:customStyle="1" w:styleId="SpecialBold">
    <w:name w:val="Special Bold"/>
    <w:rsid w:val="00CF0111"/>
    <w:rPr>
      <w:b/>
      <w:spacing w:val="0"/>
    </w:rPr>
  </w:style>
  <w:style w:type="paragraph" w:styleId="ListBullet2">
    <w:name w:val="List Bullet 2"/>
    <w:basedOn w:val="List2"/>
    <w:rsid w:val="00CF0111"/>
    <w:pPr>
      <w:numPr>
        <w:numId w:val="14"/>
      </w:numPr>
      <w:tabs>
        <w:tab w:val="clear" w:pos="680"/>
      </w:tabs>
    </w:pPr>
  </w:style>
  <w:style w:type="paragraph" w:styleId="Header">
    <w:name w:val="header"/>
    <w:basedOn w:val="Normal"/>
    <w:link w:val="HeaderChar"/>
    <w:rsid w:val="00CF0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01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0111"/>
    <w:pPr>
      <w:spacing w:before="240" w:after="120"/>
      <w:outlineLvl w:val="0"/>
    </w:pPr>
    <w:rPr>
      <w:rFonts w:ascii="Times New Roman" w:hAnsi="Times New Roman"/>
      <w:b/>
      <w:sz w:val="28"/>
    </w:rPr>
  </w:style>
  <w:style w:type="paragraph" w:customStyle="1" w:styleId="AllowPageBreak">
    <w:name w:val="AllowPageBreak"/>
    <w:rsid w:val="00CF0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0111"/>
    <w:rPr>
      <w:b/>
      <w:i/>
      <w:u w:val="none"/>
    </w:rPr>
  </w:style>
  <w:style w:type="character" w:customStyle="1" w:styleId="Heading2Char">
    <w:name w:val="Heading 2 Char"/>
    <w:link w:val="Heading2"/>
    <w:rsid w:val="00CF0111"/>
    <w:rPr>
      <w:rFonts w:ascii="Times New Roman" w:eastAsia="Times New Roman" w:hAnsi="Times New Roman" w:cs="Times New Roman"/>
      <w:b/>
      <w:sz w:val="28"/>
      <w:szCs w:val="40"/>
      <w:lang w:eastAsia="en-US"/>
    </w:rPr>
  </w:style>
  <w:style w:type="character" w:customStyle="1" w:styleId="Heading3Char">
    <w:name w:val="Heading 3 Char"/>
    <w:link w:val="Heading3"/>
    <w:rsid w:val="00CF01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0111"/>
    <w:rPr>
      <w:rFonts w:ascii="Times New Roman" w:eastAsia="Times New Roman" w:hAnsi="Times New Roman" w:cs="Times New Roman"/>
      <w:b/>
      <w:szCs w:val="20"/>
      <w:lang w:eastAsia="en-US"/>
    </w:rPr>
  </w:style>
  <w:style w:type="character" w:customStyle="1" w:styleId="Heading5Char">
    <w:name w:val="Heading 5 Char"/>
    <w:link w:val="Heading5"/>
    <w:rsid w:val="00CF01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0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1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1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111"/>
    <w:rPr>
      <w:rFonts w:ascii="Courier New" w:eastAsia="Times New Roman" w:hAnsi="Courier New" w:cs="Times New Roman"/>
      <w:i/>
      <w:szCs w:val="20"/>
      <w:lang w:val="en-US" w:eastAsia="en-US"/>
    </w:rPr>
  </w:style>
  <w:style w:type="paragraph" w:customStyle="1" w:styleId="HeadingBase">
    <w:name w:val="Heading Base"/>
    <w:rsid w:val="00CF0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111"/>
    <w:pPr>
      <w:tabs>
        <w:tab w:val="right" w:leader="dot" w:pos="9072"/>
      </w:tabs>
      <w:ind w:left="567"/>
    </w:pPr>
    <w:rPr>
      <w:szCs w:val="22"/>
    </w:rPr>
  </w:style>
  <w:style w:type="paragraph" w:customStyle="1" w:styleId="TOCBase">
    <w:name w:val="TOC Base"/>
    <w:rsid w:val="00CF0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111"/>
    <w:pPr>
      <w:tabs>
        <w:tab w:val="right" w:leader="dot" w:pos="9072"/>
      </w:tabs>
      <w:spacing w:before="40" w:after="40"/>
      <w:ind w:left="284"/>
    </w:pPr>
    <w:rPr>
      <w:rFonts w:ascii="Times New Roman" w:hAnsi="Times New Roman"/>
    </w:rPr>
  </w:style>
  <w:style w:type="paragraph" w:styleId="TOC1">
    <w:name w:val="toc 1"/>
    <w:basedOn w:val="TOCBase"/>
    <w:next w:val="Normal"/>
    <w:rsid w:val="00CF01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111"/>
    <w:pPr>
      <w:spacing w:before="5040"/>
      <w:jc w:val="center"/>
    </w:pPr>
    <w:rPr>
      <w:sz w:val="48"/>
      <w:szCs w:val="72"/>
      <w:lang w:val="en-US"/>
    </w:rPr>
  </w:style>
  <w:style w:type="character" w:customStyle="1" w:styleId="TitleChar">
    <w:name w:val="Title Char"/>
    <w:link w:val="Title"/>
    <w:rsid w:val="00CF0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111"/>
    <w:pPr>
      <w:tabs>
        <w:tab w:val="left" w:pos="3600"/>
        <w:tab w:val="left" w:pos="3958"/>
      </w:tabs>
    </w:pPr>
  </w:style>
  <w:style w:type="paragraph" w:customStyle="1" w:styleId="Note">
    <w:name w:val="Note"/>
    <w:basedOn w:val="BodyText"/>
    <w:rsid w:val="00CF0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111"/>
    <w:pPr>
      <w:framePr w:wrap="auto" w:hAnchor="text" w:y="6049"/>
    </w:pPr>
    <w:rPr>
      <w:color w:val="000000"/>
      <w:sz w:val="40"/>
    </w:rPr>
  </w:style>
  <w:style w:type="paragraph" w:customStyle="1" w:styleId="TOCTitle">
    <w:name w:val="TOCTitle"/>
    <w:basedOn w:val="Heading1"/>
    <w:rsid w:val="00CF0111"/>
    <w:pPr>
      <w:spacing w:after="240"/>
      <w:jc w:val="center"/>
      <w:outlineLvl w:val="9"/>
    </w:pPr>
    <w:rPr>
      <w:caps/>
    </w:rPr>
  </w:style>
  <w:style w:type="paragraph" w:customStyle="1" w:styleId="Version">
    <w:name w:val="Version"/>
    <w:rsid w:val="00CF0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111"/>
    <w:pPr>
      <w:keepNext w:val="0"/>
      <w:tabs>
        <w:tab w:val="right" w:pos="4176"/>
      </w:tabs>
      <w:ind w:left="198" w:hanging="198"/>
    </w:pPr>
    <w:rPr>
      <w:rFonts w:ascii="Garamond" w:hAnsi="Garamond"/>
    </w:rPr>
  </w:style>
  <w:style w:type="paragraph" w:styleId="IndexHeading">
    <w:name w:val="index heading"/>
    <w:basedOn w:val="Normal"/>
    <w:next w:val="Index1"/>
    <w:semiHidden/>
    <w:rsid w:val="00CF0111"/>
    <w:pPr>
      <w:spacing w:before="120" w:after="120"/>
    </w:pPr>
    <w:rPr>
      <w:rFonts w:ascii="Arial" w:hAnsi="Arial"/>
      <w:b/>
      <w:color w:val="918585"/>
      <w:sz w:val="24"/>
    </w:rPr>
  </w:style>
  <w:style w:type="paragraph" w:customStyle="1" w:styleId="Chapter">
    <w:name w:val="Chapter"/>
    <w:basedOn w:val="Normal"/>
    <w:rsid w:val="00CF0111"/>
    <w:pPr>
      <w:spacing w:before="240"/>
    </w:pPr>
    <w:rPr>
      <w:rFonts w:ascii="Times New Roman" w:hAnsi="Times New Roman"/>
      <w:smallCaps/>
      <w:spacing w:val="80"/>
      <w:sz w:val="28"/>
    </w:rPr>
  </w:style>
  <w:style w:type="paragraph" w:customStyle="1" w:styleId="InChapter">
    <w:name w:val="InChapter"/>
    <w:basedOn w:val="Heading3"/>
    <w:rsid w:val="00CF0111"/>
    <w:pPr>
      <w:spacing w:after="240"/>
      <w:outlineLvl w:val="9"/>
    </w:pPr>
    <w:rPr>
      <w:noProof/>
    </w:rPr>
  </w:style>
  <w:style w:type="paragraph" w:styleId="Index2">
    <w:name w:val="index 2"/>
    <w:basedOn w:val="Normal"/>
    <w:next w:val="Normal"/>
    <w:semiHidden/>
    <w:rsid w:val="00CF0111"/>
    <w:pPr>
      <w:tabs>
        <w:tab w:val="right" w:pos="4176"/>
      </w:tabs>
      <w:ind w:left="568" w:hanging="284"/>
    </w:pPr>
    <w:rPr>
      <w:rFonts w:ascii="Garamond" w:hAnsi="Garamond"/>
    </w:rPr>
  </w:style>
  <w:style w:type="paragraph" w:customStyle="1" w:styleId="Byline">
    <w:name w:val="Byline"/>
    <w:rsid w:val="00CF0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111"/>
    <w:pPr>
      <w:tabs>
        <w:tab w:val="clear" w:pos="3600"/>
        <w:tab w:val="clear" w:pos="3958"/>
      </w:tabs>
      <w:jc w:val="right"/>
    </w:pPr>
  </w:style>
  <w:style w:type="character" w:styleId="Emphasis">
    <w:name w:val="Emphasis"/>
    <w:qFormat/>
    <w:rsid w:val="00CF0111"/>
    <w:rPr>
      <w:i/>
    </w:rPr>
  </w:style>
  <w:style w:type="paragraph" w:styleId="Caption">
    <w:name w:val="caption"/>
    <w:basedOn w:val="BodyText"/>
    <w:next w:val="Normal"/>
    <w:qFormat/>
    <w:rsid w:val="00CF0111"/>
    <w:pPr>
      <w:framePr w:w="2268" w:hSpace="181" w:vSpace="181" w:wrap="around" w:vAnchor="text" w:hAnchor="page" w:x="1135" w:y="285" w:anchorLock="1"/>
    </w:pPr>
    <w:rPr>
      <w:i/>
    </w:rPr>
  </w:style>
  <w:style w:type="paragraph" w:customStyle="1" w:styleId="MiniTOCTitle">
    <w:name w:val="MiniTOCTitle"/>
    <w:basedOn w:val="Heading4"/>
    <w:rsid w:val="00CF0111"/>
    <w:pPr>
      <w:spacing w:before="240"/>
      <w:outlineLvl w:val="9"/>
    </w:pPr>
    <w:rPr>
      <w:noProof/>
      <w:sz w:val="24"/>
    </w:rPr>
  </w:style>
  <w:style w:type="paragraph" w:customStyle="1" w:styleId="MiniTOCItem">
    <w:name w:val="MiniTOCItem"/>
    <w:basedOn w:val="ListBullet"/>
    <w:rsid w:val="00CF0111"/>
    <w:pPr>
      <w:numPr>
        <w:numId w:val="0"/>
      </w:numPr>
      <w:tabs>
        <w:tab w:val="right" w:leader="dot" w:pos="6521"/>
      </w:tabs>
      <w:spacing w:before="0" w:after="0"/>
    </w:pPr>
  </w:style>
  <w:style w:type="paragraph" w:customStyle="1" w:styleId="TOFTitle">
    <w:name w:val="TOFTitle"/>
    <w:basedOn w:val="TOCTitle"/>
    <w:rsid w:val="00CF0111"/>
  </w:style>
  <w:style w:type="paragraph" w:styleId="TableofFigures">
    <w:name w:val="table of figures"/>
    <w:basedOn w:val="Normal"/>
    <w:next w:val="Normal"/>
    <w:semiHidden/>
    <w:rsid w:val="00CF0111"/>
    <w:pPr>
      <w:tabs>
        <w:tab w:val="right" w:leader="dot" w:pos="9072"/>
      </w:tabs>
      <w:ind w:left="970" w:hanging="403"/>
    </w:pPr>
    <w:rPr>
      <w:rFonts w:ascii="Times New Roman" w:hAnsi="Times New Roman"/>
      <w:b/>
    </w:rPr>
  </w:style>
  <w:style w:type="paragraph" w:styleId="ListNumber">
    <w:name w:val="List Number"/>
    <w:basedOn w:val="List"/>
    <w:rsid w:val="00CF0111"/>
    <w:pPr>
      <w:numPr>
        <w:numId w:val="11"/>
      </w:numPr>
    </w:pPr>
  </w:style>
  <w:style w:type="character" w:customStyle="1" w:styleId="WingdingSymbols">
    <w:name w:val="Wingding Symbols"/>
    <w:rsid w:val="00CF0111"/>
    <w:rPr>
      <w:rFonts w:ascii="Wingdings" w:hAnsi="Wingdings"/>
    </w:rPr>
  </w:style>
  <w:style w:type="paragraph" w:customStyle="1" w:styleId="TableHeading">
    <w:name w:val="Table Heading"/>
    <w:basedOn w:val="HeadingBase"/>
    <w:rsid w:val="00CF0111"/>
    <w:pPr>
      <w:keepLines/>
      <w:pBdr>
        <w:bottom w:val="single" w:sz="6" w:space="1" w:color="918585"/>
      </w:pBdr>
      <w:spacing w:before="240"/>
    </w:pPr>
  </w:style>
  <w:style w:type="character" w:customStyle="1" w:styleId="HotSpot">
    <w:name w:val="HotSpot"/>
    <w:rsid w:val="00CF0111"/>
    <w:rPr>
      <w:color w:val="0033CC"/>
      <w:u w:val="none"/>
    </w:rPr>
  </w:style>
  <w:style w:type="paragraph" w:customStyle="1" w:styleId="BodyTextRight">
    <w:name w:val="Body Text Right"/>
    <w:basedOn w:val="BodyText"/>
    <w:rsid w:val="00CF0111"/>
    <w:pPr>
      <w:spacing w:before="0" w:after="0"/>
      <w:jc w:val="right"/>
    </w:pPr>
  </w:style>
  <w:style w:type="paragraph" w:styleId="Index3">
    <w:name w:val="index 3"/>
    <w:basedOn w:val="ListNumber2"/>
    <w:next w:val="Normal"/>
    <w:semiHidden/>
    <w:rsid w:val="00CF0111"/>
    <w:pPr>
      <w:numPr>
        <w:numId w:val="0"/>
      </w:numPr>
      <w:tabs>
        <w:tab w:val="right" w:leader="dot" w:pos="4176"/>
      </w:tabs>
    </w:pPr>
  </w:style>
  <w:style w:type="paragraph" w:styleId="ListNumber2">
    <w:name w:val="List Number 2"/>
    <w:basedOn w:val="List2"/>
    <w:rsid w:val="00CF0111"/>
    <w:pPr>
      <w:numPr>
        <w:numId w:val="10"/>
      </w:numPr>
      <w:tabs>
        <w:tab w:val="clear" w:pos="1060"/>
      </w:tabs>
    </w:pPr>
  </w:style>
  <w:style w:type="paragraph" w:customStyle="1" w:styleId="MarginNote">
    <w:name w:val="Margin Note"/>
    <w:basedOn w:val="BodyText"/>
    <w:rsid w:val="00CF0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01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111"/>
    <w:rPr>
      <w:sz w:val="32"/>
    </w:rPr>
  </w:style>
  <w:style w:type="paragraph" w:customStyle="1" w:styleId="HeadingProcedure">
    <w:name w:val="Heading Procedure"/>
    <w:basedOn w:val="HeadingBase"/>
    <w:next w:val="Normal"/>
    <w:rsid w:val="00CF0111"/>
    <w:pPr>
      <w:tabs>
        <w:tab w:val="left" w:pos="0"/>
      </w:tabs>
      <w:spacing w:before="120" w:after="60"/>
    </w:pPr>
    <w:rPr>
      <w:i/>
      <w:color w:val="918585"/>
      <w:sz w:val="22"/>
    </w:rPr>
  </w:style>
  <w:style w:type="paragraph" w:customStyle="1" w:styleId="TableBodyText">
    <w:name w:val="Table Body Text"/>
    <w:basedOn w:val="BodyText"/>
    <w:rsid w:val="00CF0111"/>
    <w:pPr>
      <w:spacing w:before="60" w:after="60"/>
    </w:pPr>
  </w:style>
  <w:style w:type="paragraph" w:styleId="ListContinue">
    <w:name w:val="List Continue"/>
    <w:basedOn w:val="List"/>
    <w:rsid w:val="00CF0111"/>
    <w:pPr>
      <w:ind w:firstLine="0"/>
    </w:pPr>
  </w:style>
  <w:style w:type="paragraph" w:customStyle="1" w:styleId="ListNote">
    <w:name w:val="List Note"/>
    <w:basedOn w:val="List"/>
    <w:rsid w:val="00CF0111"/>
    <w:pPr>
      <w:pBdr>
        <w:top w:val="single" w:sz="6" w:space="2" w:color="918585"/>
        <w:bottom w:val="single" w:sz="6" w:space="2" w:color="918585"/>
      </w:pBdr>
      <w:tabs>
        <w:tab w:val="left" w:pos="1021"/>
      </w:tabs>
      <w:ind w:firstLine="0"/>
    </w:pPr>
  </w:style>
  <w:style w:type="paragraph" w:customStyle="1" w:styleId="Warning">
    <w:name w:val="Warning"/>
    <w:basedOn w:val="BodyText"/>
    <w:rsid w:val="00CF0111"/>
    <w:pPr>
      <w:shd w:val="clear" w:color="auto" w:fill="D9D9D9"/>
      <w:tabs>
        <w:tab w:val="left" w:pos="992"/>
      </w:tabs>
      <w:ind w:left="119" w:right="119"/>
    </w:pPr>
    <w:rPr>
      <w:sz w:val="20"/>
    </w:rPr>
  </w:style>
  <w:style w:type="paragraph" w:customStyle="1" w:styleId="MarginIcons">
    <w:name w:val="Margin Icons"/>
    <w:basedOn w:val="BodyText"/>
    <w:rsid w:val="00CF01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0111"/>
    <w:rPr>
      <w:rFonts w:ascii="Courier New" w:hAnsi="Courier New"/>
    </w:rPr>
  </w:style>
  <w:style w:type="paragraph" w:customStyle="1" w:styleId="NoteBullet">
    <w:name w:val="Note Bullet"/>
    <w:basedOn w:val="Note"/>
    <w:rsid w:val="00CF0111"/>
    <w:pPr>
      <w:tabs>
        <w:tab w:val="clear" w:pos="680"/>
      </w:tabs>
      <w:spacing w:before="60" w:after="60"/>
    </w:pPr>
  </w:style>
  <w:style w:type="paragraph" w:customStyle="1" w:styleId="SubHeading2">
    <w:name w:val="SubHeading2"/>
    <w:basedOn w:val="HeadingBase"/>
    <w:rsid w:val="00CF0111"/>
    <w:pPr>
      <w:spacing w:before="240" w:after="60"/>
    </w:pPr>
    <w:rPr>
      <w:sz w:val="20"/>
    </w:rPr>
  </w:style>
  <w:style w:type="paragraph" w:customStyle="1" w:styleId="SubHeading1">
    <w:name w:val="SubHeading1"/>
    <w:basedOn w:val="HeadingBase"/>
    <w:rsid w:val="00CF0111"/>
    <w:pPr>
      <w:spacing w:before="240" w:after="60"/>
    </w:pPr>
    <w:rPr>
      <w:color w:val="918585"/>
      <w:sz w:val="22"/>
    </w:rPr>
  </w:style>
  <w:style w:type="paragraph" w:customStyle="1" w:styleId="SideHeading">
    <w:name w:val="Side Heading"/>
    <w:basedOn w:val="HeadingBase"/>
    <w:rsid w:val="00CF0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111"/>
    <w:pPr>
      <w:numPr>
        <w:numId w:val="12"/>
      </w:numPr>
    </w:pPr>
  </w:style>
  <w:style w:type="paragraph" w:styleId="PlainText">
    <w:name w:val="Plain Text"/>
    <w:basedOn w:val="Normal"/>
    <w:link w:val="PlainTextChar"/>
    <w:rsid w:val="00CF0111"/>
    <w:rPr>
      <w:sz w:val="20"/>
    </w:rPr>
  </w:style>
  <w:style w:type="character" w:customStyle="1" w:styleId="PlainTextChar">
    <w:name w:val="Plain Text Char"/>
    <w:basedOn w:val="DefaultParagraphFont"/>
    <w:link w:val="PlainText"/>
    <w:rsid w:val="00CF0111"/>
    <w:rPr>
      <w:rFonts w:ascii="Courier New" w:eastAsia="Times New Roman" w:hAnsi="Courier New" w:cs="Times New Roman"/>
      <w:sz w:val="20"/>
      <w:szCs w:val="20"/>
      <w:lang w:val="en-US" w:eastAsia="en-US"/>
    </w:rPr>
  </w:style>
  <w:style w:type="character" w:customStyle="1" w:styleId="MenuOption">
    <w:name w:val="Menu Option"/>
    <w:rsid w:val="00CF0111"/>
    <w:rPr>
      <w:b/>
      <w:smallCaps/>
    </w:rPr>
  </w:style>
  <w:style w:type="paragraph" w:customStyle="1" w:styleId="TableListNumber">
    <w:name w:val="Table List Number"/>
    <w:basedOn w:val="ListNumber"/>
    <w:rsid w:val="00CF0111"/>
    <w:pPr>
      <w:numPr>
        <w:numId w:val="0"/>
      </w:numPr>
    </w:pPr>
  </w:style>
  <w:style w:type="paragraph" w:styleId="TOC4">
    <w:name w:val="toc 4"/>
    <w:basedOn w:val="TOCBase"/>
    <w:next w:val="Normal"/>
    <w:semiHidden/>
    <w:rsid w:val="00CF0111"/>
    <w:pPr>
      <w:tabs>
        <w:tab w:val="right" w:leader="dot" w:pos="9071"/>
      </w:tabs>
      <w:ind w:left="1701"/>
    </w:pPr>
  </w:style>
  <w:style w:type="paragraph" w:customStyle="1" w:styleId="ListAlpha">
    <w:name w:val="List Alpha"/>
    <w:basedOn w:val="List"/>
    <w:rsid w:val="00CF0111"/>
    <w:pPr>
      <w:numPr>
        <w:numId w:val="9"/>
      </w:numPr>
    </w:pPr>
  </w:style>
  <w:style w:type="paragraph" w:customStyle="1" w:styleId="ListAlpha2">
    <w:name w:val="List Alpha 2"/>
    <w:basedOn w:val="List2"/>
    <w:rsid w:val="00CF0111"/>
    <w:pPr>
      <w:numPr>
        <w:numId w:val="8"/>
      </w:numPr>
    </w:pPr>
  </w:style>
  <w:style w:type="paragraph" w:styleId="List2">
    <w:name w:val="List 2"/>
    <w:basedOn w:val="BodyText"/>
    <w:rsid w:val="00CF0111"/>
    <w:pPr>
      <w:tabs>
        <w:tab w:val="left" w:pos="680"/>
      </w:tabs>
      <w:spacing w:before="60" w:after="60"/>
      <w:ind w:left="680" w:hanging="340"/>
    </w:pPr>
  </w:style>
  <w:style w:type="paragraph" w:styleId="List3">
    <w:name w:val="List 3"/>
    <w:basedOn w:val="BodyText"/>
    <w:rsid w:val="00CF0111"/>
    <w:pPr>
      <w:tabs>
        <w:tab w:val="left" w:pos="1021"/>
      </w:tabs>
      <w:spacing w:before="60" w:after="60"/>
      <w:ind w:left="1020" w:hanging="340"/>
    </w:pPr>
  </w:style>
  <w:style w:type="paragraph" w:styleId="List4">
    <w:name w:val="List 4"/>
    <w:basedOn w:val="BodyText"/>
    <w:rsid w:val="00CF0111"/>
    <w:pPr>
      <w:tabs>
        <w:tab w:val="left" w:pos="1361"/>
      </w:tabs>
      <w:spacing w:before="60" w:after="60"/>
      <w:ind w:left="1361" w:hanging="340"/>
    </w:pPr>
  </w:style>
  <w:style w:type="paragraph" w:styleId="List5">
    <w:name w:val="List 5"/>
    <w:basedOn w:val="BodyText"/>
    <w:rsid w:val="00CF0111"/>
    <w:pPr>
      <w:tabs>
        <w:tab w:val="left" w:pos="1701"/>
      </w:tabs>
      <w:spacing w:before="60" w:after="60"/>
      <w:ind w:left="1701" w:hanging="340"/>
    </w:pPr>
  </w:style>
  <w:style w:type="paragraph" w:styleId="ListBullet3">
    <w:name w:val="List Bullet 3"/>
    <w:basedOn w:val="List3"/>
    <w:rsid w:val="00CF0111"/>
    <w:pPr>
      <w:numPr>
        <w:numId w:val="15"/>
      </w:numPr>
      <w:tabs>
        <w:tab w:val="clear" w:pos="1021"/>
      </w:tabs>
      <w:ind w:left="1037" w:hanging="357"/>
    </w:pPr>
  </w:style>
  <w:style w:type="paragraph" w:styleId="ListBullet4">
    <w:name w:val="List Bullet 4"/>
    <w:basedOn w:val="List4"/>
    <w:rsid w:val="00CF0111"/>
    <w:pPr>
      <w:numPr>
        <w:numId w:val="3"/>
      </w:numPr>
    </w:pPr>
  </w:style>
  <w:style w:type="paragraph" w:styleId="ListBullet5">
    <w:name w:val="List Bullet 5"/>
    <w:basedOn w:val="List5"/>
    <w:rsid w:val="00CF0111"/>
    <w:pPr>
      <w:numPr>
        <w:numId w:val="4"/>
      </w:numPr>
    </w:pPr>
  </w:style>
  <w:style w:type="paragraph" w:styleId="ListContinue2">
    <w:name w:val="List Continue 2"/>
    <w:basedOn w:val="List2"/>
    <w:rsid w:val="00CF0111"/>
    <w:pPr>
      <w:ind w:firstLine="0"/>
    </w:pPr>
  </w:style>
  <w:style w:type="paragraph" w:styleId="ListContinue3">
    <w:name w:val="List Continue 3"/>
    <w:basedOn w:val="List3"/>
    <w:rsid w:val="00CF0111"/>
    <w:pPr>
      <w:ind w:left="1021" w:firstLine="0"/>
    </w:pPr>
  </w:style>
  <w:style w:type="paragraph" w:styleId="ListContinue4">
    <w:name w:val="List Continue 4"/>
    <w:basedOn w:val="List4"/>
    <w:rsid w:val="00CF0111"/>
    <w:pPr>
      <w:ind w:firstLine="0"/>
    </w:pPr>
  </w:style>
  <w:style w:type="paragraph" w:styleId="ListContinue5">
    <w:name w:val="List Continue 5"/>
    <w:basedOn w:val="List5"/>
    <w:rsid w:val="00CF0111"/>
    <w:pPr>
      <w:ind w:firstLine="0"/>
    </w:pPr>
  </w:style>
  <w:style w:type="paragraph" w:styleId="ListNumber3">
    <w:name w:val="List Number 3"/>
    <w:basedOn w:val="List3"/>
    <w:rsid w:val="00CF0111"/>
    <w:pPr>
      <w:numPr>
        <w:numId w:val="5"/>
      </w:numPr>
    </w:pPr>
  </w:style>
  <w:style w:type="paragraph" w:styleId="ListNumber4">
    <w:name w:val="List Number 4"/>
    <w:basedOn w:val="List4"/>
    <w:rsid w:val="00CF0111"/>
    <w:pPr>
      <w:numPr>
        <w:numId w:val="6"/>
      </w:numPr>
    </w:pPr>
  </w:style>
  <w:style w:type="paragraph" w:styleId="ListNumber5">
    <w:name w:val="List Number 5"/>
    <w:basedOn w:val="List5"/>
    <w:rsid w:val="00CF0111"/>
    <w:pPr>
      <w:numPr>
        <w:numId w:val="7"/>
      </w:numPr>
    </w:pPr>
  </w:style>
  <w:style w:type="paragraph" w:styleId="BlockText">
    <w:name w:val="Block Text"/>
    <w:basedOn w:val="Normal"/>
    <w:rsid w:val="00CF0111"/>
    <w:pPr>
      <w:spacing w:after="120"/>
      <w:ind w:left="1440" w:right="1440"/>
    </w:pPr>
  </w:style>
  <w:style w:type="character" w:customStyle="1" w:styleId="Subscript">
    <w:name w:val="Subscript"/>
    <w:rsid w:val="00CF0111"/>
    <w:rPr>
      <w:sz w:val="16"/>
      <w:vertAlign w:val="subscript"/>
    </w:rPr>
  </w:style>
  <w:style w:type="character" w:customStyle="1" w:styleId="Superscript">
    <w:name w:val="Superscript"/>
    <w:rsid w:val="00CF0111"/>
    <w:rPr>
      <w:sz w:val="16"/>
      <w:vertAlign w:val="superscript"/>
    </w:rPr>
  </w:style>
  <w:style w:type="character" w:customStyle="1" w:styleId="Symbols">
    <w:name w:val="Symbols"/>
    <w:rsid w:val="00CF0111"/>
    <w:rPr>
      <w:rFonts w:ascii="Symbol" w:hAnsi="Symbol"/>
    </w:rPr>
  </w:style>
  <w:style w:type="character" w:customStyle="1" w:styleId="MenuOptions">
    <w:name w:val="Menu Options"/>
    <w:rsid w:val="00CF0111"/>
    <w:rPr>
      <w:rFonts w:ascii="Arial Narrow" w:hAnsi="Arial Narrow"/>
      <w:smallCaps/>
    </w:rPr>
  </w:style>
  <w:style w:type="character" w:customStyle="1" w:styleId="Buttons">
    <w:name w:val="Buttons"/>
    <w:rsid w:val="00CF0111"/>
    <w:rPr>
      <w:b/>
    </w:rPr>
  </w:style>
  <w:style w:type="character" w:customStyle="1" w:styleId="Underlined">
    <w:name w:val="Underlined"/>
    <w:rsid w:val="00CF0111"/>
    <w:rPr>
      <w:u w:val="single"/>
    </w:rPr>
  </w:style>
  <w:style w:type="paragraph" w:customStyle="1" w:styleId="TableBodyTextRight">
    <w:name w:val="Table Body Text Right"/>
    <w:basedOn w:val="TableBodyText"/>
    <w:rsid w:val="00CF0111"/>
    <w:pPr>
      <w:widowControl w:val="0"/>
      <w:autoSpaceDE w:val="0"/>
      <w:autoSpaceDN w:val="0"/>
      <w:adjustRightInd w:val="0"/>
      <w:jc w:val="right"/>
    </w:pPr>
    <w:rPr>
      <w:rFonts w:cs="Arial"/>
      <w:szCs w:val="18"/>
    </w:rPr>
  </w:style>
  <w:style w:type="paragraph" w:customStyle="1" w:styleId="CopyrightText">
    <w:name w:val="Copyright Text"/>
    <w:basedOn w:val="BodyText"/>
    <w:rsid w:val="00CF0111"/>
    <w:rPr>
      <w:sz w:val="18"/>
    </w:rPr>
  </w:style>
  <w:style w:type="paragraph" w:customStyle="1" w:styleId="BodySmallRight">
    <w:name w:val="Body Small Right"/>
    <w:basedOn w:val="BodyTextRight"/>
    <w:rsid w:val="00CF0111"/>
    <w:rPr>
      <w:sz w:val="18"/>
      <w:szCs w:val="18"/>
    </w:rPr>
  </w:style>
  <w:style w:type="paragraph" w:customStyle="1" w:styleId="MarginEdition">
    <w:name w:val="Margin Edition"/>
    <w:basedOn w:val="MarginNote"/>
    <w:rsid w:val="00CF0111"/>
    <w:pPr>
      <w:spacing w:before="0" w:after="0"/>
    </w:pPr>
    <w:rPr>
      <w:rFonts w:ascii="Times New Roman" w:hAnsi="Times New Roman"/>
      <w:color w:val="999999"/>
    </w:rPr>
  </w:style>
  <w:style w:type="paragraph" w:customStyle="1" w:styleId="Spacer">
    <w:name w:val="Spacer"/>
    <w:basedOn w:val="Normal"/>
    <w:rsid w:val="00CF0111"/>
    <w:rPr>
      <w:sz w:val="2"/>
      <w:szCs w:val="2"/>
    </w:rPr>
  </w:style>
  <w:style w:type="character" w:customStyle="1" w:styleId="Small">
    <w:name w:val="Small"/>
    <w:rsid w:val="00CF0111"/>
    <w:rPr>
      <w:sz w:val="16"/>
    </w:rPr>
  </w:style>
  <w:style w:type="paragraph" w:customStyle="1" w:styleId="WideTable">
    <w:name w:val="Wide Table"/>
    <w:basedOn w:val="Normal"/>
    <w:rsid w:val="00CF0111"/>
    <w:pPr>
      <w:ind w:left="-1418"/>
    </w:pPr>
    <w:rPr>
      <w:sz w:val="2"/>
      <w:szCs w:val="2"/>
    </w:rPr>
  </w:style>
  <w:style w:type="character" w:styleId="PageNumber">
    <w:name w:val="page number"/>
    <w:rsid w:val="00CF0111"/>
  </w:style>
  <w:style w:type="paragraph" w:styleId="Quote">
    <w:name w:val="Quote"/>
    <w:basedOn w:val="Heading1"/>
    <w:link w:val="QuoteChar"/>
    <w:qFormat/>
    <w:rsid w:val="00CF0111"/>
    <w:rPr>
      <w:b w:val="0"/>
      <w:sz w:val="72"/>
      <w:szCs w:val="72"/>
      <w:lang w:val="en-NZ"/>
    </w:rPr>
  </w:style>
  <w:style w:type="character" w:customStyle="1" w:styleId="QuoteChar">
    <w:name w:val="Quote Char"/>
    <w:link w:val="Quote"/>
    <w:rsid w:val="00CF0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111"/>
    <w:pPr>
      <w:pageBreakBefore/>
    </w:pPr>
  </w:style>
  <w:style w:type="paragraph" w:customStyle="1" w:styleId="Border">
    <w:name w:val="Border"/>
    <w:basedOn w:val="Normal"/>
    <w:qFormat/>
    <w:rsid w:val="00CF0111"/>
    <w:pPr>
      <w:pBdr>
        <w:top w:val="single" w:sz="18" w:space="1" w:color="auto"/>
      </w:pBdr>
    </w:pPr>
    <w:rPr>
      <w:rFonts w:ascii="Times New Roman" w:hAnsi="Times New Roman"/>
      <w:color w:val="FFFFFF"/>
      <w:sz w:val="2"/>
    </w:rPr>
  </w:style>
  <w:style w:type="character" w:styleId="IntenseEmphasis">
    <w:name w:val="Intense Emphasis"/>
    <w:uiPriority w:val="21"/>
    <w:qFormat/>
    <w:rsid w:val="00CF0111"/>
    <w:rPr>
      <w:b/>
      <w:bCs/>
      <w:i/>
      <w:iCs/>
      <w:color w:val="auto"/>
    </w:rPr>
  </w:style>
  <w:style w:type="paragraph" w:styleId="IntenseQuote">
    <w:name w:val="Intense Quote"/>
    <w:basedOn w:val="Normal"/>
    <w:next w:val="Normal"/>
    <w:link w:val="IntenseQuoteChar"/>
    <w:uiPriority w:val="30"/>
    <w:qFormat/>
    <w:rsid w:val="00CF01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0111"/>
    <w:rPr>
      <w:rFonts w:ascii="Courier New" w:eastAsia="Times New Roman" w:hAnsi="Courier New" w:cs="Times New Roman"/>
      <w:b/>
      <w:bCs/>
      <w:i/>
      <w:iCs/>
      <w:szCs w:val="20"/>
      <w:lang w:val="en-US" w:eastAsia="en-US"/>
    </w:rPr>
  </w:style>
  <w:style w:type="character" w:styleId="SubtleReference">
    <w:name w:val="Subtle Reference"/>
    <w:uiPriority w:val="31"/>
    <w:qFormat/>
    <w:rsid w:val="00CF0111"/>
    <w:rPr>
      <w:smallCaps/>
      <w:color w:val="auto"/>
      <w:u w:val="single"/>
    </w:rPr>
  </w:style>
  <w:style w:type="character" w:styleId="IntenseReference">
    <w:name w:val="Intense Reference"/>
    <w:uiPriority w:val="32"/>
    <w:qFormat/>
    <w:rsid w:val="00CF0111"/>
    <w:rPr>
      <w:b/>
      <w:bCs/>
      <w:smallCaps/>
      <w:color w:val="auto"/>
      <w:spacing w:val="5"/>
      <w:u w:val="single"/>
    </w:rPr>
  </w:style>
  <w:style w:type="paragraph" w:customStyle="1" w:styleId="2ColumnHeading">
    <w:name w:val="2Column Heading"/>
    <w:basedOn w:val="BodyText"/>
    <w:qFormat/>
    <w:rsid w:val="00CF0111"/>
    <w:pPr>
      <w:spacing w:after="60"/>
      <w:ind w:left="-2268"/>
    </w:pPr>
    <w:rPr>
      <w:b/>
    </w:rPr>
  </w:style>
  <w:style w:type="paragraph" w:customStyle="1" w:styleId="Heading1TOC">
    <w:name w:val="Heading1 TOC"/>
    <w:basedOn w:val="Normal"/>
    <w:qFormat/>
    <w:rsid w:val="00CF0111"/>
    <w:pPr>
      <w:spacing w:before="240" w:after="120"/>
    </w:pPr>
    <w:rPr>
      <w:rFonts w:ascii="Times New Roman" w:hAnsi="Times New Roman"/>
      <w:b/>
      <w:sz w:val="32"/>
    </w:rPr>
  </w:style>
  <w:style w:type="paragraph" w:customStyle="1" w:styleId="Heading2TOC">
    <w:name w:val="Heading2 TOC"/>
    <w:basedOn w:val="Normal"/>
    <w:qFormat/>
    <w:rsid w:val="00CF0111"/>
    <w:pPr>
      <w:spacing w:before="240" w:after="60"/>
    </w:pPr>
    <w:rPr>
      <w:rFonts w:ascii="Times New Roman" w:hAnsi="Times New Roman"/>
      <w:b/>
      <w:sz w:val="28"/>
    </w:rPr>
  </w:style>
  <w:style w:type="character" w:customStyle="1" w:styleId="Underline">
    <w:name w:val="Underline"/>
    <w:qFormat/>
    <w:rsid w:val="00CF0111"/>
    <w:rPr>
      <w:u w:val="single"/>
    </w:rPr>
  </w:style>
  <w:style w:type="paragraph" w:styleId="BalloonText">
    <w:name w:val="Balloon Text"/>
    <w:basedOn w:val="Normal"/>
    <w:link w:val="BalloonTextChar"/>
    <w:rsid w:val="00CF0111"/>
    <w:rPr>
      <w:rFonts w:ascii="Tahoma" w:hAnsi="Tahoma" w:cs="Tahoma"/>
      <w:sz w:val="16"/>
      <w:szCs w:val="16"/>
    </w:rPr>
  </w:style>
  <w:style w:type="character" w:customStyle="1" w:styleId="BalloonTextChar">
    <w:name w:val="Balloon Text Char"/>
    <w:link w:val="BalloonText"/>
    <w:rsid w:val="00CF01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1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01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1770</Words>
  <Characters>11454</Characters>
  <Application>Microsoft Office Word</Application>
  <DocSecurity>0</DocSecurity>
  <Lines>390</Lines>
  <Paragraphs>224</Paragraphs>
  <ScaleCrop>false</ScaleCrop>
  <Company>Author-it Software Corporation Ltd.</Company>
  <LinksUpToDate>false</LinksUpToDate>
  <CharactersWithSpaces>13143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CPPDSM5017A Dispose of property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