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E3F64" w:rsidP="00FE3F64">
      <w:pPr>
        <w:pStyle w:val="Title"/>
      </w:pPr>
      <w:r>
        <w:fldChar w:fldCharType="begin"/>
      </w:r>
      <w:r>
        <w:instrText xml:space="preserve"> TITLE   \* MERGEFORMAT </w:instrText>
      </w:r>
      <w:r>
        <w:fldChar w:fldCharType="separate"/>
      </w:r>
      <w:r>
        <w:t>CPPDSM4081A Work in the stock and station agency sector</w:t>
      </w:r>
      <w:r>
        <w:fldChar w:fldCharType="end"/>
      </w:r>
    </w:p>
    <w:p w:rsidR="00FE3F64" w:rsidP="00FE3F64">
      <w:pPr>
        <w:pStyle w:val="Version"/>
        <w:sectPr w:rsidSect="00321DF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21DFF" w:rsidP="00321DFF">
      <w:pPr>
        <w:pStyle w:val="SuperHeading"/>
      </w:pPr>
      <w:r w:rsidRPr="00321DFF">
        <w:t>CPPDSM4081A Work in the stock and station agency sector</w:t>
      </w:r>
    </w:p>
    <w:p w:rsidR="00000000" w:rsidRPr="00321DFF" w:rsidP="00321DFF">
      <w:pPr>
        <w:pStyle w:val="Heading1"/>
      </w:pPr>
      <w:bookmarkStart w:id="1" w:name="O_270109"/>
      <w:bookmarkEnd w:id="1"/>
      <w:r w:rsidRPr="00321DFF">
        <w:t>Modification History</w:t>
      </w:r>
    </w:p>
    <w:p w:rsidR="00000000" w:rsidRPr="00321DFF" w:rsidP="00321DFF">
      <w:pPr>
        <w:pStyle w:val="BodyText"/>
      </w:pPr>
      <w:r w:rsidRPr="00321DFF">
        <w:t>Not Applicable</w:t>
      </w:r>
    </w:p>
    <w:p w:rsidR="00000000" w:rsidRPr="00321DFF" w:rsidP="00321DFF">
      <w:pPr>
        <w:pStyle w:val="AllowPageBreak"/>
      </w:pPr>
    </w:p>
    <w:p w:rsidR="00000000" w:rsidRPr="00321DFF" w:rsidP="00321DFF">
      <w:pPr>
        <w:pStyle w:val="Heading1"/>
      </w:pPr>
      <w:bookmarkStart w:id="2" w:name="O_201294"/>
      <w:bookmarkEnd w:id="2"/>
      <w:r w:rsidRPr="00321DFF">
        <w:t>Unit Descriptor</w:t>
      </w:r>
    </w:p>
    <w:tbl>
      <w:tblPr>
        <w:tblW w:w="0" w:type="auto"/>
        <w:tblLayout w:type="fixed"/>
        <w:tblCellMar>
          <w:left w:w="62" w:type="dxa"/>
          <w:right w:w="62" w:type="dxa"/>
        </w:tblCellMar>
        <w:tblLook w:val="0000"/>
      </w:tblPr>
      <w:tblGrid>
        <w:gridCol w:w="2936"/>
        <w:gridCol w:w="5480"/>
      </w:tblGrid>
      <w:tr w:rsidTr="00FE3F64">
        <w:tblPrEx>
          <w:tblW w:w="0" w:type="auto"/>
          <w:tblLayout w:type="fixed"/>
          <w:tblCellMar>
            <w:left w:w="62" w:type="dxa"/>
            <w:right w:w="62" w:type="dxa"/>
          </w:tblCellMar>
          <w:tblLook w:val="0000"/>
        </w:tblPrEx>
        <w:tc>
          <w:tcPr>
            <w:tcW w:w="2936" w:type="dxa"/>
            <w:tcBorders>
              <w:top w:val="nil"/>
              <w:left w:val="nil"/>
              <w:bottom w:val="nil"/>
              <w:right w:val="nil"/>
            </w:tcBorders>
            <w:tcMar>
              <w:top w:w="0" w:type="dxa"/>
              <w:left w:w="62" w:type="dxa"/>
              <w:bottom w:w="0" w:type="dxa"/>
              <w:right w:w="62" w:type="dxa"/>
            </w:tcMar>
          </w:tcPr>
          <w:p w:rsidR="00000000" w:rsidP="00321DFF">
            <w:pPr>
              <w:pStyle w:val="BodyText"/>
              <w:rPr>
                <w:lang w:val="en-NZ"/>
              </w:rPr>
            </w:pPr>
            <w:r w:rsidRPr="00321DFF">
              <w:rPr>
                <w:rStyle w:val="SpecialBold"/>
              </w:rPr>
              <w:t>Unit descriptor</w:t>
            </w:r>
          </w:p>
        </w:tc>
        <w:tc>
          <w:tcPr>
            <w:tcW w:w="5480" w:type="dxa"/>
            <w:tcBorders>
              <w:top w:val="nil"/>
              <w:left w:val="nil"/>
              <w:bottom w:val="nil"/>
              <w:right w:val="nil"/>
            </w:tcBorders>
            <w:tcMar>
              <w:top w:w="0" w:type="dxa"/>
              <w:left w:w="62" w:type="dxa"/>
              <w:bottom w:w="0" w:type="dxa"/>
              <w:right w:w="62" w:type="dxa"/>
            </w:tcMar>
          </w:tcPr>
          <w:p w:rsidR="00000000" w:rsidRPr="00321DFF" w:rsidP="00321DFF">
            <w:pPr>
              <w:pStyle w:val="BodyText"/>
            </w:pPr>
            <w:r w:rsidRPr="00321DFF">
              <w:t>This unit of competency specifies the outcomes required for a new entrant to work ethically and</w:t>
            </w:r>
            <w:r w:rsidRPr="00321DFF">
              <w:t xml:space="preserve"> effectively in a stock and station agency. It includes awareness of the core functions of stock and station agencies, ethical and conduct standards, industry employment requirements, and the legislative and regulatory framework within which the industry o</w:t>
            </w:r>
            <w:r w:rsidRPr="00321DFF">
              <w:t>perates.</w:t>
            </w:r>
          </w:p>
          <w:p w:rsidR="00000000" w:rsidRPr="00321DFF" w:rsidP="00321DFF">
            <w:pPr>
              <w:pStyle w:val="BodyText"/>
            </w:pPr>
            <w:r w:rsidRPr="00321DFF">
              <w:t>The unit may form part of the licensing requirements for persons engaged in stock and station activities in those States and Territories where these are regulated activities.</w:t>
            </w:r>
          </w:p>
        </w:tc>
      </w:tr>
    </w:tbl>
    <w:p w:rsidR="00FE3F64" w:rsidP="00321DFF">
      <w:pPr>
        <w:pStyle w:val="BodyText"/>
      </w:pPr>
    </w:p>
    <w:p w:rsidR="00FE3F64" w:rsidP="00321DFF">
      <w:pPr>
        <w:pStyle w:val="BodyText"/>
      </w:pPr>
    </w:p>
    <w:p w:rsidR="00000000" w:rsidRPr="00321DFF" w:rsidP="00321DFF">
      <w:pPr>
        <w:pStyle w:val="Heading1"/>
      </w:pPr>
      <w:bookmarkStart w:id="3" w:name="O_201297"/>
      <w:bookmarkEnd w:id="3"/>
      <w:r w:rsidRPr="00321DFF">
        <w:t>Application of the Unit</w:t>
      </w:r>
    </w:p>
    <w:tbl>
      <w:tblPr>
        <w:tblW w:w="0" w:type="auto"/>
        <w:tblLayout w:type="fixed"/>
        <w:tblCellMar>
          <w:left w:w="62" w:type="dxa"/>
          <w:right w:w="62" w:type="dxa"/>
        </w:tblCellMar>
        <w:tblLook w:val="0000"/>
      </w:tblPr>
      <w:tblGrid>
        <w:gridCol w:w="2936"/>
        <w:gridCol w:w="5480"/>
      </w:tblGrid>
      <w:tr w:rsidTr="00FE3F64">
        <w:tblPrEx>
          <w:tblW w:w="0" w:type="auto"/>
          <w:tblLayout w:type="fixed"/>
          <w:tblCellMar>
            <w:left w:w="62" w:type="dxa"/>
            <w:right w:w="62" w:type="dxa"/>
          </w:tblCellMar>
          <w:tblLook w:val="0000"/>
        </w:tblPrEx>
        <w:tc>
          <w:tcPr>
            <w:tcW w:w="2936" w:type="dxa"/>
            <w:tcBorders>
              <w:top w:val="nil"/>
              <w:left w:val="nil"/>
              <w:bottom w:val="nil"/>
              <w:right w:val="nil"/>
            </w:tcBorders>
            <w:tcMar>
              <w:top w:w="0" w:type="dxa"/>
              <w:left w:w="62" w:type="dxa"/>
              <w:bottom w:w="0" w:type="dxa"/>
              <w:right w:w="62" w:type="dxa"/>
            </w:tcMar>
          </w:tcPr>
          <w:p w:rsidR="00000000" w:rsidP="00321DFF">
            <w:pPr>
              <w:pStyle w:val="BodyText"/>
              <w:rPr>
                <w:lang w:val="en-NZ"/>
              </w:rPr>
            </w:pPr>
            <w:r w:rsidRPr="00321DFF">
              <w:rPr>
                <w:rStyle w:val="SpecialBold"/>
              </w:rPr>
              <w:t>Application of the unit</w:t>
            </w:r>
          </w:p>
        </w:tc>
        <w:tc>
          <w:tcPr>
            <w:tcW w:w="5480" w:type="dxa"/>
            <w:tcBorders>
              <w:top w:val="nil"/>
              <w:left w:val="nil"/>
              <w:bottom w:val="nil"/>
              <w:right w:val="nil"/>
            </w:tcBorders>
            <w:tcMar>
              <w:top w:w="0" w:type="dxa"/>
              <w:left w:w="62" w:type="dxa"/>
              <w:bottom w:w="0" w:type="dxa"/>
              <w:right w:w="62" w:type="dxa"/>
            </w:tcMar>
          </w:tcPr>
          <w:p w:rsidR="00000000" w:rsidRPr="00321DFF" w:rsidP="00321DFF">
            <w:pPr>
              <w:pStyle w:val="BodyText"/>
            </w:pPr>
            <w:r w:rsidRPr="00321DFF">
              <w:t>This unit of competency supports the work of licensed stock and station agents and stock and station representatives or certificate holders. It addresses the requirements for licensed stock and station agents and stock and station representatives or certif</w:t>
            </w:r>
            <w:r w:rsidRPr="00321DFF">
              <w:t>icate holders to identify and explain ethical and conduct standards, core functions, legislative and regulatory framework and employment requirements of the industry.</w:t>
            </w:r>
          </w:p>
        </w:tc>
      </w:tr>
    </w:tbl>
    <w:p w:rsidR="00FE3F64" w:rsidP="00321DFF">
      <w:pPr>
        <w:pStyle w:val="BodyText"/>
      </w:pPr>
    </w:p>
    <w:p w:rsidR="00FE3F64" w:rsidP="00321DFF">
      <w:pPr>
        <w:pStyle w:val="BodyText"/>
      </w:pPr>
    </w:p>
    <w:p w:rsidR="00000000" w:rsidRPr="00321DFF" w:rsidP="00321DFF">
      <w:pPr>
        <w:pStyle w:val="Heading1"/>
      </w:pPr>
      <w:bookmarkStart w:id="4" w:name="O_278369"/>
      <w:bookmarkEnd w:id="4"/>
      <w:r w:rsidRPr="00321DFF">
        <w:t>Licensing/Regulatory Information</w:t>
      </w:r>
    </w:p>
    <w:p w:rsidR="00000000" w:rsidRPr="00321DFF" w:rsidP="00321DFF">
      <w:pPr>
        <w:pStyle w:val="BodyText"/>
      </w:pPr>
      <w:r w:rsidRPr="00321DFF">
        <w:t>Refer to Unit Descriptor</w:t>
      </w:r>
    </w:p>
    <w:p w:rsidR="00000000" w:rsidRPr="00321DFF" w:rsidP="00321DFF">
      <w:pPr>
        <w:pStyle w:val="AllowPageBreak"/>
      </w:pPr>
    </w:p>
    <w:p w:rsidR="00000000" w:rsidRPr="00321DFF" w:rsidP="00321DFF">
      <w:pPr>
        <w:pStyle w:val="Heading1"/>
      </w:pPr>
      <w:bookmarkStart w:id="5" w:name="O_201296"/>
      <w:bookmarkEnd w:id="5"/>
      <w:r w:rsidRPr="00321DFF">
        <w:t>Pre-Requisites</w:t>
      </w:r>
    </w:p>
    <w:tbl>
      <w:tblPr>
        <w:tblW w:w="0" w:type="auto"/>
        <w:tblLayout w:type="fixed"/>
        <w:tblCellMar>
          <w:left w:w="62" w:type="dxa"/>
          <w:right w:w="62" w:type="dxa"/>
        </w:tblCellMar>
        <w:tblLook w:val="0000"/>
      </w:tblPr>
      <w:tblGrid>
        <w:gridCol w:w="2936"/>
        <w:gridCol w:w="5480"/>
      </w:tblGrid>
      <w:tr w:rsidTr="00FE3F64">
        <w:tblPrEx>
          <w:tblW w:w="0" w:type="auto"/>
          <w:tblLayout w:type="fixed"/>
          <w:tblCellMar>
            <w:left w:w="62" w:type="dxa"/>
            <w:right w:w="62" w:type="dxa"/>
          </w:tblCellMar>
          <w:tblLook w:val="0000"/>
        </w:tblPrEx>
        <w:trPr>
          <w:tblHeader/>
        </w:trPr>
        <w:tc>
          <w:tcPr>
            <w:tcW w:w="2936" w:type="dxa"/>
            <w:tcBorders>
              <w:top w:val="nil"/>
              <w:left w:val="nil"/>
              <w:bottom w:val="nil"/>
              <w:right w:val="nil"/>
            </w:tcBorders>
            <w:tcMar>
              <w:top w:w="0" w:type="dxa"/>
              <w:left w:w="62" w:type="dxa"/>
              <w:bottom w:w="0" w:type="dxa"/>
              <w:right w:w="62" w:type="dxa"/>
            </w:tcMar>
          </w:tcPr>
          <w:p w:rsidR="00000000" w:rsidP="00321DFF">
            <w:pPr>
              <w:pStyle w:val="BodyText"/>
              <w:rPr>
                <w:lang w:val="en-NZ"/>
              </w:rPr>
            </w:pPr>
            <w:r w:rsidRPr="00321DFF">
              <w:rPr>
                <w:rStyle w:val="SpecialBold"/>
              </w:rPr>
              <w:t>Prerequisite units</w:t>
            </w:r>
          </w:p>
        </w:tc>
        <w:tc>
          <w:tcPr>
            <w:tcW w:w="5480" w:type="dxa"/>
            <w:tcBorders>
              <w:top w:val="nil"/>
              <w:left w:val="nil"/>
              <w:bottom w:val="nil"/>
              <w:right w:val="nil"/>
            </w:tcBorders>
            <w:tcMar>
              <w:top w:w="0" w:type="dxa"/>
              <w:left w:w="62" w:type="dxa"/>
              <w:bottom w:w="0" w:type="dxa"/>
              <w:right w:w="62" w:type="dxa"/>
            </w:tcMar>
          </w:tcPr>
          <w:p w:rsidR="00000000" w:rsidRPr="00321DFF" w:rsidP="00321DFF">
            <w:pPr>
              <w:pStyle w:val="BodyText"/>
            </w:pPr>
            <w:r w:rsidRPr="00321DFF">
              <w:t>Nil</w:t>
            </w:r>
          </w:p>
        </w:tc>
      </w:tr>
    </w:tbl>
    <w:p w:rsidR="00FE3F64" w:rsidP="00321DFF">
      <w:pPr>
        <w:pStyle w:val="BodyText"/>
      </w:pPr>
    </w:p>
    <w:p w:rsidR="00FE3F64" w:rsidP="00321DFF">
      <w:pPr>
        <w:pStyle w:val="BodyText"/>
      </w:pPr>
    </w:p>
    <w:p w:rsidR="00000000" w:rsidRPr="00321DFF" w:rsidP="00321DFF">
      <w:pPr>
        <w:pStyle w:val="Heading1"/>
      </w:pPr>
      <w:bookmarkStart w:id="6" w:name="O_201295"/>
      <w:bookmarkEnd w:id="6"/>
      <w:r w:rsidRPr="00321DFF">
        <w:t>Employability Skills Information</w:t>
      </w:r>
    </w:p>
    <w:tbl>
      <w:tblPr>
        <w:tblW w:w="0" w:type="auto"/>
        <w:tblLayout w:type="fixed"/>
        <w:tblCellMar>
          <w:left w:w="62" w:type="dxa"/>
          <w:right w:w="62" w:type="dxa"/>
        </w:tblCellMar>
        <w:tblLook w:val="0000"/>
      </w:tblPr>
      <w:tblGrid>
        <w:gridCol w:w="2936"/>
        <w:gridCol w:w="5480"/>
      </w:tblGrid>
      <w:tr w:rsidTr="00FE3F64">
        <w:tblPrEx>
          <w:tblW w:w="0" w:type="auto"/>
          <w:tblLayout w:type="fixed"/>
          <w:tblCellMar>
            <w:left w:w="62" w:type="dxa"/>
            <w:right w:w="62" w:type="dxa"/>
          </w:tblCellMar>
          <w:tblLook w:val="0000"/>
        </w:tblPrEx>
        <w:trPr>
          <w:tblHeader/>
        </w:trPr>
        <w:tc>
          <w:tcPr>
            <w:tcW w:w="2936" w:type="dxa"/>
            <w:tcBorders>
              <w:top w:val="nil"/>
              <w:left w:val="nil"/>
              <w:bottom w:val="nil"/>
              <w:right w:val="nil"/>
            </w:tcBorders>
            <w:tcMar>
              <w:top w:w="0" w:type="dxa"/>
              <w:left w:w="62" w:type="dxa"/>
              <w:bottom w:w="0" w:type="dxa"/>
              <w:right w:w="62" w:type="dxa"/>
            </w:tcMar>
          </w:tcPr>
          <w:p w:rsidR="00000000" w:rsidP="00321DFF">
            <w:pPr>
              <w:pStyle w:val="BodyText"/>
              <w:rPr>
                <w:lang w:val="en-NZ"/>
              </w:rPr>
            </w:pPr>
            <w:r w:rsidRPr="00321DFF">
              <w:rPr>
                <w:rStyle w:val="SpecialBold"/>
              </w:rPr>
              <w:t>Employability skills</w:t>
            </w:r>
          </w:p>
        </w:tc>
        <w:tc>
          <w:tcPr>
            <w:tcW w:w="5480" w:type="dxa"/>
            <w:tcBorders>
              <w:top w:val="nil"/>
              <w:left w:val="nil"/>
              <w:bottom w:val="nil"/>
              <w:right w:val="nil"/>
            </w:tcBorders>
            <w:tcMar>
              <w:top w:w="0" w:type="dxa"/>
              <w:left w:w="62" w:type="dxa"/>
              <w:bottom w:w="0" w:type="dxa"/>
              <w:right w:w="62" w:type="dxa"/>
            </w:tcMar>
          </w:tcPr>
          <w:p w:rsidR="00000000" w:rsidRPr="00321DFF" w:rsidP="00321DFF">
            <w:pPr>
              <w:pStyle w:val="BodyText"/>
            </w:pPr>
            <w:r w:rsidRPr="00321DFF">
              <w:t>The required outcomes described in this unit of competency contain applicable facets of employability skills. The Employability Skills Summary of the qualification in which this unit of competency is packaged, will assist in identifying employability skill</w:t>
            </w:r>
            <w:r w:rsidRPr="00321DFF">
              <w:t>s requirements.</w:t>
            </w:r>
          </w:p>
        </w:tc>
      </w:tr>
    </w:tbl>
    <w:p w:rsidR="00FE3F64" w:rsidP="00321DFF">
      <w:pPr>
        <w:pStyle w:val="BodyText"/>
      </w:pPr>
    </w:p>
    <w:p w:rsidR="00FE3F64" w:rsidP="00321DFF">
      <w:pPr>
        <w:pStyle w:val="BodyText"/>
      </w:pPr>
    </w:p>
    <w:p w:rsidR="00000000" w:rsidRPr="00321DFF" w:rsidP="00321DFF">
      <w:pPr>
        <w:pStyle w:val="Heading1"/>
      </w:pPr>
      <w:bookmarkStart w:id="7" w:name="O_288155"/>
      <w:bookmarkEnd w:id="7"/>
      <w:r w:rsidRPr="00321DFF">
        <w:t>Elements and Performance Criteria Pre-Content</w:t>
      </w:r>
    </w:p>
    <w:tbl>
      <w:tblPr>
        <w:tblW w:w="0" w:type="auto"/>
        <w:tblLayout w:type="fixed"/>
        <w:tblCellMar>
          <w:left w:w="62" w:type="dxa"/>
          <w:right w:w="62" w:type="dxa"/>
        </w:tblCellMar>
        <w:tblLook w:val="0000"/>
      </w:tblPr>
      <w:tblGrid>
        <w:gridCol w:w="2980"/>
        <w:gridCol w:w="5580"/>
      </w:tblGrid>
      <w:tr w:rsidTr="00FE3F64">
        <w:tblPrEx>
          <w:tblW w:w="0" w:type="auto"/>
          <w:tblLayout w:type="fixed"/>
          <w:tblCellMar>
            <w:left w:w="62" w:type="dxa"/>
            <w:right w:w="62" w:type="dxa"/>
          </w:tblCellMar>
          <w:tblLook w:val="0000"/>
        </w:tblPrEx>
        <w:tc>
          <w:tcPr>
            <w:tcW w:w="2980" w:type="dxa"/>
            <w:tcBorders>
              <w:top w:val="nil"/>
              <w:left w:val="nil"/>
              <w:bottom w:val="nil"/>
              <w:right w:val="nil"/>
            </w:tcBorders>
            <w:tcMar>
              <w:top w:w="0" w:type="dxa"/>
              <w:left w:w="62" w:type="dxa"/>
              <w:bottom w:w="0" w:type="dxa"/>
              <w:right w:w="62" w:type="dxa"/>
            </w:tcMar>
          </w:tcPr>
          <w:p w:rsidR="00000000" w:rsidP="00321DFF">
            <w:pPr>
              <w:pStyle w:val="BodyText"/>
              <w:rPr>
                <w:lang w:val="en-NZ"/>
              </w:rPr>
            </w:pPr>
            <w:r w:rsidRPr="00321DFF">
              <w:t>Elements describe the essential outcomes of a unit of competency.</w:t>
            </w:r>
          </w:p>
        </w:tc>
        <w:tc>
          <w:tcPr>
            <w:tcW w:w="5580" w:type="dxa"/>
            <w:tcBorders>
              <w:top w:val="nil"/>
              <w:left w:val="nil"/>
              <w:bottom w:val="nil"/>
              <w:right w:val="nil"/>
            </w:tcBorders>
            <w:tcMar>
              <w:top w:w="0" w:type="dxa"/>
              <w:left w:w="62" w:type="dxa"/>
              <w:bottom w:w="0" w:type="dxa"/>
              <w:right w:w="62" w:type="dxa"/>
            </w:tcMar>
          </w:tcPr>
          <w:p w:rsidR="00000000" w:rsidRPr="00321DFF" w:rsidP="00321DFF">
            <w:pPr>
              <w:pStyle w:val="BodyText"/>
            </w:pPr>
            <w:r w:rsidRPr="00321DFF">
              <w:t>Performance criteria describe the required performance needed to demonstrate achievement of the element. Whe</w:t>
            </w:r>
            <w:r w:rsidRPr="00321DFF">
              <w:t xml:space="preserve">re </w:t>
            </w:r>
            <w:r w:rsidRPr="00321DFF">
              <w:rPr>
                <w:rStyle w:val="BoldandItalics"/>
              </w:rPr>
              <w:t>bold italicised</w:t>
            </w:r>
            <w:r w:rsidRPr="00321DFF">
              <w:t xml:space="preserve"> text is used, further information is detailed in the required skills and knowledge and/or the range statement. Assessment of performance is to be consistent with the evidence guide.</w:t>
            </w:r>
          </w:p>
        </w:tc>
      </w:tr>
    </w:tbl>
    <w:p w:rsidR="00000000" w:rsidRPr="00321DFF" w:rsidP="00321DFF">
      <w:pPr>
        <w:pStyle w:val="BodyText"/>
      </w:pPr>
    </w:p>
    <w:p w:rsidR="00000000" w:rsidRPr="00321DFF" w:rsidP="00321DFF">
      <w:pPr>
        <w:pStyle w:val="AllowPageBreak"/>
      </w:pPr>
    </w:p>
    <w:p w:rsidR="00000000" w:rsidRPr="00321DFF" w:rsidP="00321DFF">
      <w:pPr>
        <w:pStyle w:val="Heading1"/>
      </w:pPr>
      <w:bookmarkStart w:id="8" w:name="O_234822"/>
      <w:bookmarkEnd w:id="8"/>
      <w:r w:rsidRPr="00321DFF">
        <w:t>Elements and Performance Criteria</w:t>
      </w:r>
    </w:p>
    <w:tbl>
      <w:tblPr>
        <w:tblW w:w="0" w:type="auto"/>
        <w:tblLayout w:type="fixed"/>
        <w:tblCellMar>
          <w:left w:w="62" w:type="dxa"/>
          <w:right w:w="62" w:type="dxa"/>
        </w:tblCellMar>
        <w:tblLook w:val="0000"/>
      </w:tblPr>
      <w:tblGrid>
        <w:gridCol w:w="2970"/>
        <w:gridCol w:w="18"/>
        <w:gridCol w:w="5562"/>
        <w:gridCol w:w="18"/>
      </w:tblGrid>
      <w:tr w:rsidTr="00FE3F64">
        <w:tblPrEx>
          <w:tblW w:w="0" w:type="auto"/>
          <w:tblLayout w:type="fixed"/>
          <w:tblCellMar>
            <w:left w:w="62" w:type="dxa"/>
            <w:right w:w="62" w:type="dxa"/>
          </w:tblCellMar>
          <w:tblLook w:val="0000"/>
        </w:tblPrEx>
        <w:trPr>
          <w:tblHeader/>
        </w:trPr>
        <w:tc>
          <w:tcPr>
            <w:tcW w:w="2988" w:type="dxa"/>
            <w:gridSpan w:val="2"/>
            <w:tcBorders>
              <w:top w:val="nil"/>
              <w:left w:val="nil"/>
              <w:bottom w:val="nil"/>
              <w:right w:val="nil"/>
            </w:tcBorders>
            <w:tcMar>
              <w:top w:w="0" w:type="dxa"/>
              <w:left w:w="62" w:type="dxa"/>
              <w:bottom w:w="0" w:type="dxa"/>
              <w:right w:w="62" w:type="dxa"/>
            </w:tcMar>
          </w:tcPr>
          <w:p w:rsidR="00000000" w:rsidRPr="00321DFF" w:rsidP="00321DFF">
            <w:pPr>
              <w:pStyle w:val="List"/>
            </w:pPr>
            <w:r w:rsidRPr="00321DFF">
              <w:rPr>
                <w:rStyle w:val="SpecialBold"/>
              </w:rPr>
              <w:t>ELEMENT</w:t>
            </w:r>
          </w:p>
        </w:tc>
        <w:tc>
          <w:tcPr>
            <w:tcW w:w="5580" w:type="dxa"/>
            <w:gridSpan w:val="2"/>
            <w:tcBorders>
              <w:top w:val="nil"/>
              <w:left w:val="nil"/>
              <w:bottom w:val="nil"/>
              <w:right w:val="nil"/>
            </w:tcBorders>
            <w:tcMar>
              <w:top w:w="0" w:type="dxa"/>
              <w:left w:w="62" w:type="dxa"/>
              <w:bottom w:w="0" w:type="dxa"/>
              <w:right w:w="62" w:type="dxa"/>
            </w:tcMar>
          </w:tcPr>
          <w:p w:rsidR="00000000" w:rsidP="00321DFF">
            <w:pPr>
              <w:pStyle w:val="List"/>
              <w:rPr>
                <w:lang w:val="en-NZ"/>
              </w:rPr>
            </w:pPr>
            <w:r w:rsidRPr="00321DFF">
              <w:rPr>
                <w:rStyle w:val="SpecialBold"/>
              </w:rPr>
              <w:t>PERFORMANCE CRITERIA</w:t>
            </w:r>
          </w:p>
        </w:tc>
      </w:tr>
      <w:tr w:rsidTr="00FE3F64">
        <w:tblPrEx>
          <w:tblW w:w="0" w:type="auto"/>
          <w:tblLayout w:type="fixed"/>
          <w:tblCellMar>
            <w:left w:w="62" w:type="dxa"/>
            <w:right w:w="62" w:type="dxa"/>
          </w:tblCellMar>
          <w:tblLook w:val="0000"/>
        </w:tblPrEx>
        <w:trPr>
          <w:gridAfter w:val="1"/>
          <w:wAfter w:w="18" w:type="dxa"/>
        </w:trPr>
        <w:tc>
          <w:tcPr>
            <w:tcW w:w="2970" w:type="dxa"/>
            <w:tcBorders>
              <w:top w:val="nil"/>
              <w:left w:val="nil"/>
              <w:bottom w:val="nil"/>
              <w:right w:val="nil"/>
            </w:tcBorders>
            <w:tcMar>
              <w:top w:w="0" w:type="dxa"/>
              <w:left w:w="62" w:type="dxa"/>
              <w:bottom w:w="0" w:type="dxa"/>
              <w:right w:w="62" w:type="dxa"/>
            </w:tcMar>
          </w:tcPr>
          <w:p w:rsidR="00000000" w:rsidP="00321DFF">
            <w:pPr>
              <w:pStyle w:val="List"/>
              <w:rPr>
                <w:lang w:val="en-NZ"/>
              </w:rPr>
            </w:pPr>
            <w:r w:rsidRPr="00321DFF">
              <w:rPr>
                <w:rStyle w:val="SpecialBold"/>
              </w:rPr>
              <w:t>1</w:t>
            </w:r>
            <w:r w:rsidRPr="00321DFF">
              <w:tab/>
            </w:r>
            <w:r w:rsidRPr="00321DFF">
              <w:rPr>
                <w:rStyle w:val="SpecialBold"/>
              </w:rPr>
              <w:t>Develop knowledge of agency operations</w:t>
            </w:r>
            <w:r w:rsidRPr="00321DFF">
              <w:t>.</w:t>
            </w:r>
          </w:p>
        </w:tc>
        <w:tc>
          <w:tcPr>
            <w:tcW w:w="5580" w:type="dxa"/>
            <w:gridSpan w:val="2"/>
            <w:tcBorders>
              <w:top w:val="nil"/>
              <w:left w:val="nil"/>
              <w:bottom w:val="nil"/>
              <w:right w:val="nil"/>
            </w:tcBorders>
            <w:tcMar>
              <w:top w:w="0" w:type="dxa"/>
              <w:left w:w="62" w:type="dxa"/>
              <w:bottom w:w="0" w:type="dxa"/>
              <w:right w:w="62" w:type="dxa"/>
            </w:tcMar>
          </w:tcPr>
          <w:p w:rsidR="00000000" w:rsidRPr="00321DFF" w:rsidP="00321DFF">
            <w:pPr>
              <w:pStyle w:val="List"/>
            </w:pPr>
            <w:r w:rsidRPr="00321DFF">
              <w:t>1.1</w:t>
            </w:r>
            <w:r w:rsidRPr="00321DFF">
              <w:tab/>
              <w:t xml:space="preserve">Key features of the agency principal relationship are identified according to </w:t>
            </w:r>
            <w:r w:rsidRPr="00321DFF">
              <w:rPr>
                <w:rStyle w:val="BoldandItalics"/>
              </w:rPr>
              <w:t>legislative requirements</w:t>
            </w:r>
            <w:r w:rsidRPr="00321DFF">
              <w:t xml:space="preserve"> and agency practice.</w:t>
            </w:r>
          </w:p>
          <w:p w:rsidR="00000000" w:rsidP="00321DFF">
            <w:pPr>
              <w:pStyle w:val="List"/>
              <w:rPr>
                <w:lang w:val="en-NZ"/>
              </w:rPr>
            </w:pPr>
            <w:r w:rsidRPr="00321DFF">
              <w:t>1.2</w:t>
            </w:r>
            <w:r w:rsidRPr="00321DFF">
              <w:tab/>
              <w:t xml:space="preserve">Roles and responsibilities of </w:t>
            </w:r>
            <w:r w:rsidRPr="00321DFF">
              <w:rPr>
                <w:rStyle w:val="BoldandItalics"/>
              </w:rPr>
              <w:t>key personnel</w:t>
            </w:r>
            <w:r w:rsidRPr="00321DFF">
              <w:t xml:space="preserve"> involved</w:t>
            </w:r>
            <w:r w:rsidRPr="00321DFF">
              <w:t xml:space="preserve"> in stock and station agencies are identified and explained in the context of legislative and agency requirements.</w:t>
            </w:r>
          </w:p>
        </w:tc>
      </w:tr>
      <w:tr w:rsidTr="00FE3F64">
        <w:tblPrEx>
          <w:tblW w:w="0" w:type="auto"/>
          <w:tblLayout w:type="fixed"/>
          <w:tblCellMar>
            <w:left w:w="62" w:type="dxa"/>
            <w:right w:w="62" w:type="dxa"/>
          </w:tblCellMar>
          <w:tblLook w:val="0000"/>
        </w:tblPrEx>
        <w:trPr>
          <w:gridAfter w:val="1"/>
          <w:wAfter w:w="18" w:type="dxa"/>
        </w:trPr>
        <w:tc>
          <w:tcPr>
            <w:tcW w:w="2970" w:type="dxa"/>
            <w:tcBorders>
              <w:top w:val="nil"/>
              <w:left w:val="nil"/>
              <w:bottom w:val="nil"/>
              <w:right w:val="nil"/>
            </w:tcBorders>
            <w:tcMar>
              <w:top w:w="0" w:type="dxa"/>
              <w:left w:w="62" w:type="dxa"/>
              <w:bottom w:w="0" w:type="dxa"/>
              <w:right w:w="62" w:type="dxa"/>
            </w:tcMar>
          </w:tcPr>
          <w:p w:rsidR="00000000" w:rsidP="00321DFF">
            <w:pPr>
              <w:pStyle w:val="BodyText"/>
              <w:rPr>
                <w:lang w:val="en-NZ"/>
              </w:rPr>
            </w:pPr>
          </w:p>
        </w:tc>
        <w:tc>
          <w:tcPr>
            <w:tcW w:w="5580" w:type="dxa"/>
            <w:gridSpan w:val="2"/>
            <w:tcBorders>
              <w:top w:val="nil"/>
              <w:left w:val="nil"/>
              <w:bottom w:val="nil"/>
              <w:right w:val="nil"/>
            </w:tcBorders>
            <w:tcMar>
              <w:top w:w="0" w:type="dxa"/>
              <w:left w:w="62" w:type="dxa"/>
              <w:bottom w:w="0" w:type="dxa"/>
              <w:right w:w="62" w:type="dxa"/>
            </w:tcMar>
          </w:tcPr>
          <w:p w:rsidR="00000000" w:rsidRPr="00321DFF" w:rsidP="00321DFF">
            <w:pPr>
              <w:pStyle w:val="List"/>
            </w:pPr>
            <w:r w:rsidRPr="00321DFF">
              <w:t>1.3</w:t>
            </w:r>
            <w:r w:rsidRPr="00321DFF">
              <w:tab/>
            </w:r>
            <w:r w:rsidRPr="00321DFF">
              <w:rPr>
                <w:rStyle w:val="BoldandItalics"/>
              </w:rPr>
              <w:t>Key operations</w:t>
            </w:r>
            <w:r w:rsidRPr="00321DFF">
              <w:t xml:space="preserve"> </w:t>
            </w:r>
            <w:r w:rsidRPr="00321DFF">
              <w:rPr>
                <w:rStyle w:val="BoldandItalics"/>
              </w:rPr>
              <w:t>of stock and station agencies</w:t>
            </w:r>
            <w:r w:rsidRPr="00321DFF">
              <w:t xml:space="preserve"> are identified and explained in the context of legislative and agency requirements.</w:t>
            </w:r>
          </w:p>
          <w:p w:rsidR="00000000" w:rsidP="00321DFF">
            <w:pPr>
              <w:pStyle w:val="List"/>
              <w:rPr>
                <w:lang w:val="en-NZ"/>
              </w:rPr>
            </w:pPr>
            <w:r w:rsidRPr="00321DFF">
              <w:t>1.4</w:t>
            </w:r>
            <w:r w:rsidRPr="00321DFF">
              <w:tab/>
            </w:r>
            <w:r w:rsidRPr="00321DFF">
              <w:rPr>
                <w:rStyle w:val="BoldandItalics"/>
              </w:rPr>
              <w:t>Fo</w:t>
            </w:r>
            <w:r w:rsidRPr="00321DFF">
              <w:rPr>
                <w:rStyle w:val="BoldandItalics"/>
              </w:rPr>
              <w:t>rms of business ownership</w:t>
            </w:r>
            <w:r w:rsidRPr="00321DFF">
              <w:t xml:space="preserve">, </w:t>
            </w:r>
            <w:r w:rsidRPr="00321DFF">
              <w:rPr>
                <w:rStyle w:val="BoldandItalics"/>
              </w:rPr>
              <w:t>organisational structure</w:t>
            </w:r>
            <w:r w:rsidRPr="00321DFF">
              <w:t xml:space="preserve"> and </w:t>
            </w:r>
            <w:r w:rsidRPr="00321DFF">
              <w:rPr>
                <w:rStyle w:val="BoldandItalics"/>
              </w:rPr>
              <w:t>key services</w:t>
            </w:r>
            <w:r w:rsidRPr="00321DFF">
              <w:t xml:space="preserve"> offered by stock and station agencies, including liabilities and responsibilities, are identified and explained.</w:t>
            </w:r>
          </w:p>
        </w:tc>
      </w:tr>
      <w:tr w:rsidTr="00FE3F64">
        <w:tblPrEx>
          <w:tblW w:w="0" w:type="auto"/>
          <w:tblLayout w:type="fixed"/>
          <w:tblCellMar>
            <w:left w:w="62" w:type="dxa"/>
            <w:right w:w="62" w:type="dxa"/>
          </w:tblCellMar>
          <w:tblLook w:val="0000"/>
        </w:tblPrEx>
        <w:trPr>
          <w:gridAfter w:val="1"/>
          <w:wAfter w:w="18" w:type="dxa"/>
        </w:trPr>
        <w:tc>
          <w:tcPr>
            <w:tcW w:w="2970" w:type="dxa"/>
            <w:tcBorders>
              <w:top w:val="nil"/>
              <w:left w:val="nil"/>
              <w:bottom w:val="nil"/>
              <w:right w:val="nil"/>
            </w:tcBorders>
            <w:tcMar>
              <w:top w:w="0" w:type="dxa"/>
              <w:left w:w="62" w:type="dxa"/>
              <w:bottom w:w="0" w:type="dxa"/>
              <w:right w:w="62" w:type="dxa"/>
            </w:tcMar>
          </w:tcPr>
          <w:p w:rsidR="00000000" w:rsidP="00321DFF">
            <w:pPr>
              <w:pStyle w:val="List"/>
              <w:rPr>
                <w:lang w:val="en-NZ"/>
              </w:rPr>
            </w:pPr>
            <w:r w:rsidRPr="00321DFF">
              <w:rPr>
                <w:rStyle w:val="SpecialBold"/>
              </w:rPr>
              <w:t>2</w:t>
            </w:r>
            <w:r w:rsidRPr="00321DFF">
              <w:tab/>
            </w:r>
            <w:r w:rsidRPr="00321DFF">
              <w:rPr>
                <w:rStyle w:val="SpecialBold"/>
              </w:rPr>
              <w:t>Interpret and comply with legislative and agency requirements</w:t>
            </w:r>
            <w:r w:rsidRPr="00321DFF">
              <w:t>.</w:t>
            </w:r>
          </w:p>
        </w:tc>
        <w:tc>
          <w:tcPr>
            <w:tcW w:w="5580" w:type="dxa"/>
            <w:gridSpan w:val="2"/>
            <w:tcBorders>
              <w:top w:val="nil"/>
              <w:left w:val="nil"/>
              <w:bottom w:val="nil"/>
              <w:right w:val="nil"/>
            </w:tcBorders>
            <w:tcMar>
              <w:top w:w="0" w:type="dxa"/>
              <w:left w:w="62" w:type="dxa"/>
              <w:bottom w:w="0" w:type="dxa"/>
              <w:right w:w="62" w:type="dxa"/>
            </w:tcMar>
          </w:tcPr>
          <w:p w:rsidR="00000000" w:rsidRPr="00321DFF" w:rsidP="00321DFF">
            <w:pPr>
              <w:pStyle w:val="List"/>
            </w:pPr>
            <w:r w:rsidRPr="00321DFF">
              <w:t>2.1</w:t>
            </w:r>
            <w:r w:rsidRPr="00321DFF">
              <w:tab/>
            </w:r>
            <w:r w:rsidRPr="00321DFF">
              <w:t>Key legislation and regulations relevant to stock and station agency operations, including legislative limitations on agency practice, are identified and explained to ensure compliance with legislative and agency requirements.</w:t>
            </w:r>
          </w:p>
          <w:p w:rsidR="00000000" w:rsidRPr="00321DFF" w:rsidP="00321DFF">
            <w:pPr>
              <w:pStyle w:val="List"/>
            </w:pPr>
            <w:r w:rsidRPr="00321DFF">
              <w:t>2.2</w:t>
            </w:r>
            <w:r w:rsidRPr="00321DFF">
              <w:tab/>
            </w:r>
            <w:r w:rsidRPr="00321DFF">
              <w:rPr>
                <w:rStyle w:val="BoldandItalics"/>
              </w:rPr>
              <w:t>Licensing and eligibility</w:t>
            </w:r>
            <w:r w:rsidRPr="00321DFF">
              <w:rPr>
                <w:rStyle w:val="BoldandItalics"/>
              </w:rPr>
              <w:t xml:space="preserve"> requirements</w:t>
            </w:r>
            <w:r w:rsidRPr="00321DFF">
              <w:t xml:space="preserve"> for licensed stock and station agents, stock and station representatives or certificate holders and other employees, including offences and penalties, are identified and explained to ensure compliance with legislative and agency requirements.</w:t>
            </w:r>
          </w:p>
          <w:p w:rsidR="00000000" w:rsidRPr="00321DFF" w:rsidP="00321DFF">
            <w:pPr>
              <w:pStyle w:val="List"/>
            </w:pPr>
            <w:r w:rsidRPr="00321DFF">
              <w:t>2.3</w:t>
            </w:r>
            <w:r w:rsidRPr="00321DFF">
              <w:tab/>
              <w:t>Key provisions of consumer protection and privacy legislation are identified and explained to ensure compliance with legislative and agency requirements.</w:t>
            </w:r>
          </w:p>
          <w:p w:rsidR="00000000" w:rsidRPr="00321DFF" w:rsidP="00321DFF">
            <w:pPr>
              <w:pStyle w:val="List"/>
            </w:pPr>
            <w:r w:rsidRPr="00321DFF">
              <w:t>2.4</w:t>
            </w:r>
            <w:r w:rsidRPr="00321DFF">
              <w:tab/>
              <w:t xml:space="preserve">Purpose of </w:t>
            </w:r>
            <w:r w:rsidRPr="00321DFF">
              <w:rPr>
                <w:rStyle w:val="BoldandItalics"/>
              </w:rPr>
              <w:t>trust funds</w:t>
            </w:r>
            <w:r w:rsidRPr="00321DFF">
              <w:t xml:space="preserve"> and key legislative controls on trust funds relevant to authorised emp</w:t>
            </w:r>
            <w:r w:rsidRPr="00321DFF">
              <w:t>loyees are identified and explained to ensure compliance with legislative and agency requirements.</w:t>
            </w:r>
          </w:p>
          <w:p w:rsidR="00000000" w:rsidRPr="00321DFF" w:rsidP="00321DFF">
            <w:pPr>
              <w:pStyle w:val="List"/>
            </w:pPr>
            <w:r w:rsidRPr="00321DFF">
              <w:t>2.5</w:t>
            </w:r>
            <w:r w:rsidRPr="00321DFF">
              <w:tab/>
            </w:r>
            <w:r w:rsidRPr="00321DFF">
              <w:rPr>
                <w:rStyle w:val="BoldandItalics"/>
              </w:rPr>
              <w:t>Role and responsibilities</w:t>
            </w:r>
            <w:r w:rsidRPr="00321DFF">
              <w:t xml:space="preserve"> </w:t>
            </w:r>
            <w:r w:rsidRPr="00321DFF">
              <w:rPr>
                <w:rStyle w:val="SpecialBold"/>
              </w:rPr>
              <w:t>of</w:t>
            </w:r>
            <w:r w:rsidRPr="00321DFF">
              <w:t xml:space="preserve"> </w:t>
            </w:r>
            <w:r w:rsidRPr="00321DFF">
              <w:rPr>
                <w:rStyle w:val="BoldandItalics"/>
              </w:rPr>
              <w:t>government agencies</w:t>
            </w:r>
            <w:r w:rsidRPr="00321DFF">
              <w:t xml:space="preserve"> and industry bodies are identified and explained in relation to agency practice.</w:t>
            </w:r>
          </w:p>
          <w:p w:rsidR="00000000" w:rsidRPr="00321DFF" w:rsidP="00321DFF">
            <w:pPr>
              <w:pStyle w:val="List"/>
            </w:pPr>
            <w:r w:rsidRPr="00321DFF">
              <w:t>2.6</w:t>
            </w:r>
            <w:r w:rsidRPr="00321DFF">
              <w:tab/>
              <w:t>Personal understand</w:t>
            </w:r>
            <w:r w:rsidRPr="00321DFF">
              <w:t>ing of legislative requirements is assessed and verified with relevant people.</w:t>
            </w:r>
          </w:p>
          <w:p w:rsidR="00000000" w:rsidP="00321DFF">
            <w:pPr>
              <w:pStyle w:val="List"/>
              <w:rPr>
                <w:lang w:val="en-NZ"/>
              </w:rPr>
            </w:pPr>
            <w:r w:rsidRPr="00321DFF">
              <w:t>2.7</w:t>
            </w:r>
            <w:r w:rsidRPr="00321DFF">
              <w:tab/>
              <w:t xml:space="preserve">Situations in which </w:t>
            </w:r>
            <w:r w:rsidRPr="00321DFF">
              <w:rPr>
                <w:rStyle w:val="BoldandItalics"/>
              </w:rPr>
              <w:t>specialist advice</w:t>
            </w:r>
            <w:r w:rsidRPr="00321DFF">
              <w:t xml:space="preserve"> is required are identified and sources of appropriate advice are determined in line with agency practice.</w:t>
            </w:r>
          </w:p>
        </w:tc>
      </w:tr>
      <w:tr w:rsidTr="00FE3F64">
        <w:tblPrEx>
          <w:tblW w:w="0" w:type="auto"/>
          <w:tblLayout w:type="fixed"/>
          <w:tblCellMar>
            <w:left w:w="62" w:type="dxa"/>
            <w:right w:w="62" w:type="dxa"/>
          </w:tblCellMar>
          <w:tblLook w:val="0000"/>
        </w:tblPrEx>
        <w:trPr>
          <w:gridAfter w:val="1"/>
          <w:wAfter w:w="18" w:type="dxa"/>
        </w:trPr>
        <w:tc>
          <w:tcPr>
            <w:tcW w:w="2970" w:type="dxa"/>
            <w:tcBorders>
              <w:top w:val="nil"/>
              <w:left w:val="nil"/>
              <w:bottom w:val="nil"/>
              <w:right w:val="nil"/>
            </w:tcBorders>
            <w:tcMar>
              <w:top w:w="0" w:type="dxa"/>
              <w:left w:w="62" w:type="dxa"/>
              <w:bottom w:w="0" w:type="dxa"/>
              <w:right w:w="62" w:type="dxa"/>
            </w:tcMar>
          </w:tcPr>
          <w:p w:rsidR="00000000" w:rsidP="00321DFF">
            <w:pPr>
              <w:pStyle w:val="List"/>
              <w:rPr>
                <w:lang w:val="en-NZ"/>
              </w:rPr>
            </w:pPr>
            <w:r w:rsidRPr="00321DFF">
              <w:rPr>
                <w:rStyle w:val="SpecialBold"/>
              </w:rPr>
              <w:t>3</w:t>
            </w:r>
            <w:r w:rsidRPr="00321DFF">
              <w:tab/>
            </w:r>
            <w:r w:rsidRPr="00321DFF">
              <w:rPr>
                <w:rStyle w:val="SpecialBold"/>
              </w:rPr>
              <w:t>Model ethical practice</w:t>
            </w:r>
            <w:r w:rsidRPr="00321DFF">
              <w:t>.</w:t>
            </w:r>
          </w:p>
        </w:tc>
        <w:tc>
          <w:tcPr>
            <w:tcW w:w="5580" w:type="dxa"/>
            <w:gridSpan w:val="2"/>
            <w:tcBorders>
              <w:top w:val="nil"/>
              <w:left w:val="nil"/>
              <w:bottom w:val="nil"/>
              <w:right w:val="nil"/>
            </w:tcBorders>
            <w:tcMar>
              <w:top w:w="0" w:type="dxa"/>
              <w:left w:w="62" w:type="dxa"/>
              <w:bottom w:w="0" w:type="dxa"/>
              <w:right w:w="62" w:type="dxa"/>
            </w:tcMar>
          </w:tcPr>
          <w:p w:rsidR="00000000" w:rsidRPr="00321DFF" w:rsidP="00321DFF">
            <w:pPr>
              <w:pStyle w:val="List"/>
            </w:pPr>
            <w:r w:rsidRPr="00321DFF">
              <w:t>3.1</w:t>
            </w:r>
            <w:r w:rsidRPr="00321DFF">
              <w:tab/>
            </w:r>
            <w:r w:rsidRPr="00321DFF">
              <w:rPr>
                <w:rStyle w:val="BoldandItalics"/>
              </w:rPr>
              <w:t>Ethical and conduct standards</w:t>
            </w:r>
            <w:r w:rsidRPr="00321DFF">
              <w:t>, including penalties for breaches, are identified and interpreted to ensure compliance with legislative requirements and industry and agency practice.</w:t>
            </w:r>
          </w:p>
          <w:p w:rsidR="00000000" w:rsidRPr="00321DFF" w:rsidP="00321DFF">
            <w:pPr>
              <w:pStyle w:val="List"/>
            </w:pPr>
            <w:r w:rsidRPr="00321DFF">
              <w:t>3.2</w:t>
            </w:r>
            <w:r w:rsidRPr="00321DFF">
              <w:tab/>
              <w:t>Agent's liability for breach of contract and negligence is identifi</w:t>
            </w:r>
            <w:r w:rsidRPr="00321DFF">
              <w:t>ed and explained in the context of legislative and agency requirements.</w:t>
            </w:r>
          </w:p>
          <w:p w:rsidR="00000000" w:rsidRPr="00321DFF" w:rsidP="00321DFF">
            <w:pPr>
              <w:pStyle w:val="List"/>
            </w:pPr>
            <w:r w:rsidRPr="00321DFF">
              <w:t>3.3</w:t>
            </w:r>
            <w:r w:rsidRPr="00321DFF">
              <w:tab/>
              <w:t>Personal understanding of ethics and conduct standards required for good agency practice is verified with relevant people to ensure compliance with legislative requirements and ind</w:t>
            </w:r>
            <w:r w:rsidRPr="00321DFF">
              <w:t>ustry and agency practice.</w:t>
            </w:r>
          </w:p>
          <w:p w:rsidR="00000000" w:rsidP="00321DFF">
            <w:pPr>
              <w:pStyle w:val="List"/>
              <w:rPr>
                <w:lang w:val="en-NZ"/>
              </w:rPr>
            </w:pPr>
            <w:r w:rsidRPr="00321DFF">
              <w:t>3.4</w:t>
            </w:r>
            <w:r w:rsidRPr="00321DFF">
              <w:tab/>
              <w:t>Situations in which specialist advice is required are identified and sources of appropriate advice are determined in line with legislative and agency requirements.</w:t>
            </w:r>
          </w:p>
        </w:tc>
      </w:tr>
      <w:tr w:rsidTr="00FE3F64">
        <w:tblPrEx>
          <w:tblW w:w="0" w:type="auto"/>
          <w:tblLayout w:type="fixed"/>
          <w:tblCellMar>
            <w:left w:w="62" w:type="dxa"/>
            <w:right w:w="62" w:type="dxa"/>
          </w:tblCellMar>
          <w:tblLook w:val="0000"/>
        </w:tblPrEx>
        <w:trPr>
          <w:gridAfter w:val="1"/>
          <w:wAfter w:w="18" w:type="dxa"/>
        </w:trPr>
        <w:tc>
          <w:tcPr>
            <w:tcW w:w="2970" w:type="dxa"/>
            <w:tcBorders>
              <w:top w:val="nil"/>
              <w:left w:val="nil"/>
              <w:bottom w:val="nil"/>
              <w:right w:val="nil"/>
            </w:tcBorders>
            <w:tcMar>
              <w:top w:w="0" w:type="dxa"/>
              <w:left w:w="62" w:type="dxa"/>
              <w:bottom w:w="0" w:type="dxa"/>
              <w:right w:w="62" w:type="dxa"/>
            </w:tcMar>
          </w:tcPr>
          <w:p w:rsidR="00000000" w:rsidP="00321DFF">
            <w:pPr>
              <w:pStyle w:val="List"/>
              <w:rPr>
                <w:lang w:val="en-NZ"/>
              </w:rPr>
            </w:pPr>
            <w:r w:rsidRPr="00321DFF">
              <w:rPr>
                <w:rStyle w:val="SpecialBold"/>
              </w:rPr>
              <w:t>4</w:t>
            </w:r>
            <w:r w:rsidRPr="00321DFF">
              <w:tab/>
            </w:r>
            <w:r w:rsidRPr="00321DFF">
              <w:rPr>
                <w:rStyle w:val="SpecialBold"/>
              </w:rPr>
              <w:t>Identify industry employment requirements</w:t>
            </w:r>
            <w:r w:rsidRPr="00321DFF">
              <w:t>.</w:t>
            </w:r>
          </w:p>
        </w:tc>
        <w:tc>
          <w:tcPr>
            <w:tcW w:w="5580" w:type="dxa"/>
            <w:gridSpan w:val="2"/>
            <w:tcBorders>
              <w:top w:val="nil"/>
              <w:left w:val="nil"/>
              <w:bottom w:val="nil"/>
              <w:right w:val="nil"/>
            </w:tcBorders>
            <w:tcMar>
              <w:top w:w="0" w:type="dxa"/>
              <w:left w:w="62" w:type="dxa"/>
              <w:bottom w:w="0" w:type="dxa"/>
              <w:right w:w="62" w:type="dxa"/>
            </w:tcMar>
          </w:tcPr>
          <w:p w:rsidR="00000000" w:rsidRPr="00321DFF" w:rsidP="00321DFF">
            <w:pPr>
              <w:pStyle w:val="List"/>
            </w:pPr>
            <w:r w:rsidRPr="00321DFF">
              <w:t>4.1</w:t>
            </w:r>
            <w:r w:rsidRPr="00321DFF">
              <w:tab/>
              <w:t xml:space="preserve">Industry </w:t>
            </w:r>
            <w:r w:rsidRPr="00321DFF">
              <w:rPr>
                <w:rStyle w:val="BoldandItalics"/>
              </w:rPr>
              <w:t>em</w:t>
            </w:r>
            <w:r w:rsidRPr="00321DFF">
              <w:rPr>
                <w:rStyle w:val="BoldandItalics"/>
              </w:rPr>
              <w:t>ployment requirements</w:t>
            </w:r>
            <w:r w:rsidRPr="00321DFF">
              <w:t xml:space="preserve"> are identified and interpreted to ensure compliance with legislative requirements and agency practice.</w:t>
            </w:r>
          </w:p>
          <w:p w:rsidR="00000000" w:rsidRPr="00321DFF" w:rsidP="00321DFF">
            <w:pPr>
              <w:pStyle w:val="List"/>
            </w:pPr>
            <w:r w:rsidRPr="00321DFF">
              <w:t>4.2</w:t>
            </w:r>
            <w:r w:rsidRPr="00321DFF">
              <w:tab/>
              <w:t>Employee and employer rights and responsibilities regarding conditions of employment are identified and interpreted to ensure c</w:t>
            </w:r>
            <w:r w:rsidRPr="00321DFF">
              <w:t>ompliance with legislative requirements and agency practice.</w:t>
            </w:r>
          </w:p>
          <w:p w:rsidR="00000000" w:rsidRPr="00321DFF" w:rsidP="00321DFF">
            <w:pPr>
              <w:pStyle w:val="List"/>
            </w:pPr>
            <w:r w:rsidRPr="00321DFF">
              <w:t>4.3</w:t>
            </w:r>
            <w:r w:rsidRPr="00321DFF">
              <w:tab/>
            </w:r>
            <w:r w:rsidRPr="00321DFF">
              <w:rPr>
                <w:rStyle w:val="BoldandItalics"/>
              </w:rPr>
              <w:t>Effective communication strategies</w:t>
            </w:r>
            <w:r w:rsidRPr="00321DFF">
              <w:t xml:space="preserve"> are employed to establish rapport with clients, ascertain client needs, and provide accurate advice and follow-up services in line with agency practice.</w:t>
            </w:r>
          </w:p>
          <w:p w:rsidR="00000000" w:rsidRPr="00321DFF" w:rsidP="00321DFF">
            <w:pPr>
              <w:pStyle w:val="List"/>
            </w:pPr>
            <w:r w:rsidRPr="00321DFF">
              <w:t>4.4</w:t>
            </w:r>
            <w:r w:rsidRPr="00321DFF">
              <w:tab/>
            </w:r>
            <w:r w:rsidRPr="00321DFF">
              <w:rPr>
                <w:rStyle w:val="BoldandItalics"/>
              </w:rPr>
              <w:t>Personal presentation and professional image</w:t>
            </w:r>
            <w:r w:rsidRPr="00321DFF">
              <w:t xml:space="preserve"> are assessed for compliance with industry and agency norms.</w:t>
            </w:r>
          </w:p>
          <w:p w:rsidR="00000000" w:rsidRPr="00321DFF" w:rsidP="00321DFF">
            <w:pPr>
              <w:pStyle w:val="List"/>
            </w:pPr>
            <w:r w:rsidRPr="00321DFF">
              <w:t>4.5</w:t>
            </w:r>
            <w:r w:rsidRPr="00321DFF">
              <w:tab/>
              <w:t>Personal knowledge and skills in providing stock and station agency services are assessed against industry competency standards and other relevant</w:t>
            </w:r>
            <w:r w:rsidRPr="00321DFF">
              <w:t xml:space="preserve"> benchmarks to determine continuing training needs and priorities.</w:t>
            </w:r>
          </w:p>
          <w:p w:rsidR="00000000" w:rsidRPr="00321DFF" w:rsidP="00321DFF">
            <w:pPr>
              <w:pStyle w:val="List"/>
            </w:pPr>
            <w:r w:rsidRPr="00321DFF">
              <w:t>4.6</w:t>
            </w:r>
            <w:r w:rsidRPr="00321DFF">
              <w:tab/>
              <w:t xml:space="preserve">Opportunities for continuing training to maintain currency of competence and develop specialist and advanced skills and knowledge in relation to stock and station agency operations are </w:t>
            </w:r>
            <w:r w:rsidRPr="00321DFF">
              <w:t>identified, planned and applied in line with agency practice.</w:t>
            </w:r>
          </w:p>
        </w:tc>
      </w:tr>
    </w:tbl>
    <w:p w:rsidR="00FE3F64" w:rsidP="00321DFF">
      <w:pPr>
        <w:pStyle w:val="BodyText"/>
      </w:pPr>
    </w:p>
    <w:p w:rsidR="00FE3F64" w:rsidP="00321DFF">
      <w:pPr>
        <w:pStyle w:val="BodyText"/>
      </w:pPr>
    </w:p>
    <w:p w:rsidR="00000000" w:rsidRPr="00321DFF" w:rsidP="00321DFF">
      <w:pPr>
        <w:pStyle w:val="Heading1"/>
      </w:pPr>
      <w:bookmarkStart w:id="9" w:name="O_258772"/>
      <w:bookmarkEnd w:id="9"/>
      <w:r w:rsidRPr="00321DFF">
        <w:t>Required Skills and Knowledge</w:t>
      </w:r>
    </w:p>
    <w:tbl>
      <w:tblPr>
        <w:tblW w:w="0" w:type="auto"/>
        <w:tblLayout w:type="fixed"/>
        <w:tblCellMar>
          <w:left w:w="62" w:type="dxa"/>
          <w:right w:w="62" w:type="dxa"/>
        </w:tblCellMar>
        <w:tblLook w:val="0000"/>
      </w:tblPr>
      <w:tblGrid>
        <w:gridCol w:w="8408"/>
        <w:gridCol w:w="8"/>
      </w:tblGrid>
      <w:tr w:rsidTr="00FE3F64">
        <w:tblPrEx>
          <w:tblW w:w="0" w:type="auto"/>
          <w:tblLayout w:type="fixed"/>
          <w:tblCellMar>
            <w:left w:w="62" w:type="dxa"/>
            <w:right w:w="62" w:type="dxa"/>
          </w:tblCellMar>
          <w:tblLook w:val="0000"/>
        </w:tblPrEx>
        <w:trPr>
          <w:tblHeader/>
        </w:trPr>
        <w:tc>
          <w:tcPr>
            <w:tcW w:w="8416" w:type="dxa"/>
            <w:gridSpan w:val="2"/>
            <w:tcBorders>
              <w:top w:val="nil"/>
              <w:left w:val="nil"/>
              <w:bottom w:val="nil"/>
              <w:right w:val="nil"/>
            </w:tcBorders>
            <w:tcMar>
              <w:top w:w="0" w:type="dxa"/>
              <w:left w:w="62" w:type="dxa"/>
              <w:bottom w:w="0" w:type="dxa"/>
              <w:right w:w="62" w:type="dxa"/>
            </w:tcMar>
          </w:tcPr>
          <w:p w:rsidR="00000000" w:rsidP="00321DFF">
            <w:pPr>
              <w:pStyle w:val="BodyText"/>
              <w:rPr>
                <w:lang w:val="en-NZ"/>
              </w:rPr>
            </w:pPr>
            <w:r w:rsidRPr="00321DFF">
              <w:rPr>
                <w:rStyle w:val="SpecialBold"/>
              </w:rPr>
              <w:t>REQUIRED SKILLS AND KNOWLEDGE</w:t>
            </w:r>
          </w:p>
        </w:tc>
      </w:tr>
      <w:tr w:rsidTr="00FE3F64">
        <w:tblPrEx>
          <w:tblW w:w="0" w:type="auto"/>
          <w:tblLayout w:type="fixed"/>
          <w:tblCellMar>
            <w:left w:w="62" w:type="dxa"/>
            <w:right w:w="62" w:type="dxa"/>
          </w:tblCellMar>
          <w:tblLook w:val="0000"/>
        </w:tblPrEx>
        <w:trPr>
          <w:gridAfter w:val="1"/>
          <w:wAfter w:w="8" w:type="dxa"/>
        </w:trPr>
        <w:tc>
          <w:tcPr>
            <w:tcW w:w="8408" w:type="dxa"/>
            <w:tcBorders>
              <w:top w:val="nil"/>
              <w:left w:val="nil"/>
              <w:bottom w:val="nil"/>
              <w:right w:val="nil"/>
            </w:tcBorders>
            <w:tcMar>
              <w:top w:w="0" w:type="dxa"/>
              <w:left w:w="62" w:type="dxa"/>
              <w:bottom w:w="0" w:type="dxa"/>
              <w:right w:w="62" w:type="dxa"/>
            </w:tcMar>
          </w:tcPr>
          <w:p w:rsidR="00000000" w:rsidP="00321DFF">
            <w:pPr>
              <w:pStyle w:val="BodyText"/>
              <w:rPr>
                <w:lang w:val="en-NZ"/>
              </w:rPr>
            </w:pPr>
            <w:r w:rsidRPr="00321DFF">
              <w:t>This section describes the essential skills and knowledge and their level, required for this unit.</w:t>
            </w:r>
          </w:p>
        </w:tc>
      </w:tr>
      <w:tr w:rsidTr="00FE3F64">
        <w:tblPrEx>
          <w:tblW w:w="0" w:type="auto"/>
          <w:tblLayout w:type="fixed"/>
          <w:tblCellMar>
            <w:left w:w="62" w:type="dxa"/>
            <w:right w:w="62" w:type="dxa"/>
          </w:tblCellMar>
          <w:tblLook w:val="0000"/>
        </w:tblPrEx>
        <w:trPr>
          <w:gridAfter w:val="1"/>
          <w:wAfter w:w="8" w:type="dxa"/>
        </w:trPr>
        <w:tc>
          <w:tcPr>
            <w:tcW w:w="8408" w:type="dxa"/>
            <w:tcBorders>
              <w:top w:val="nil"/>
              <w:left w:val="nil"/>
              <w:bottom w:val="nil"/>
              <w:right w:val="nil"/>
            </w:tcBorders>
            <w:tcMar>
              <w:top w:w="0" w:type="dxa"/>
              <w:left w:w="62" w:type="dxa"/>
              <w:bottom w:w="0" w:type="dxa"/>
              <w:right w:w="62" w:type="dxa"/>
            </w:tcMar>
          </w:tcPr>
          <w:p w:rsidR="00000000" w:rsidRPr="00321DFF" w:rsidP="00321DFF">
            <w:pPr>
              <w:pStyle w:val="BodyText"/>
            </w:pPr>
            <w:r w:rsidRPr="00321DFF">
              <w:rPr>
                <w:rStyle w:val="SpecialBold"/>
              </w:rPr>
              <w:t>Required skills</w:t>
            </w:r>
            <w:r w:rsidRPr="00321DFF">
              <w:t>:</w:t>
            </w:r>
          </w:p>
          <w:p w:rsidR="00000000" w:rsidRPr="00321DFF" w:rsidP="00321DFF">
            <w:pPr>
              <w:pStyle w:val="ListBullet"/>
            </w:pPr>
            <w:r w:rsidRPr="00321DFF">
              <w:t>ability to communicate with and relate to people from a range of social, economic and cultural backgrounds and with varying physical and mental abilities</w:t>
            </w:r>
          </w:p>
          <w:p w:rsidR="00000000" w:rsidRPr="00321DFF" w:rsidP="00321DFF">
            <w:pPr>
              <w:pStyle w:val="ListBullet"/>
            </w:pPr>
            <w:r w:rsidRPr="00321DFF">
              <w:t>analytical skills to interpret documents such as legislation, regulations, employmen</w:t>
            </w:r>
            <w:r w:rsidRPr="00321DFF">
              <w:t>t contracts and licensing requirements</w:t>
            </w:r>
          </w:p>
          <w:p w:rsidR="00000000" w:rsidRPr="00321DFF" w:rsidP="00321DFF">
            <w:pPr>
              <w:pStyle w:val="ListBullet"/>
            </w:pPr>
            <w:r w:rsidRPr="00321DFF">
              <w:t>application of risk management strategies associated with advising clients on matters to do with property sales and management, including livestock sales</w:t>
            </w:r>
          </w:p>
          <w:p w:rsidR="00000000" w:rsidRPr="00321DFF" w:rsidP="00321DFF">
            <w:pPr>
              <w:pStyle w:val="ListBullet"/>
            </w:pPr>
            <w:r w:rsidRPr="00321DFF">
              <w:t>computing skills to access agency databases, send and receive e</w:t>
            </w:r>
            <w:r w:rsidRPr="00321DFF">
              <w:t>mails and complete standard forms online</w:t>
            </w:r>
          </w:p>
          <w:p w:rsidR="00000000" w:rsidRPr="00321DFF" w:rsidP="00321DFF">
            <w:pPr>
              <w:pStyle w:val="ListBullet"/>
            </w:pPr>
            <w:r w:rsidRPr="00321DFF">
              <w:t>decision making and problem solving skills to analyse situations and make decisions consistent with legislative and ethical requirements</w:t>
            </w:r>
          </w:p>
          <w:p w:rsidR="00000000" w:rsidRPr="00321DFF" w:rsidP="00321DFF">
            <w:pPr>
              <w:pStyle w:val="ListBullet"/>
            </w:pPr>
            <w:r w:rsidRPr="00321DFF">
              <w:t>literacy skills to access and interpret a variety of texts, including legislat</w:t>
            </w:r>
            <w:r w:rsidRPr="00321DFF">
              <w:t>ion, regulations and rules of ethics; prepare general information, papers, formal and informal letters, advertisements, reports and applications; and complete standard forms</w:t>
            </w:r>
          </w:p>
          <w:p w:rsidR="00000000" w:rsidRPr="00321DFF" w:rsidP="00321DFF">
            <w:pPr>
              <w:pStyle w:val="ListBullet"/>
            </w:pPr>
            <w:r w:rsidRPr="00321DFF">
              <w:t>negotiation skills to assist clients on property sales and management, including m</w:t>
            </w:r>
            <w:r w:rsidRPr="00321DFF">
              <w:t>atters to do with livestock</w:t>
            </w:r>
          </w:p>
          <w:p w:rsidR="00000000" w:rsidRPr="00321DFF" w:rsidP="00321DFF">
            <w:pPr>
              <w:pStyle w:val="ListBullet"/>
            </w:pPr>
            <w:r w:rsidRPr="00321DFF">
              <w:t>numeracy skills to calculate and interpret data such as commissions and entitlements</w:t>
            </w:r>
          </w:p>
          <w:p w:rsidR="00000000" w:rsidRPr="00321DFF" w:rsidP="00321DFF">
            <w:pPr>
              <w:pStyle w:val="ListBullet"/>
            </w:pPr>
            <w:r w:rsidRPr="00321DFF">
              <w:t>planning, organising and scheduling skills to undertake work-related tasks such as inspecting properties and livestock</w:t>
            </w:r>
          </w:p>
          <w:p w:rsidR="00000000" w:rsidP="00321DFF">
            <w:pPr>
              <w:pStyle w:val="ListBullet"/>
              <w:rPr>
                <w:lang w:val="en-NZ"/>
              </w:rPr>
            </w:pPr>
            <w:r w:rsidRPr="00321DFF">
              <w:t>research skills to ident</w:t>
            </w:r>
            <w:r w:rsidRPr="00321DFF">
              <w:t>ify and source documents and information related to stock and station operations.</w:t>
            </w:r>
          </w:p>
        </w:tc>
      </w:tr>
      <w:tr w:rsidTr="00FE3F64">
        <w:tblPrEx>
          <w:tblW w:w="0" w:type="auto"/>
          <w:tblLayout w:type="fixed"/>
          <w:tblCellMar>
            <w:left w:w="62" w:type="dxa"/>
            <w:right w:w="62" w:type="dxa"/>
          </w:tblCellMar>
          <w:tblLook w:val="0000"/>
        </w:tblPrEx>
        <w:trPr>
          <w:gridAfter w:val="1"/>
          <w:wAfter w:w="8" w:type="dxa"/>
        </w:trPr>
        <w:tc>
          <w:tcPr>
            <w:tcW w:w="8408" w:type="dxa"/>
            <w:tcBorders>
              <w:top w:val="nil"/>
              <w:left w:val="nil"/>
              <w:bottom w:val="nil"/>
              <w:right w:val="nil"/>
            </w:tcBorders>
            <w:tcMar>
              <w:top w:w="0" w:type="dxa"/>
              <w:left w:w="62" w:type="dxa"/>
              <w:bottom w:w="0" w:type="dxa"/>
              <w:right w:w="62" w:type="dxa"/>
            </w:tcMar>
          </w:tcPr>
          <w:p w:rsidR="00000000" w:rsidRPr="00321DFF" w:rsidP="00321DFF">
            <w:pPr>
              <w:pStyle w:val="BodyText"/>
            </w:pPr>
            <w:r w:rsidRPr="00321DFF">
              <w:rPr>
                <w:rStyle w:val="SpecialBold"/>
              </w:rPr>
              <w:t>Required knowledge and understanding</w:t>
            </w:r>
            <w:r w:rsidRPr="00321DFF">
              <w:t>:</w:t>
            </w:r>
          </w:p>
          <w:p w:rsidR="00000000" w:rsidRPr="00321DFF" w:rsidP="00321DFF">
            <w:pPr>
              <w:pStyle w:val="ListBullet"/>
            </w:pPr>
            <w:r w:rsidRPr="00321DFF">
              <w:t>agency principal relationship</w:t>
            </w:r>
          </w:p>
          <w:p w:rsidR="00000000" w:rsidRPr="00321DFF" w:rsidP="00321DFF">
            <w:pPr>
              <w:pStyle w:val="ListBullet"/>
            </w:pPr>
            <w:r w:rsidRPr="00321DFF">
              <w:t>continued training needs for stock and station agents and stock and station representatives or certifica</w:t>
            </w:r>
            <w:r w:rsidRPr="00321DFF">
              <w:t>te holders</w:t>
            </w:r>
          </w:p>
          <w:p w:rsidR="00000000" w:rsidRPr="00321DFF" w:rsidP="00321DFF">
            <w:pPr>
              <w:pStyle w:val="ListBullet"/>
            </w:pPr>
            <w:r w:rsidRPr="00321DFF">
              <w:t>contract law in the stock and station agency industry, including agents' liability for breach of contract and negligence</w:t>
            </w:r>
          </w:p>
          <w:p w:rsidR="00000000" w:rsidRPr="00321DFF" w:rsidP="00321DFF">
            <w:pPr>
              <w:pStyle w:val="ListBullet"/>
            </w:pPr>
            <w:r w:rsidRPr="00321DFF">
              <w:t>employee and employer rights and responsibilities</w:t>
            </w:r>
          </w:p>
          <w:p w:rsidR="00000000" w:rsidRPr="00321DFF" w:rsidP="00321DFF">
            <w:pPr>
              <w:pStyle w:val="ListBullet"/>
            </w:pPr>
            <w:r w:rsidRPr="00321DFF">
              <w:t>ethical and conduct standards</w:t>
            </w:r>
          </w:p>
          <w:p w:rsidR="00000000" w:rsidRPr="00321DFF" w:rsidP="00321DFF">
            <w:pPr>
              <w:pStyle w:val="ListBullet"/>
            </w:pPr>
            <w:r w:rsidRPr="00321DFF">
              <w:t>features of good stock and station agency practice</w:t>
            </w:r>
          </w:p>
          <w:p w:rsidR="00000000" w:rsidRPr="00321DFF" w:rsidP="00321DFF">
            <w:pPr>
              <w:pStyle w:val="ListBullet"/>
            </w:pPr>
            <w:r w:rsidRPr="00321DFF">
              <w:t>forms of business ownership, organisational structure and services offered by stock and station agencies</w:t>
            </w:r>
          </w:p>
          <w:p w:rsidR="00000000" w:rsidRPr="00321DFF" w:rsidP="00321DFF">
            <w:pPr>
              <w:pStyle w:val="ListBullet"/>
            </w:pPr>
            <w:r w:rsidRPr="00321DFF">
              <w:t>key operations of stock and station agencies</w:t>
            </w:r>
          </w:p>
          <w:p w:rsidR="00000000" w:rsidRPr="00321DFF" w:rsidP="00321DFF">
            <w:pPr>
              <w:pStyle w:val="ListBullet"/>
            </w:pPr>
            <w:r w:rsidRPr="00321DFF">
              <w:t>key principles of consumer protection and privacy legis</w:t>
            </w:r>
            <w:r w:rsidRPr="00321DFF">
              <w:t>lation</w:t>
            </w:r>
          </w:p>
          <w:p w:rsidR="00000000" w:rsidRPr="00321DFF" w:rsidP="00321DFF">
            <w:pPr>
              <w:pStyle w:val="ListBullet"/>
            </w:pPr>
            <w:r w:rsidRPr="00321DFF">
              <w:t>legislative limitations on stock and station agency practice</w:t>
            </w:r>
          </w:p>
          <w:p w:rsidR="00000000" w:rsidRPr="00321DFF" w:rsidP="00321DFF">
            <w:pPr>
              <w:pStyle w:val="ListBullet"/>
            </w:pPr>
            <w:r w:rsidRPr="00321DFF">
              <w:t>licensing requirements for stock and station agents</w:t>
            </w:r>
          </w:p>
          <w:p w:rsidR="00000000" w:rsidRPr="00321DFF" w:rsidP="00321DFF">
            <w:pPr>
              <w:pStyle w:val="ListBullet"/>
            </w:pPr>
            <w:r w:rsidRPr="00321DFF">
              <w:t>nature of trust funds and legislative controls on trust funds</w:t>
            </w:r>
          </w:p>
          <w:p w:rsidR="00000000" w:rsidRPr="00321DFF" w:rsidP="00321DFF">
            <w:pPr>
              <w:pStyle w:val="ListBullet"/>
            </w:pPr>
            <w:r w:rsidRPr="00321DFF">
              <w:t>offences and penalties under the legislative framework</w:t>
            </w:r>
          </w:p>
          <w:p w:rsidR="00000000" w:rsidRPr="00321DFF" w:rsidP="00321DFF">
            <w:pPr>
              <w:pStyle w:val="ListBullet"/>
            </w:pPr>
            <w:r w:rsidRPr="00321DFF">
              <w:t>relevant federal an</w:t>
            </w:r>
            <w:r w:rsidRPr="00321DFF">
              <w:t>d state or territory legislation and local government regulations related to:</w:t>
            </w:r>
          </w:p>
          <w:p w:rsidR="00000000" w:rsidRPr="00321DFF" w:rsidP="00321DFF">
            <w:pPr>
              <w:pStyle w:val="ListBullet2"/>
            </w:pPr>
            <w:r w:rsidRPr="00321DFF">
              <w:t>animal health</w:t>
            </w:r>
          </w:p>
          <w:p w:rsidR="00000000" w:rsidRPr="00321DFF" w:rsidP="00321DFF">
            <w:pPr>
              <w:pStyle w:val="ListBullet2"/>
            </w:pPr>
            <w:r w:rsidRPr="00321DFF">
              <w:t>anti-discrimination</w:t>
            </w:r>
          </w:p>
          <w:p w:rsidR="00000000" w:rsidRPr="00321DFF" w:rsidP="00321DFF">
            <w:pPr>
              <w:pStyle w:val="ListBullet2"/>
            </w:pPr>
            <w:r w:rsidRPr="00321DFF">
              <w:t>aquaculture</w:t>
            </w:r>
          </w:p>
          <w:p w:rsidR="00000000" w:rsidRPr="00321DFF" w:rsidP="00321DFF">
            <w:pPr>
              <w:pStyle w:val="ListBullet2"/>
            </w:pPr>
            <w:r w:rsidRPr="00321DFF">
              <w:t>consumer protection</w:t>
            </w:r>
          </w:p>
          <w:p w:rsidR="00000000" w:rsidRPr="00321DFF" w:rsidP="00321DFF">
            <w:pPr>
              <w:pStyle w:val="ListBullet2"/>
            </w:pPr>
            <w:r w:rsidRPr="00321DFF">
              <w:t>crown land</w:t>
            </w:r>
          </w:p>
          <w:p w:rsidR="00000000" w:rsidRPr="00321DFF" w:rsidP="00321DFF">
            <w:pPr>
              <w:pStyle w:val="ListBullet2"/>
            </w:pPr>
            <w:r w:rsidRPr="00321DFF">
              <w:t>environmental issues</w:t>
            </w:r>
          </w:p>
          <w:p w:rsidR="00000000" w:rsidRPr="00321DFF" w:rsidP="00321DFF">
            <w:pPr>
              <w:pStyle w:val="ListBullet2"/>
            </w:pPr>
            <w:r w:rsidRPr="00321DFF">
              <w:t>equal employment opportunity (EEO)</w:t>
            </w:r>
          </w:p>
          <w:p w:rsidR="00000000" w:rsidRPr="00321DFF" w:rsidP="00321DFF">
            <w:pPr>
              <w:pStyle w:val="ListBullet2"/>
            </w:pPr>
            <w:r w:rsidRPr="00321DFF">
              <w:t>financial probity</w:t>
            </w:r>
          </w:p>
          <w:p w:rsidR="00000000" w:rsidRPr="00321DFF" w:rsidP="00321DFF">
            <w:pPr>
              <w:pStyle w:val="ListBullet2"/>
            </w:pPr>
            <w:r w:rsidRPr="00321DFF">
              <w:t>franchises and business structure</w:t>
            </w:r>
          </w:p>
          <w:p w:rsidR="00000000" w:rsidRPr="00321DFF" w:rsidP="00321DFF">
            <w:pPr>
              <w:pStyle w:val="ListBullet2"/>
            </w:pPr>
            <w:r w:rsidRPr="00321DFF">
              <w:t>industrial relations</w:t>
            </w:r>
          </w:p>
          <w:p w:rsidR="00000000" w:rsidRPr="00321DFF" w:rsidP="00321DFF">
            <w:pPr>
              <w:pStyle w:val="ListBullet2"/>
            </w:pPr>
            <w:r w:rsidRPr="00321DFF">
              <w:t>livestock</w:t>
            </w:r>
          </w:p>
          <w:p w:rsidR="00000000" w:rsidRPr="00321DFF" w:rsidP="00321DFF">
            <w:pPr>
              <w:pStyle w:val="ListBullet2"/>
            </w:pPr>
            <w:r w:rsidRPr="00321DFF">
              <w:t>native title</w:t>
            </w:r>
          </w:p>
          <w:p w:rsidR="00000000" w:rsidRPr="00321DFF" w:rsidP="00321DFF">
            <w:pPr>
              <w:pStyle w:val="ListBullet2"/>
            </w:pPr>
            <w:r w:rsidRPr="00321DFF">
              <w:t>OHS</w:t>
            </w:r>
          </w:p>
          <w:p w:rsidR="00000000" w:rsidRPr="00321DFF" w:rsidP="00321DFF">
            <w:pPr>
              <w:pStyle w:val="ListBullet2"/>
            </w:pPr>
            <w:r w:rsidRPr="00321DFF">
              <w:t>privacy</w:t>
            </w:r>
          </w:p>
          <w:p w:rsidR="00000000" w:rsidRPr="00321DFF" w:rsidP="00321DFF">
            <w:pPr>
              <w:pStyle w:val="ListBullet2"/>
            </w:pPr>
            <w:r w:rsidRPr="00321DFF">
              <w:t>rural property sales, leasing and management</w:t>
            </w:r>
          </w:p>
          <w:p w:rsidR="00000000" w:rsidRPr="00321DFF" w:rsidP="00321DFF">
            <w:pPr>
              <w:pStyle w:val="ListBullet2"/>
            </w:pPr>
            <w:r w:rsidRPr="00321DFF">
              <w:t>taxation</w:t>
            </w:r>
          </w:p>
          <w:p w:rsidR="00000000" w:rsidRPr="00321DFF" w:rsidP="00321DFF">
            <w:pPr>
              <w:pStyle w:val="ListBullet2"/>
            </w:pPr>
            <w:r w:rsidRPr="00321DFF">
              <w:t>water rights</w:t>
            </w:r>
          </w:p>
          <w:p w:rsidR="00000000" w:rsidRPr="00321DFF" w:rsidP="00321DFF">
            <w:pPr>
              <w:pStyle w:val="ListBullet"/>
            </w:pPr>
            <w:r w:rsidRPr="00321DFF">
              <w:t>risk management</w:t>
            </w:r>
          </w:p>
          <w:p w:rsidR="00000000" w:rsidRPr="00321DFF" w:rsidP="00321DFF">
            <w:pPr>
              <w:pStyle w:val="ListBullet"/>
            </w:pPr>
            <w:r w:rsidRPr="00321DFF">
              <w:t>roles and functions of industry bodies</w:t>
            </w:r>
          </w:p>
          <w:p w:rsidR="00000000" w:rsidRPr="00321DFF" w:rsidP="00321DFF">
            <w:pPr>
              <w:pStyle w:val="ListBullet"/>
            </w:pPr>
            <w:r w:rsidRPr="00321DFF">
              <w:t>roles and functions of government regulatory agencies</w:t>
            </w:r>
          </w:p>
          <w:p w:rsidR="00000000" w:rsidRPr="00321DFF" w:rsidP="00321DFF">
            <w:pPr>
              <w:pStyle w:val="ListBullet"/>
            </w:pPr>
            <w:r w:rsidRPr="00321DFF">
              <w:t>sources of specialist advice relating to stock and station operations.</w:t>
            </w:r>
          </w:p>
        </w:tc>
      </w:tr>
    </w:tbl>
    <w:p w:rsidR="00FE3F64" w:rsidP="00321DFF">
      <w:pPr>
        <w:pStyle w:val="BodyText"/>
      </w:pPr>
    </w:p>
    <w:p w:rsidR="00FE3F64" w:rsidP="00321DFF">
      <w:pPr>
        <w:pStyle w:val="BodyText"/>
      </w:pPr>
    </w:p>
    <w:p w:rsidR="00000000" w:rsidRPr="00321DFF" w:rsidP="00321DFF">
      <w:pPr>
        <w:pStyle w:val="Heading1"/>
      </w:pPr>
      <w:bookmarkStart w:id="10" w:name="O_242806"/>
      <w:bookmarkEnd w:id="10"/>
      <w:r w:rsidRPr="00321DFF">
        <w:t>Evidence Guide</w:t>
      </w:r>
    </w:p>
    <w:p w:rsidR="00000000" w:rsidRPr="00321DFF" w:rsidP="00321DFF">
      <w:pPr>
        <w:pStyle w:val="BodyText"/>
      </w:pPr>
      <w:r w:rsidRPr="00321DFF">
        <w:rPr>
          <w:rStyle w:val="SpecialBold"/>
        </w:rPr>
        <w:t>EVIDENCE GUIDE</w:t>
      </w:r>
    </w:p>
    <w:p w:rsidR="00000000" w:rsidRPr="00321DFF" w:rsidP="00321DFF">
      <w:pPr>
        <w:pStyle w:val="BodyText"/>
      </w:pPr>
      <w:r w:rsidRPr="00321DFF">
        <w:t xml:space="preserve">The evidence guide provides advice on assessment and must be read in conjunction </w:t>
      </w:r>
      <w:r w:rsidRPr="00321DFF">
        <w:t>with the performance criteria, required skills and knowledge, the range statement and the Assessment Guidelines for this Training Package.</w:t>
      </w:r>
    </w:p>
    <w:tbl>
      <w:tblPr>
        <w:tblW w:w="0" w:type="auto"/>
        <w:tblLayout w:type="fixed"/>
        <w:tblCellMar>
          <w:left w:w="62" w:type="dxa"/>
          <w:right w:w="62" w:type="dxa"/>
        </w:tblCellMar>
        <w:tblLook w:val="0000"/>
      </w:tblPr>
      <w:tblGrid>
        <w:gridCol w:w="3023"/>
        <w:gridCol w:w="5760"/>
      </w:tblGrid>
      <w:tr w:rsidTr="00FE3F64">
        <w:tblPrEx>
          <w:tblW w:w="0" w:type="auto"/>
          <w:tblLayout w:type="fixed"/>
          <w:tblCellMar>
            <w:left w:w="62" w:type="dxa"/>
            <w:right w:w="62" w:type="dxa"/>
          </w:tblCellMar>
          <w:tblLook w:val="0000"/>
        </w:tblPrEx>
        <w:tc>
          <w:tcPr>
            <w:tcW w:w="3023" w:type="dxa"/>
            <w:tcBorders>
              <w:top w:val="nil"/>
              <w:left w:val="nil"/>
              <w:bottom w:val="nil"/>
              <w:right w:val="nil"/>
            </w:tcBorders>
            <w:tcMar>
              <w:top w:w="0" w:type="dxa"/>
              <w:left w:w="62" w:type="dxa"/>
              <w:bottom w:w="0" w:type="dxa"/>
              <w:right w:w="62" w:type="dxa"/>
            </w:tcMar>
          </w:tcPr>
          <w:p w:rsidR="00000000" w:rsidP="00321DFF">
            <w:pPr>
              <w:pStyle w:val="BodyText"/>
              <w:rPr>
                <w:lang w:val="en-NZ"/>
              </w:rPr>
            </w:pPr>
            <w:r w:rsidRPr="00321DFF">
              <w:rPr>
                <w:rStyle w:val="SpecialBold"/>
              </w:rPr>
              <w:t>Overview of assessment</w:t>
            </w:r>
          </w:p>
        </w:tc>
        <w:tc>
          <w:tcPr>
            <w:tcW w:w="5760" w:type="dxa"/>
            <w:tcBorders>
              <w:top w:val="nil"/>
              <w:left w:val="nil"/>
              <w:bottom w:val="nil"/>
              <w:right w:val="nil"/>
            </w:tcBorders>
            <w:tcMar>
              <w:top w:w="0" w:type="dxa"/>
              <w:left w:w="62" w:type="dxa"/>
              <w:bottom w:w="0" w:type="dxa"/>
              <w:right w:w="62" w:type="dxa"/>
            </w:tcMar>
          </w:tcPr>
          <w:p w:rsidR="00000000" w:rsidP="00321DFF">
            <w:pPr>
              <w:pStyle w:val="BodyText"/>
              <w:rPr>
                <w:lang w:val="en-NZ"/>
              </w:rPr>
            </w:pPr>
            <w:r w:rsidRPr="00321DFF">
              <w:t>This unit of competency could be assessed through case studies and targeted written (including</w:t>
            </w:r>
            <w:r w:rsidRPr="00321DFF">
              <w:t xml:space="preserve"> alternative formats where necessary) or verbal questioning to assess the candidate's knowledge. This would include collecting evidence of the candidate's knowledge and application of ethical standards and relevant federal and state or territory legislatio</w:t>
            </w:r>
            <w:r w:rsidRPr="00321DFF">
              <w:t>n and regulations. This assessment may be carried out in a simulated or workplace environment.</w:t>
            </w:r>
          </w:p>
        </w:tc>
      </w:tr>
      <w:tr w:rsidTr="00FE3F64">
        <w:tblPrEx>
          <w:tblW w:w="0" w:type="auto"/>
          <w:tblLayout w:type="fixed"/>
          <w:tblCellMar>
            <w:left w:w="62" w:type="dxa"/>
            <w:right w:w="62" w:type="dxa"/>
          </w:tblCellMar>
          <w:tblLook w:val="0000"/>
        </w:tblPrEx>
        <w:tc>
          <w:tcPr>
            <w:tcW w:w="3023" w:type="dxa"/>
            <w:tcBorders>
              <w:top w:val="nil"/>
              <w:left w:val="nil"/>
              <w:bottom w:val="nil"/>
              <w:right w:val="nil"/>
            </w:tcBorders>
            <w:tcMar>
              <w:top w:w="0" w:type="dxa"/>
              <w:left w:w="62" w:type="dxa"/>
              <w:bottom w:w="0" w:type="dxa"/>
              <w:right w:w="62" w:type="dxa"/>
            </w:tcMar>
          </w:tcPr>
          <w:p w:rsidR="00000000" w:rsidP="00321DFF">
            <w:pPr>
              <w:pStyle w:val="BodyText"/>
              <w:rPr>
                <w:lang w:val="en-NZ"/>
              </w:rPr>
            </w:pPr>
            <w:r w:rsidRPr="00321DFF">
              <w:rPr>
                <w:rStyle w:val="SpecialBold"/>
              </w:rPr>
              <w:t>Critical aspects for assessment and evidence required to demonstrate competency in this unit</w:t>
            </w:r>
          </w:p>
        </w:tc>
        <w:tc>
          <w:tcPr>
            <w:tcW w:w="5760" w:type="dxa"/>
            <w:tcBorders>
              <w:top w:val="nil"/>
              <w:left w:val="nil"/>
              <w:bottom w:val="nil"/>
              <w:right w:val="nil"/>
            </w:tcBorders>
            <w:tcMar>
              <w:top w:w="0" w:type="dxa"/>
              <w:left w:w="62" w:type="dxa"/>
              <w:bottom w:w="0" w:type="dxa"/>
              <w:right w:w="62" w:type="dxa"/>
            </w:tcMar>
          </w:tcPr>
          <w:p w:rsidR="00000000" w:rsidRPr="00321DFF" w:rsidP="00321DFF">
            <w:pPr>
              <w:pStyle w:val="BodyText"/>
            </w:pPr>
            <w:r w:rsidRPr="00321DFF">
              <w:t>A person who demonstrates competency in this unit must be able to provide evidence of:</w:t>
            </w:r>
          </w:p>
          <w:p w:rsidR="00000000" w:rsidRPr="00321DFF" w:rsidP="00321DFF">
            <w:pPr>
              <w:pStyle w:val="ListBullet"/>
            </w:pPr>
            <w:r w:rsidRPr="00321DFF">
              <w:t>knowledge of the ethical and conduct standards relevant to licensed stock and station agents, stock and station representatives or certificate holders, and support staf</w:t>
            </w:r>
            <w:r w:rsidRPr="00321DFF">
              <w:t>f</w:t>
            </w:r>
          </w:p>
          <w:p w:rsidR="00000000" w:rsidRPr="00321DFF" w:rsidP="00321DFF">
            <w:pPr>
              <w:pStyle w:val="ListBullet"/>
            </w:pPr>
            <w:r w:rsidRPr="00321DFF">
              <w:t>knowledge of the key operations of stock and station agencies</w:t>
            </w:r>
          </w:p>
          <w:p w:rsidR="00000000" w:rsidRPr="00321DFF" w:rsidP="00321DFF">
            <w:pPr>
              <w:pStyle w:val="ListBullet"/>
            </w:pPr>
            <w:r w:rsidRPr="00321DFF">
              <w:t>knowledge of the roles and responsibilities of agency personnel</w:t>
            </w:r>
          </w:p>
          <w:p w:rsidR="00000000" w:rsidRPr="00321DFF" w:rsidP="00321DFF">
            <w:pPr>
              <w:pStyle w:val="ListBullet"/>
            </w:pPr>
            <w:r w:rsidRPr="00321DFF">
              <w:t xml:space="preserve">knowledge of legislation and the regulatory framework relevant to stock and station agencies, including the roles and functions </w:t>
            </w:r>
            <w:r w:rsidRPr="00321DFF">
              <w:t>of government regulatory agencies and industry bodies</w:t>
            </w:r>
          </w:p>
          <w:p w:rsidR="00000000" w:rsidRPr="00321DFF" w:rsidP="00321DFF">
            <w:pPr>
              <w:pStyle w:val="ListBullet"/>
            </w:pPr>
            <w:r w:rsidRPr="00321DFF">
              <w:t>knowledge of the key principles of consumer protection and privacy legislation</w:t>
            </w:r>
          </w:p>
          <w:p w:rsidR="00000000" w:rsidRPr="00321DFF" w:rsidP="00321DFF">
            <w:pPr>
              <w:pStyle w:val="ListBullet"/>
            </w:pPr>
            <w:r w:rsidRPr="00321DFF">
              <w:t>knowledge of the agency principal relationship</w:t>
            </w:r>
          </w:p>
          <w:p w:rsidR="00000000" w:rsidRPr="00321DFF" w:rsidP="00321DFF">
            <w:pPr>
              <w:pStyle w:val="ListBullet"/>
            </w:pPr>
            <w:r w:rsidRPr="00321DFF">
              <w:t>knowledge of employment requirements for stock and station agents, including</w:t>
            </w:r>
            <w:r w:rsidRPr="00321DFF">
              <w:t xml:space="preserve"> the rights and responsibilities of employers and employees</w:t>
            </w:r>
          </w:p>
          <w:p w:rsidR="00000000" w:rsidP="00321DFF">
            <w:pPr>
              <w:pStyle w:val="ListBullet"/>
              <w:rPr>
                <w:lang w:val="en-NZ"/>
              </w:rPr>
            </w:pPr>
            <w:r w:rsidRPr="00321DFF">
              <w:t>knowledge of the licensing and eligibility requirements for stock and station agents and other employees, including offences and penalties.</w:t>
            </w:r>
          </w:p>
        </w:tc>
      </w:tr>
      <w:tr w:rsidTr="00FE3F64">
        <w:tblPrEx>
          <w:tblW w:w="0" w:type="auto"/>
          <w:tblLayout w:type="fixed"/>
          <w:tblCellMar>
            <w:left w:w="62" w:type="dxa"/>
            <w:right w:w="62" w:type="dxa"/>
          </w:tblCellMar>
          <w:tblLook w:val="0000"/>
        </w:tblPrEx>
        <w:tc>
          <w:tcPr>
            <w:tcW w:w="3023" w:type="dxa"/>
            <w:tcBorders>
              <w:top w:val="nil"/>
              <w:left w:val="nil"/>
              <w:bottom w:val="nil"/>
              <w:right w:val="nil"/>
            </w:tcBorders>
            <w:tcMar>
              <w:top w:w="0" w:type="dxa"/>
              <w:left w:w="62" w:type="dxa"/>
              <w:bottom w:w="0" w:type="dxa"/>
              <w:right w:w="62" w:type="dxa"/>
            </w:tcMar>
          </w:tcPr>
          <w:p w:rsidR="00000000" w:rsidP="00321DFF">
            <w:pPr>
              <w:pStyle w:val="BodyText"/>
              <w:rPr>
                <w:lang w:val="en-NZ"/>
              </w:rPr>
            </w:pPr>
            <w:r w:rsidRPr="00321DFF">
              <w:rPr>
                <w:rStyle w:val="SpecialBold"/>
              </w:rPr>
              <w:t>Context of and specific resources for assessment</w:t>
            </w:r>
          </w:p>
        </w:tc>
        <w:tc>
          <w:tcPr>
            <w:tcW w:w="5760" w:type="dxa"/>
            <w:tcBorders>
              <w:top w:val="nil"/>
              <w:left w:val="nil"/>
              <w:bottom w:val="nil"/>
              <w:right w:val="nil"/>
            </w:tcBorders>
            <w:tcMar>
              <w:top w:w="0" w:type="dxa"/>
              <w:left w:w="62" w:type="dxa"/>
              <w:bottom w:w="0" w:type="dxa"/>
              <w:right w:w="62" w:type="dxa"/>
            </w:tcMar>
          </w:tcPr>
          <w:p w:rsidR="00000000" w:rsidRPr="00321DFF" w:rsidP="00321DFF">
            <w:pPr>
              <w:pStyle w:val="BodyText"/>
            </w:pPr>
            <w:r w:rsidRPr="00321DFF">
              <w:t>Resour</w:t>
            </w:r>
            <w:r w:rsidRPr="00321DFF">
              <w:t>ce implications for assessment include:</w:t>
            </w:r>
          </w:p>
          <w:p w:rsidR="00000000" w:rsidRPr="00321DFF" w:rsidP="00321DFF">
            <w:pPr>
              <w:pStyle w:val="ListBullet"/>
            </w:pPr>
            <w:r w:rsidRPr="00321DFF">
              <w:t>access to suitable simulated or real opportunities and resources to demonstrate competence</w:t>
            </w:r>
          </w:p>
          <w:p w:rsidR="00000000" w:rsidRPr="00321DFF" w:rsidP="00321DFF">
            <w:pPr>
              <w:pStyle w:val="ListBullet"/>
            </w:pPr>
            <w:r w:rsidRPr="00321DFF">
              <w:t>assessment instruments that may include personal planner and assessment record book</w:t>
            </w:r>
          </w:p>
          <w:p w:rsidR="00000000" w:rsidRPr="00321DFF" w:rsidP="00321DFF">
            <w:pPr>
              <w:pStyle w:val="ListBullet"/>
            </w:pPr>
            <w:r w:rsidRPr="00321DFF">
              <w:t>access to a registered provider of assessment services.</w:t>
            </w:r>
          </w:p>
          <w:p w:rsidR="00000000" w:rsidRPr="00321DFF" w:rsidP="00321DFF">
            <w:pPr>
              <w:pStyle w:val="BodyText"/>
            </w:pPr>
            <w:r w:rsidRPr="00321DFF">
              <w:t>Where applicable, physical resources should include equipment modified for people with disabilities.</w:t>
            </w:r>
          </w:p>
          <w:p w:rsidR="00000000" w:rsidRPr="00321DFF" w:rsidP="00321DFF">
            <w:pPr>
              <w:pStyle w:val="BodyText"/>
            </w:pPr>
            <w:r w:rsidRPr="00321DFF">
              <w:t>Access must be provided to appropriate learning and/or assessment support when required.</w:t>
            </w:r>
          </w:p>
          <w:p w:rsidR="00000000" w:rsidRPr="00321DFF" w:rsidP="00321DFF">
            <w:pPr>
              <w:pStyle w:val="BodyText"/>
            </w:pPr>
            <w:r w:rsidRPr="00321DFF">
              <w:t>Assessment</w:t>
            </w:r>
            <w:r w:rsidRPr="00321DFF">
              <w:t xml:space="preserve"> processes and techniques must be culturally appropriate, and appropriate to the language and literacy capacity of the candidate and the work being performed.</w:t>
            </w:r>
          </w:p>
          <w:p w:rsidR="00000000" w:rsidRPr="00321DFF" w:rsidP="00321DFF">
            <w:pPr>
              <w:pStyle w:val="BodyText"/>
            </w:pPr>
            <w:r w:rsidRPr="00321DFF">
              <w:t>Validity and sufficiency of evidence require that:</w:t>
            </w:r>
          </w:p>
          <w:p w:rsidR="00000000" w:rsidRPr="00321DFF" w:rsidP="00321DFF">
            <w:pPr>
              <w:pStyle w:val="ListBullet"/>
            </w:pPr>
            <w:r w:rsidRPr="00321DFF">
              <w:t xml:space="preserve">competency will need to be demonstrated over </w:t>
            </w:r>
            <w:r w:rsidRPr="00321DFF">
              <w:t>a period of time reflecting the scope of the role and the practical requirements of the workplace</w:t>
            </w:r>
          </w:p>
          <w:p w:rsidR="00000000" w:rsidRPr="00321DFF" w:rsidP="00321DFF">
            <w:pPr>
              <w:pStyle w:val="ListBullet"/>
            </w:pPr>
            <w:r w:rsidRPr="00321DFF">
              <w:t>where the assessment is part of a structured learning experience the evidence collected must relate to a number of performances assessed at different points i</w:t>
            </w:r>
            <w:r w:rsidRPr="00321DFF">
              <w:t>n time and separated by further learning and practice with a decision of competence only taken at the point when the assessor has complete confidence in the person's competence</w:t>
            </w:r>
          </w:p>
          <w:p w:rsidR="00000000" w:rsidRPr="00321DFF" w:rsidP="00321DFF">
            <w:pPr>
              <w:pStyle w:val="ListBullet"/>
            </w:pPr>
            <w:r w:rsidRPr="00321DFF">
              <w:t xml:space="preserve">all assessment that is part of a structured learning experience must include a </w:t>
            </w:r>
            <w:r w:rsidRPr="00321DFF">
              <w:t>combination of direct, indirect and supplementary evidence</w:t>
            </w:r>
          </w:p>
          <w:p w:rsidR="00000000" w:rsidRPr="00321DFF" w:rsidP="00321DFF">
            <w:pPr>
              <w:pStyle w:val="ListBullet"/>
            </w:pPr>
            <w:r w:rsidRPr="00321DFF">
              <w:t>where assessment is for the purpose of recognition (RCC/RPL), the evidence provided will need to be current and show that it represents competency demonstrated over a period of time</w:t>
            </w:r>
          </w:p>
          <w:p w:rsidR="00000000" w:rsidRPr="00321DFF" w:rsidP="00321DFF">
            <w:pPr>
              <w:pStyle w:val="ListBullet"/>
            </w:pPr>
            <w:r w:rsidRPr="00321DFF">
              <w:t xml:space="preserve">assessment can </w:t>
            </w:r>
            <w:r w:rsidRPr="00321DFF">
              <w:t>be through simulated project-based activity and must include evidence relating to each of the elements in this unit.</w:t>
            </w:r>
          </w:p>
          <w:p w:rsidR="00000000" w:rsidRPr="00321DFF" w:rsidP="00321DFF">
            <w:pPr>
              <w:pStyle w:val="BodyText"/>
            </w:pPr>
            <w:r w:rsidRPr="00321DFF">
              <w:t>In all cases where practical assessment is used it will be combined with targeted questioning to assess the underpinning knowledge. Questio</w:t>
            </w:r>
            <w:r w:rsidRPr="00321DFF">
              <w:t>ning will be undertaken in such a manner as is appropriate to the language and literacy levels of the candidate and any cultural issues that may affect responses to the questions, and will reflect the requirements of the competency and the work being perfo</w:t>
            </w:r>
            <w:r w:rsidRPr="00321DFF">
              <w:t>rmed.</w:t>
            </w:r>
          </w:p>
        </w:tc>
      </w:tr>
    </w:tbl>
    <w:p w:rsidR="00FE3F64" w:rsidP="00321DFF">
      <w:pPr>
        <w:pStyle w:val="BodyText"/>
      </w:pPr>
    </w:p>
    <w:p w:rsidR="00FE3F64" w:rsidP="00321DFF">
      <w:pPr>
        <w:pStyle w:val="BodyText"/>
      </w:pPr>
    </w:p>
    <w:p w:rsidR="00000000" w:rsidRPr="00321DFF" w:rsidP="00321DFF">
      <w:pPr>
        <w:pStyle w:val="Heading1"/>
      </w:pPr>
      <w:bookmarkStart w:id="11" w:name="O_250789"/>
      <w:bookmarkEnd w:id="11"/>
      <w:r w:rsidRPr="00321DFF">
        <w:t>Range Statement</w:t>
      </w:r>
    </w:p>
    <w:p w:rsidR="00000000" w:rsidRPr="00321DFF" w:rsidP="00321DFF">
      <w:pPr>
        <w:pStyle w:val="BodyText"/>
      </w:pPr>
      <w:r w:rsidRPr="00321DFF">
        <w:rPr>
          <w:rStyle w:val="SpecialBold"/>
        </w:rPr>
        <w:t>RANGE STATEMENT</w:t>
      </w:r>
    </w:p>
    <w:p w:rsidR="00000000" w:rsidRPr="00321DFF" w:rsidP="00321DFF">
      <w:pPr>
        <w:pStyle w:val="BodyText"/>
      </w:pPr>
      <w:r w:rsidRPr="00321DFF">
        <w:t xml:space="preserve">The range statement relates to the unit of competency as a whole. It allows for different work environments and situations that may affect performance. </w:t>
      </w:r>
      <w:r w:rsidRPr="00321DFF">
        <w:rPr>
          <w:rStyle w:val="BoldandItalics"/>
        </w:rPr>
        <w:t>Bold italicised</w:t>
      </w:r>
      <w:r w:rsidRPr="00321DFF">
        <w:t xml:space="preserve"> wording in </w:t>
      </w:r>
      <w:r w:rsidRPr="00321DFF">
        <w:t>the performance criteria is detailed below. Add any essential operating conditions that may be present with training and assessment depending on the work situation, needs of the candidate, accessibility of the item, and local industry and regional contexts</w:t>
      </w:r>
      <w:r w:rsidRPr="00321DFF">
        <w:t>.</w:t>
      </w:r>
    </w:p>
    <w:tbl>
      <w:tblPr>
        <w:tblW w:w="0" w:type="auto"/>
        <w:tblLayout w:type="fixed"/>
        <w:tblCellMar>
          <w:left w:w="62" w:type="dxa"/>
          <w:right w:w="62" w:type="dxa"/>
        </w:tblCellMar>
        <w:tblLook w:val="0000"/>
      </w:tblPr>
      <w:tblGrid>
        <w:gridCol w:w="2966"/>
        <w:gridCol w:w="5760"/>
      </w:tblGrid>
      <w:tr w:rsidTr="00FE3F64">
        <w:tblPrEx>
          <w:tblW w:w="0" w:type="auto"/>
          <w:tblLayout w:type="fixed"/>
          <w:tblCellMar>
            <w:left w:w="62" w:type="dxa"/>
            <w:right w:w="62" w:type="dxa"/>
          </w:tblCellMar>
          <w:tblLook w:val="0000"/>
        </w:tblPrEx>
        <w:tc>
          <w:tcPr>
            <w:tcW w:w="2966" w:type="dxa"/>
            <w:tcBorders>
              <w:top w:val="nil"/>
              <w:left w:val="nil"/>
              <w:bottom w:val="nil"/>
              <w:right w:val="nil"/>
            </w:tcBorders>
            <w:tcMar>
              <w:top w:w="0" w:type="dxa"/>
              <w:left w:w="62" w:type="dxa"/>
              <w:bottom w:w="0" w:type="dxa"/>
              <w:right w:w="62" w:type="dxa"/>
            </w:tcMar>
          </w:tcPr>
          <w:p w:rsidR="00000000" w:rsidP="00321DFF">
            <w:pPr>
              <w:pStyle w:val="BodyText"/>
              <w:rPr>
                <w:lang w:val="en-NZ"/>
              </w:rPr>
            </w:pPr>
            <w:r w:rsidRPr="00321DFF">
              <w:rPr>
                <w:rStyle w:val="BoldandItalics"/>
              </w:rPr>
              <w:t>Legislative requirements</w:t>
            </w:r>
            <w:r w:rsidRPr="00321DFF">
              <w:t xml:space="preserve"> may include:</w:t>
            </w:r>
          </w:p>
        </w:tc>
        <w:tc>
          <w:tcPr>
            <w:tcW w:w="5760" w:type="dxa"/>
            <w:tcBorders>
              <w:top w:val="nil"/>
              <w:left w:val="nil"/>
              <w:bottom w:val="nil"/>
              <w:right w:val="nil"/>
            </w:tcBorders>
            <w:tcMar>
              <w:top w:w="0" w:type="dxa"/>
              <w:left w:w="62" w:type="dxa"/>
              <w:bottom w:w="0" w:type="dxa"/>
              <w:right w:w="62" w:type="dxa"/>
            </w:tcMar>
          </w:tcPr>
          <w:p w:rsidR="00000000" w:rsidRPr="00321DFF" w:rsidP="00321DFF">
            <w:pPr>
              <w:pStyle w:val="ListBullet"/>
            </w:pPr>
            <w:r w:rsidRPr="00321DFF">
              <w:t>relevant federal and state or territory legislation and local government regulations related to:</w:t>
            </w:r>
          </w:p>
          <w:p w:rsidR="00000000" w:rsidRPr="00321DFF" w:rsidP="00321DFF">
            <w:pPr>
              <w:pStyle w:val="ListBullet2"/>
            </w:pPr>
            <w:r w:rsidRPr="00321DFF">
              <w:t>animal health</w:t>
            </w:r>
          </w:p>
          <w:p w:rsidR="00000000" w:rsidRPr="00321DFF" w:rsidP="00321DFF">
            <w:pPr>
              <w:pStyle w:val="ListBullet2"/>
            </w:pPr>
            <w:r w:rsidRPr="00321DFF">
              <w:t>anti-discrimination</w:t>
            </w:r>
          </w:p>
          <w:p w:rsidR="00000000" w:rsidRPr="00321DFF" w:rsidP="00321DFF">
            <w:pPr>
              <w:pStyle w:val="ListBullet2"/>
            </w:pPr>
            <w:r w:rsidRPr="00321DFF">
              <w:t>aquaculture</w:t>
            </w:r>
          </w:p>
          <w:p w:rsidR="00000000" w:rsidRPr="00321DFF" w:rsidP="00321DFF">
            <w:pPr>
              <w:pStyle w:val="ListBullet2"/>
            </w:pPr>
            <w:r w:rsidRPr="00321DFF">
              <w:t>consumer protection</w:t>
            </w:r>
          </w:p>
          <w:p w:rsidR="00000000" w:rsidRPr="00321DFF" w:rsidP="00321DFF">
            <w:pPr>
              <w:pStyle w:val="ListBullet2"/>
            </w:pPr>
            <w:r w:rsidRPr="00321DFF">
              <w:t>crown land</w:t>
            </w:r>
          </w:p>
          <w:p w:rsidR="00000000" w:rsidRPr="00321DFF" w:rsidP="00321DFF">
            <w:pPr>
              <w:pStyle w:val="ListBullet2"/>
            </w:pPr>
            <w:r w:rsidRPr="00321DFF">
              <w:t>environmental issues</w:t>
            </w:r>
          </w:p>
          <w:p w:rsidR="00000000" w:rsidRPr="00321DFF" w:rsidP="00321DFF">
            <w:pPr>
              <w:pStyle w:val="ListBullet2"/>
            </w:pPr>
            <w:r w:rsidRPr="00321DFF">
              <w:t>EEO</w:t>
            </w:r>
          </w:p>
          <w:p w:rsidR="00000000" w:rsidRPr="00321DFF" w:rsidP="00321DFF">
            <w:pPr>
              <w:pStyle w:val="ListBullet2"/>
            </w:pPr>
            <w:r w:rsidRPr="00321DFF">
              <w:t>financial probity</w:t>
            </w:r>
          </w:p>
          <w:p w:rsidR="00000000" w:rsidRPr="00321DFF" w:rsidP="00321DFF">
            <w:pPr>
              <w:pStyle w:val="ListBullet2"/>
            </w:pPr>
            <w:r w:rsidRPr="00321DFF">
              <w:t>franchises and business structure</w:t>
            </w:r>
          </w:p>
          <w:p w:rsidR="00000000" w:rsidRPr="00321DFF" w:rsidP="00321DFF">
            <w:pPr>
              <w:pStyle w:val="ListBullet2"/>
            </w:pPr>
            <w:r w:rsidRPr="00321DFF">
              <w:t>industrial relations</w:t>
            </w:r>
          </w:p>
          <w:p w:rsidR="00000000" w:rsidRPr="00321DFF" w:rsidP="00321DFF">
            <w:pPr>
              <w:pStyle w:val="ListBullet2"/>
            </w:pPr>
            <w:r w:rsidRPr="00321DFF">
              <w:t>livestock</w:t>
            </w:r>
          </w:p>
          <w:p w:rsidR="00000000" w:rsidRPr="00321DFF" w:rsidP="00321DFF">
            <w:pPr>
              <w:pStyle w:val="ListBullet2"/>
            </w:pPr>
            <w:r w:rsidRPr="00321DFF">
              <w:t>native title</w:t>
            </w:r>
          </w:p>
          <w:p w:rsidR="00000000" w:rsidRPr="00321DFF" w:rsidP="00321DFF">
            <w:pPr>
              <w:pStyle w:val="ListBullet2"/>
            </w:pPr>
            <w:r w:rsidRPr="00321DFF">
              <w:t>OHS</w:t>
            </w:r>
          </w:p>
          <w:p w:rsidR="00000000" w:rsidRPr="00321DFF" w:rsidP="00321DFF">
            <w:pPr>
              <w:pStyle w:val="ListBullet2"/>
            </w:pPr>
            <w:r w:rsidRPr="00321DFF">
              <w:t>privacy</w:t>
            </w:r>
          </w:p>
          <w:p w:rsidR="00000000" w:rsidRPr="00321DFF" w:rsidP="00321DFF">
            <w:pPr>
              <w:pStyle w:val="ListBullet2"/>
            </w:pPr>
            <w:r w:rsidRPr="00321DFF">
              <w:t>rural property sales, leasing and management</w:t>
            </w:r>
          </w:p>
          <w:p w:rsidR="00000000" w:rsidRPr="00321DFF" w:rsidP="00321DFF">
            <w:pPr>
              <w:pStyle w:val="ListBullet2"/>
            </w:pPr>
            <w:r w:rsidRPr="00321DFF">
              <w:t>taxation</w:t>
            </w:r>
          </w:p>
          <w:p w:rsidR="00000000" w:rsidP="00321DFF">
            <w:pPr>
              <w:pStyle w:val="ListBullet2"/>
              <w:rPr>
                <w:lang w:val="en-NZ"/>
              </w:rPr>
            </w:pPr>
            <w:r w:rsidRPr="00321DFF">
              <w:t>water rights.</w:t>
            </w:r>
          </w:p>
        </w:tc>
      </w:tr>
      <w:tr w:rsidTr="00FE3F64">
        <w:tblPrEx>
          <w:tblW w:w="0" w:type="auto"/>
          <w:tblLayout w:type="fixed"/>
          <w:tblCellMar>
            <w:left w:w="62" w:type="dxa"/>
            <w:right w:w="62" w:type="dxa"/>
          </w:tblCellMar>
          <w:tblLook w:val="0000"/>
        </w:tblPrEx>
        <w:tc>
          <w:tcPr>
            <w:tcW w:w="2966" w:type="dxa"/>
            <w:tcBorders>
              <w:top w:val="nil"/>
              <w:left w:val="nil"/>
              <w:bottom w:val="nil"/>
              <w:right w:val="nil"/>
            </w:tcBorders>
            <w:tcMar>
              <w:top w:w="0" w:type="dxa"/>
              <w:left w:w="62" w:type="dxa"/>
              <w:bottom w:w="0" w:type="dxa"/>
              <w:right w:w="62" w:type="dxa"/>
            </w:tcMar>
          </w:tcPr>
          <w:p w:rsidR="00000000" w:rsidP="00321DFF">
            <w:pPr>
              <w:pStyle w:val="BodyText"/>
              <w:rPr>
                <w:lang w:val="en-NZ"/>
              </w:rPr>
            </w:pPr>
            <w:r w:rsidRPr="00321DFF">
              <w:rPr>
                <w:rStyle w:val="BoldandItalics"/>
              </w:rPr>
              <w:t>Key personnel</w:t>
            </w:r>
            <w:r w:rsidRPr="00321DFF">
              <w:t xml:space="preserve"> may include:</w:t>
            </w:r>
          </w:p>
        </w:tc>
        <w:tc>
          <w:tcPr>
            <w:tcW w:w="5760" w:type="dxa"/>
            <w:tcBorders>
              <w:top w:val="nil"/>
              <w:left w:val="nil"/>
              <w:bottom w:val="nil"/>
              <w:right w:val="nil"/>
            </w:tcBorders>
            <w:tcMar>
              <w:top w:w="0" w:type="dxa"/>
              <w:left w:w="62" w:type="dxa"/>
              <w:bottom w:w="0" w:type="dxa"/>
              <w:right w:w="62" w:type="dxa"/>
            </w:tcMar>
          </w:tcPr>
          <w:p w:rsidR="00000000" w:rsidRPr="00321DFF" w:rsidP="00321DFF">
            <w:pPr>
              <w:pStyle w:val="ListBullet"/>
            </w:pPr>
            <w:r w:rsidRPr="00321DFF">
              <w:t>licensed stock and station agents</w:t>
            </w:r>
          </w:p>
          <w:p w:rsidR="00000000" w:rsidRPr="00321DFF" w:rsidP="00321DFF">
            <w:pPr>
              <w:pStyle w:val="ListBullet"/>
            </w:pPr>
            <w:r w:rsidRPr="00321DFF">
              <w:t>stock and station representatives or certificate holders</w:t>
            </w:r>
          </w:p>
          <w:p w:rsidR="00000000" w:rsidP="00321DFF">
            <w:pPr>
              <w:pStyle w:val="ListBullet"/>
              <w:rPr>
                <w:lang w:val="en-NZ"/>
              </w:rPr>
            </w:pPr>
            <w:r w:rsidRPr="00321DFF">
              <w:t>support staff.</w:t>
            </w:r>
          </w:p>
        </w:tc>
      </w:tr>
      <w:tr w:rsidTr="00FE3F64">
        <w:tblPrEx>
          <w:tblW w:w="0" w:type="auto"/>
          <w:tblLayout w:type="fixed"/>
          <w:tblCellMar>
            <w:left w:w="62" w:type="dxa"/>
            <w:right w:w="62" w:type="dxa"/>
          </w:tblCellMar>
          <w:tblLook w:val="0000"/>
        </w:tblPrEx>
        <w:tc>
          <w:tcPr>
            <w:tcW w:w="2966" w:type="dxa"/>
            <w:tcBorders>
              <w:top w:val="nil"/>
              <w:left w:val="nil"/>
              <w:bottom w:val="nil"/>
              <w:right w:val="nil"/>
            </w:tcBorders>
            <w:tcMar>
              <w:top w:w="0" w:type="dxa"/>
              <w:left w:w="62" w:type="dxa"/>
              <w:bottom w:w="0" w:type="dxa"/>
              <w:right w:w="62" w:type="dxa"/>
            </w:tcMar>
          </w:tcPr>
          <w:p w:rsidR="00000000" w:rsidP="00321DFF">
            <w:pPr>
              <w:pStyle w:val="BodyText"/>
              <w:rPr>
                <w:lang w:val="en-NZ"/>
              </w:rPr>
            </w:pPr>
            <w:r w:rsidRPr="00321DFF">
              <w:rPr>
                <w:rStyle w:val="BoldandItalics"/>
              </w:rPr>
              <w:t>Key operations of stock and station agencies</w:t>
            </w:r>
            <w:r w:rsidRPr="00321DFF">
              <w:t xml:space="preserve"> may include:</w:t>
            </w:r>
          </w:p>
        </w:tc>
        <w:tc>
          <w:tcPr>
            <w:tcW w:w="5760" w:type="dxa"/>
            <w:tcBorders>
              <w:top w:val="nil"/>
              <w:left w:val="nil"/>
              <w:bottom w:val="nil"/>
              <w:right w:val="nil"/>
            </w:tcBorders>
            <w:tcMar>
              <w:top w:w="0" w:type="dxa"/>
              <w:left w:w="62" w:type="dxa"/>
              <w:bottom w:w="0" w:type="dxa"/>
              <w:right w:w="62" w:type="dxa"/>
            </w:tcMar>
          </w:tcPr>
          <w:p w:rsidR="00000000" w:rsidRPr="00321DFF" w:rsidP="00321DFF">
            <w:pPr>
              <w:pStyle w:val="ListBullet"/>
            </w:pPr>
            <w:r w:rsidRPr="00321DFF">
              <w:t>livestock sales</w:t>
            </w:r>
          </w:p>
          <w:p w:rsidR="00000000" w:rsidRPr="00321DFF" w:rsidP="00321DFF">
            <w:pPr>
              <w:pStyle w:val="ListBullet"/>
            </w:pPr>
            <w:r w:rsidRPr="00321DFF">
              <w:t>rural property management</w:t>
            </w:r>
          </w:p>
          <w:p w:rsidR="00000000" w:rsidRPr="00321DFF" w:rsidP="00321DFF">
            <w:pPr>
              <w:pStyle w:val="ListBullet"/>
            </w:pPr>
            <w:r w:rsidRPr="00321DFF">
              <w:t>rural property sales</w:t>
            </w:r>
          </w:p>
          <w:p w:rsidR="00000000" w:rsidP="00321DFF">
            <w:pPr>
              <w:pStyle w:val="ListBullet"/>
              <w:rPr>
                <w:lang w:val="en-NZ"/>
              </w:rPr>
            </w:pPr>
            <w:r w:rsidRPr="00321DFF">
              <w:t>sale of rural products.</w:t>
            </w:r>
          </w:p>
        </w:tc>
      </w:tr>
      <w:tr w:rsidTr="00FE3F64">
        <w:tblPrEx>
          <w:tblW w:w="0" w:type="auto"/>
          <w:tblLayout w:type="fixed"/>
          <w:tblCellMar>
            <w:left w:w="62" w:type="dxa"/>
            <w:right w:w="62" w:type="dxa"/>
          </w:tblCellMar>
          <w:tblLook w:val="0000"/>
        </w:tblPrEx>
        <w:tc>
          <w:tcPr>
            <w:tcW w:w="2966" w:type="dxa"/>
            <w:tcBorders>
              <w:top w:val="nil"/>
              <w:left w:val="nil"/>
              <w:bottom w:val="nil"/>
              <w:right w:val="nil"/>
            </w:tcBorders>
            <w:tcMar>
              <w:top w:w="0" w:type="dxa"/>
              <w:left w:w="62" w:type="dxa"/>
              <w:bottom w:w="0" w:type="dxa"/>
              <w:right w:w="62" w:type="dxa"/>
            </w:tcMar>
          </w:tcPr>
          <w:p w:rsidR="00000000" w:rsidP="00321DFF">
            <w:pPr>
              <w:pStyle w:val="BodyText"/>
              <w:rPr>
                <w:lang w:val="en-NZ"/>
              </w:rPr>
            </w:pPr>
            <w:r w:rsidRPr="00321DFF">
              <w:rPr>
                <w:rStyle w:val="BoldandItalics"/>
              </w:rPr>
              <w:t>Forms of business ownership</w:t>
            </w:r>
            <w:r w:rsidRPr="00321DFF">
              <w:t xml:space="preserve"> may incl</w:t>
            </w:r>
            <w:r w:rsidRPr="00321DFF">
              <w:t>ude:</w:t>
            </w:r>
          </w:p>
        </w:tc>
        <w:tc>
          <w:tcPr>
            <w:tcW w:w="5760" w:type="dxa"/>
            <w:tcBorders>
              <w:top w:val="nil"/>
              <w:left w:val="nil"/>
              <w:bottom w:val="nil"/>
              <w:right w:val="nil"/>
            </w:tcBorders>
            <w:tcMar>
              <w:top w:w="0" w:type="dxa"/>
              <w:left w:w="62" w:type="dxa"/>
              <w:bottom w:w="0" w:type="dxa"/>
              <w:right w:w="62" w:type="dxa"/>
            </w:tcMar>
          </w:tcPr>
          <w:p w:rsidR="00000000" w:rsidRPr="00321DFF" w:rsidP="00321DFF">
            <w:pPr>
              <w:pStyle w:val="ListBullet"/>
            </w:pPr>
            <w:r w:rsidRPr="00321DFF">
              <w:t>corporation</w:t>
            </w:r>
          </w:p>
          <w:p w:rsidR="00000000" w:rsidRPr="00321DFF" w:rsidP="00321DFF">
            <w:pPr>
              <w:pStyle w:val="ListBullet"/>
            </w:pPr>
            <w:r w:rsidRPr="00321DFF">
              <w:t>partnership</w:t>
            </w:r>
          </w:p>
          <w:p w:rsidR="00000000" w:rsidP="00321DFF">
            <w:pPr>
              <w:pStyle w:val="ListBullet"/>
              <w:rPr>
                <w:lang w:val="en-NZ"/>
              </w:rPr>
            </w:pPr>
            <w:r w:rsidRPr="00321DFF">
              <w:t>sole trader.</w:t>
            </w:r>
          </w:p>
        </w:tc>
      </w:tr>
      <w:tr w:rsidTr="00FE3F64">
        <w:tblPrEx>
          <w:tblW w:w="0" w:type="auto"/>
          <w:tblLayout w:type="fixed"/>
          <w:tblCellMar>
            <w:left w:w="62" w:type="dxa"/>
            <w:right w:w="62" w:type="dxa"/>
          </w:tblCellMar>
          <w:tblLook w:val="0000"/>
        </w:tblPrEx>
        <w:tc>
          <w:tcPr>
            <w:tcW w:w="2966" w:type="dxa"/>
            <w:tcBorders>
              <w:top w:val="nil"/>
              <w:left w:val="nil"/>
              <w:bottom w:val="nil"/>
              <w:right w:val="nil"/>
            </w:tcBorders>
            <w:tcMar>
              <w:top w:w="0" w:type="dxa"/>
              <w:left w:w="62" w:type="dxa"/>
              <w:bottom w:w="0" w:type="dxa"/>
              <w:right w:w="62" w:type="dxa"/>
            </w:tcMar>
          </w:tcPr>
          <w:p w:rsidR="00000000" w:rsidP="00321DFF">
            <w:pPr>
              <w:pStyle w:val="BodyText"/>
              <w:rPr>
                <w:lang w:val="en-NZ"/>
              </w:rPr>
            </w:pPr>
            <w:r w:rsidRPr="00321DFF">
              <w:rPr>
                <w:rStyle w:val="BoldandItalics"/>
              </w:rPr>
              <w:t>Organisational structure</w:t>
            </w:r>
            <w:r w:rsidRPr="00321DFF">
              <w:t xml:space="preserve"> of business may include:</w:t>
            </w:r>
          </w:p>
        </w:tc>
        <w:tc>
          <w:tcPr>
            <w:tcW w:w="5760" w:type="dxa"/>
            <w:tcBorders>
              <w:top w:val="nil"/>
              <w:left w:val="nil"/>
              <w:bottom w:val="nil"/>
              <w:right w:val="nil"/>
            </w:tcBorders>
            <w:tcMar>
              <w:top w:w="0" w:type="dxa"/>
              <w:left w:w="62" w:type="dxa"/>
              <w:bottom w:w="0" w:type="dxa"/>
              <w:right w:w="62" w:type="dxa"/>
            </w:tcMar>
          </w:tcPr>
          <w:p w:rsidR="00000000" w:rsidRPr="00321DFF" w:rsidP="00321DFF">
            <w:pPr>
              <w:pStyle w:val="ListBullet"/>
            </w:pPr>
            <w:r w:rsidRPr="00321DFF">
              <w:t>franchise group</w:t>
            </w:r>
          </w:p>
          <w:p w:rsidR="00000000" w:rsidRPr="00321DFF" w:rsidP="00321DFF">
            <w:pPr>
              <w:pStyle w:val="ListBullet"/>
            </w:pPr>
            <w:r w:rsidRPr="00321DFF">
              <w:t>independent agency</w:t>
            </w:r>
          </w:p>
          <w:p w:rsidR="00000000" w:rsidRPr="00321DFF" w:rsidP="00321DFF">
            <w:pPr>
              <w:pStyle w:val="ListBullet"/>
            </w:pPr>
            <w:r w:rsidRPr="00321DFF">
              <w:t>marketing cooperative</w:t>
            </w:r>
          </w:p>
          <w:p w:rsidR="00000000" w:rsidP="00321DFF">
            <w:pPr>
              <w:pStyle w:val="ListBullet"/>
              <w:rPr>
                <w:lang w:val="en-NZ"/>
              </w:rPr>
            </w:pPr>
            <w:r w:rsidRPr="00321DFF">
              <w:t>pastoral houses.</w:t>
            </w:r>
          </w:p>
        </w:tc>
      </w:tr>
      <w:tr w:rsidTr="00FE3F64">
        <w:tblPrEx>
          <w:tblW w:w="0" w:type="auto"/>
          <w:tblLayout w:type="fixed"/>
          <w:tblCellMar>
            <w:left w:w="62" w:type="dxa"/>
            <w:right w:w="62" w:type="dxa"/>
          </w:tblCellMar>
          <w:tblLook w:val="0000"/>
        </w:tblPrEx>
        <w:tc>
          <w:tcPr>
            <w:tcW w:w="2966" w:type="dxa"/>
            <w:tcBorders>
              <w:top w:val="nil"/>
              <w:left w:val="nil"/>
              <w:bottom w:val="nil"/>
              <w:right w:val="nil"/>
            </w:tcBorders>
            <w:tcMar>
              <w:top w:w="0" w:type="dxa"/>
              <w:left w:w="62" w:type="dxa"/>
              <w:bottom w:w="0" w:type="dxa"/>
              <w:right w:w="62" w:type="dxa"/>
            </w:tcMar>
          </w:tcPr>
          <w:p w:rsidR="00000000" w:rsidP="00321DFF">
            <w:pPr>
              <w:pStyle w:val="BodyText"/>
              <w:rPr>
                <w:lang w:val="en-NZ"/>
              </w:rPr>
            </w:pPr>
            <w:r w:rsidRPr="00321DFF">
              <w:rPr>
                <w:rStyle w:val="BoldandItalics"/>
              </w:rPr>
              <w:t>Key services</w:t>
            </w:r>
            <w:r w:rsidRPr="00321DFF">
              <w:t xml:space="preserve"> may include:</w:t>
            </w:r>
          </w:p>
        </w:tc>
        <w:tc>
          <w:tcPr>
            <w:tcW w:w="5760" w:type="dxa"/>
            <w:tcBorders>
              <w:top w:val="nil"/>
              <w:left w:val="nil"/>
              <w:bottom w:val="nil"/>
              <w:right w:val="nil"/>
            </w:tcBorders>
            <w:tcMar>
              <w:top w:w="0" w:type="dxa"/>
              <w:left w:w="62" w:type="dxa"/>
              <w:bottom w:w="0" w:type="dxa"/>
              <w:right w:w="62" w:type="dxa"/>
            </w:tcMar>
          </w:tcPr>
          <w:p w:rsidR="00000000" w:rsidRPr="00321DFF" w:rsidP="00321DFF">
            <w:pPr>
              <w:pStyle w:val="ListBullet"/>
            </w:pPr>
            <w:r w:rsidRPr="00321DFF">
              <w:t>livestock sales and services</w:t>
            </w:r>
          </w:p>
          <w:p w:rsidR="00000000" w:rsidRPr="00321DFF" w:rsidP="00321DFF">
            <w:pPr>
              <w:pStyle w:val="ListBullet"/>
            </w:pPr>
            <w:r w:rsidRPr="00321DFF">
              <w:t>rural property management</w:t>
            </w:r>
          </w:p>
          <w:p w:rsidR="00000000" w:rsidRPr="00321DFF" w:rsidP="00321DFF">
            <w:pPr>
              <w:pStyle w:val="ListBullet"/>
            </w:pPr>
            <w:r w:rsidRPr="00321DFF">
              <w:t>rural property sales</w:t>
            </w:r>
          </w:p>
          <w:p w:rsidR="00000000" w:rsidP="00321DFF">
            <w:pPr>
              <w:pStyle w:val="ListBullet"/>
              <w:rPr>
                <w:lang w:val="en-NZ"/>
              </w:rPr>
            </w:pPr>
            <w:r w:rsidRPr="00321DFF">
              <w:t>sale of farm supplies and other rural products.</w:t>
            </w:r>
          </w:p>
        </w:tc>
      </w:tr>
      <w:tr w:rsidTr="00FE3F64">
        <w:tblPrEx>
          <w:tblW w:w="0" w:type="auto"/>
          <w:tblLayout w:type="fixed"/>
          <w:tblCellMar>
            <w:left w:w="62" w:type="dxa"/>
            <w:right w:w="62" w:type="dxa"/>
          </w:tblCellMar>
          <w:tblLook w:val="0000"/>
        </w:tblPrEx>
        <w:tc>
          <w:tcPr>
            <w:tcW w:w="2966" w:type="dxa"/>
            <w:tcBorders>
              <w:top w:val="nil"/>
              <w:left w:val="nil"/>
              <w:bottom w:val="nil"/>
              <w:right w:val="nil"/>
            </w:tcBorders>
            <w:tcMar>
              <w:top w:w="0" w:type="dxa"/>
              <w:left w:w="62" w:type="dxa"/>
              <w:bottom w:w="0" w:type="dxa"/>
              <w:right w:w="62" w:type="dxa"/>
            </w:tcMar>
          </w:tcPr>
          <w:p w:rsidR="00000000" w:rsidP="00321DFF">
            <w:pPr>
              <w:pStyle w:val="BodyText"/>
              <w:rPr>
                <w:lang w:val="en-NZ"/>
              </w:rPr>
            </w:pPr>
            <w:r w:rsidRPr="00321DFF">
              <w:rPr>
                <w:rStyle w:val="BoldandItalics"/>
              </w:rPr>
              <w:t>Licensing and eligibility requirements</w:t>
            </w:r>
            <w:r w:rsidRPr="00321DFF">
              <w:t xml:space="preserve"> may include:</w:t>
            </w:r>
          </w:p>
        </w:tc>
        <w:tc>
          <w:tcPr>
            <w:tcW w:w="5760" w:type="dxa"/>
            <w:tcBorders>
              <w:top w:val="nil"/>
              <w:left w:val="nil"/>
              <w:bottom w:val="nil"/>
              <w:right w:val="nil"/>
            </w:tcBorders>
            <w:tcMar>
              <w:top w:w="0" w:type="dxa"/>
              <w:left w:w="62" w:type="dxa"/>
              <w:bottom w:w="0" w:type="dxa"/>
              <w:right w:w="62" w:type="dxa"/>
            </w:tcMar>
          </w:tcPr>
          <w:p w:rsidR="00000000" w:rsidRPr="00321DFF" w:rsidP="00321DFF">
            <w:pPr>
              <w:pStyle w:val="ListBullet"/>
            </w:pPr>
            <w:r w:rsidRPr="00321DFF">
              <w:t>for employment as a stock and station representative or certificate holder</w:t>
            </w:r>
          </w:p>
          <w:p w:rsidR="00000000" w:rsidP="00321DFF">
            <w:pPr>
              <w:pStyle w:val="ListBullet"/>
              <w:rPr>
                <w:lang w:val="en-NZ"/>
              </w:rPr>
            </w:pPr>
            <w:r w:rsidRPr="00321DFF">
              <w:t>for licensing as a licensed stock and station agent.</w:t>
            </w:r>
          </w:p>
        </w:tc>
      </w:tr>
      <w:tr w:rsidTr="00FE3F64">
        <w:tblPrEx>
          <w:tblW w:w="0" w:type="auto"/>
          <w:tblLayout w:type="fixed"/>
          <w:tblCellMar>
            <w:left w:w="62" w:type="dxa"/>
            <w:right w:w="62" w:type="dxa"/>
          </w:tblCellMar>
          <w:tblLook w:val="0000"/>
        </w:tblPrEx>
        <w:tc>
          <w:tcPr>
            <w:tcW w:w="2966" w:type="dxa"/>
            <w:tcBorders>
              <w:top w:val="nil"/>
              <w:left w:val="nil"/>
              <w:bottom w:val="nil"/>
              <w:right w:val="nil"/>
            </w:tcBorders>
            <w:tcMar>
              <w:top w:w="0" w:type="dxa"/>
              <w:left w:w="62" w:type="dxa"/>
              <w:bottom w:w="0" w:type="dxa"/>
              <w:right w:w="62" w:type="dxa"/>
            </w:tcMar>
          </w:tcPr>
          <w:p w:rsidR="00000000" w:rsidP="00321DFF">
            <w:pPr>
              <w:pStyle w:val="BodyText"/>
              <w:rPr>
                <w:lang w:val="en-NZ"/>
              </w:rPr>
            </w:pPr>
            <w:r w:rsidRPr="00321DFF">
              <w:rPr>
                <w:rStyle w:val="BoldandItalics"/>
              </w:rPr>
              <w:t>Trust funds</w:t>
            </w:r>
            <w:r w:rsidRPr="00321DFF">
              <w:t>:</w:t>
            </w:r>
          </w:p>
        </w:tc>
        <w:tc>
          <w:tcPr>
            <w:tcW w:w="5760" w:type="dxa"/>
            <w:tcBorders>
              <w:top w:val="nil"/>
              <w:left w:val="nil"/>
              <w:bottom w:val="nil"/>
              <w:right w:val="nil"/>
            </w:tcBorders>
            <w:tcMar>
              <w:top w:w="0" w:type="dxa"/>
              <w:left w:w="62" w:type="dxa"/>
              <w:bottom w:w="0" w:type="dxa"/>
              <w:right w:w="62" w:type="dxa"/>
            </w:tcMar>
          </w:tcPr>
          <w:p w:rsidR="00000000" w:rsidRPr="00321DFF" w:rsidP="00321DFF">
            <w:pPr>
              <w:pStyle w:val="ListBullet"/>
            </w:pPr>
            <w:r w:rsidRPr="00321DFF">
              <w:t>refer to all money received or held by a stock and station agent or any member of an agent's staff on behalf of any other person in the course of an agent's business</w:t>
            </w:r>
          </w:p>
          <w:p w:rsidR="00000000" w:rsidP="00321DFF">
            <w:pPr>
              <w:pStyle w:val="ListBullet"/>
              <w:rPr>
                <w:lang w:val="en-NZ"/>
              </w:rPr>
            </w:pPr>
            <w:r w:rsidRPr="00321DFF">
              <w:t>include deposits on sales, security deposits, residential bonds paid in cash</w:t>
            </w:r>
            <w:r w:rsidRPr="00321DFF">
              <w:t xml:space="preserve"> and bonds in respect of commercial premises, rents and prepaid advertising.</w:t>
            </w:r>
          </w:p>
        </w:tc>
      </w:tr>
      <w:tr w:rsidTr="00FE3F64">
        <w:tblPrEx>
          <w:tblW w:w="0" w:type="auto"/>
          <w:tblLayout w:type="fixed"/>
          <w:tblCellMar>
            <w:left w:w="62" w:type="dxa"/>
            <w:right w:w="62" w:type="dxa"/>
          </w:tblCellMar>
          <w:tblLook w:val="0000"/>
        </w:tblPrEx>
        <w:tc>
          <w:tcPr>
            <w:tcW w:w="2966" w:type="dxa"/>
            <w:tcBorders>
              <w:top w:val="nil"/>
              <w:left w:val="nil"/>
              <w:bottom w:val="nil"/>
              <w:right w:val="nil"/>
            </w:tcBorders>
            <w:tcMar>
              <w:top w:w="0" w:type="dxa"/>
              <w:left w:w="62" w:type="dxa"/>
              <w:bottom w:w="0" w:type="dxa"/>
              <w:right w:w="62" w:type="dxa"/>
            </w:tcMar>
          </w:tcPr>
          <w:p w:rsidR="00000000" w:rsidP="00321DFF">
            <w:pPr>
              <w:pStyle w:val="BodyText"/>
              <w:rPr>
                <w:lang w:val="en-NZ"/>
              </w:rPr>
            </w:pPr>
            <w:r w:rsidRPr="00321DFF">
              <w:rPr>
                <w:rStyle w:val="BoldandItalics"/>
              </w:rPr>
              <w:t>Role and responsibilities of government agencies</w:t>
            </w:r>
            <w:r w:rsidRPr="00321DFF">
              <w:t xml:space="preserve"> may include:</w:t>
            </w:r>
          </w:p>
        </w:tc>
        <w:tc>
          <w:tcPr>
            <w:tcW w:w="5760" w:type="dxa"/>
            <w:tcBorders>
              <w:top w:val="nil"/>
              <w:left w:val="nil"/>
              <w:bottom w:val="nil"/>
              <w:right w:val="nil"/>
            </w:tcBorders>
            <w:tcMar>
              <w:top w:w="0" w:type="dxa"/>
              <w:left w:w="62" w:type="dxa"/>
              <w:bottom w:w="0" w:type="dxa"/>
              <w:right w:w="62" w:type="dxa"/>
            </w:tcMar>
          </w:tcPr>
          <w:p w:rsidR="00000000" w:rsidRPr="00321DFF" w:rsidP="00321DFF">
            <w:pPr>
              <w:pStyle w:val="ListBullet"/>
            </w:pPr>
            <w:r w:rsidRPr="00321DFF">
              <w:t>federal government agencies, such as:</w:t>
            </w:r>
          </w:p>
          <w:p w:rsidR="00000000" w:rsidRPr="00321DFF" w:rsidP="00321DFF">
            <w:pPr>
              <w:pStyle w:val="ListBullet2"/>
            </w:pPr>
            <w:r w:rsidRPr="00321DFF">
              <w:t>Australian Competition and Consumer Commission</w:t>
            </w:r>
          </w:p>
          <w:p w:rsidR="00000000" w:rsidRPr="00321DFF" w:rsidP="00321DFF">
            <w:pPr>
              <w:pStyle w:val="ListBullet2"/>
            </w:pPr>
            <w:r w:rsidRPr="00321DFF">
              <w:t>Human Rights and Equal Opportunity Commission</w:t>
            </w:r>
          </w:p>
          <w:p w:rsidR="00000000" w:rsidRPr="00321DFF" w:rsidP="00321DFF">
            <w:pPr>
              <w:pStyle w:val="ListBullet2"/>
            </w:pPr>
            <w:r w:rsidRPr="00321DFF">
              <w:t>federal Privacy Commission</w:t>
            </w:r>
          </w:p>
          <w:p w:rsidR="00000000" w:rsidRPr="00321DFF" w:rsidP="00321DFF">
            <w:pPr>
              <w:pStyle w:val="ListBullet2"/>
            </w:pPr>
            <w:r w:rsidRPr="00321DFF">
              <w:t>other commonwealth statutory agencies associated with rural business, such as Meat and Livestock Australia</w:t>
            </w:r>
          </w:p>
          <w:p w:rsidR="00000000" w:rsidRPr="00321DFF" w:rsidP="00321DFF">
            <w:pPr>
              <w:pStyle w:val="ListBullet"/>
            </w:pPr>
            <w:r w:rsidRPr="00321DFF">
              <w:t>state and territory government agencies related to:</w:t>
            </w:r>
          </w:p>
          <w:p w:rsidR="00000000" w:rsidRPr="00321DFF" w:rsidP="00321DFF">
            <w:pPr>
              <w:pStyle w:val="ListBullet2"/>
            </w:pPr>
            <w:r w:rsidRPr="00321DFF">
              <w:t>agriculture and agribu</w:t>
            </w:r>
            <w:r w:rsidRPr="00321DFF">
              <w:t>siness</w:t>
            </w:r>
          </w:p>
          <w:p w:rsidR="00000000" w:rsidRPr="00321DFF" w:rsidP="00321DFF">
            <w:pPr>
              <w:pStyle w:val="ListBullet2"/>
            </w:pPr>
            <w:r w:rsidRPr="00321DFF">
              <w:t>animal welfare</w:t>
            </w:r>
          </w:p>
          <w:p w:rsidR="00000000" w:rsidRPr="00321DFF" w:rsidP="00321DFF">
            <w:pPr>
              <w:pStyle w:val="ListBullet2"/>
            </w:pPr>
            <w:r w:rsidRPr="00321DFF">
              <w:t>consumer protection and fair trading</w:t>
            </w:r>
          </w:p>
          <w:p w:rsidR="00000000" w:rsidRPr="00321DFF" w:rsidP="00321DFF">
            <w:pPr>
              <w:pStyle w:val="ListBullet2"/>
            </w:pPr>
            <w:r w:rsidRPr="00321DFF">
              <w:t>employment and workplace relations</w:t>
            </w:r>
          </w:p>
          <w:p w:rsidR="00000000" w:rsidRPr="00321DFF" w:rsidP="00321DFF">
            <w:pPr>
              <w:pStyle w:val="ListBullet2"/>
            </w:pPr>
            <w:r w:rsidRPr="00321DFF">
              <w:t>land use and planning</w:t>
            </w:r>
          </w:p>
          <w:p w:rsidR="00000000" w:rsidRPr="00321DFF" w:rsidP="00321DFF">
            <w:pPr>
              <w:pStyle w:val="ListBullet2"/>
            </w:pPr>
            <w:r w:rsidRPr="00321DFF">
              <w:t>leases</w:t>
            </w:r>
          </w:p>
          <w:p w:rsidR="00000000" w:rsidRPr="00321DFF" w:rsidP="00321DFF">
            <w:pPr>
              <w:pStyle w:val="ListBullet2"/>
            </w:pPr>
            <w:r w:rsidRPr="00321DFF">
              <w:t>livestock</w:t>
            </w:r>
          </w:p>
          <w:p w:rsidR="00000000" w:rsidRPr="00321DFF" w:rsidP="00321DFF">
            <w:pPr>
              <w:pStyle w:val="ListBullet2"/>
            </w:pPr>
            <w:r w:rsidRPr="00321DFF">
              <w:t>privacy</w:t>
            </w:r>
          </w:p>
          <w:p w:rsidR="00000000" w:rsidRPr="00321DFF" w:rsidP="00321DFF">
            <w:pPr>
              <w:pStyle w:val="ListBullet2"/>
            </w:pPr>
            <w:r w:rsidRPr="00321DFF">
              <w:t>residential and retail tenancies</w:t>
            </w:r>
          </w:p>
          <w:p w:rsidR="00000000" w:rsidRPr="00321DFF" w:rsidP="00321DFF">
            <w:pPr>
              <w:pStyle w:val="ListBullet2"/>
            </w:pPr>
            <w:r w:rsidRPr="00321DFF">
              <w:t>small business development</w:t>
            </w:r>
          </w:p>
          <w:p w:rsidR="00000000" w:rsidRPr="00321DFF" w:rsidP="00321DFF">
            <w:pPr>
              <w:pStyle w:val="ListBullet2"/>
            </w:pPr>
            <w:r w:rsidRPr="00321DFF">
              <w:t>stock and station agency licensing</w:t>
            </w:r>
          </w:p>
          <w:p w:rsidR="00000000" w:rsidRPr="00321DFF" w:rsidP="00321DFF">
            <w:pPr>
              <w:pStyle w:val="ListBullet2"/>
            </w:pPr>
            <w:r w:rsidRPr="00321DFF">
              <w:t>water</w:t>
            </w:r>
          </w:p>
          <w:p w:rsidR="00000000" w:rsidP="00321DFF">
            <w:pPr>
              <w:pStyle w:val="ListBullet2"/>
              <w:rPr>
                <w:lang w:val="en-NZ"/>
              </w:rPr>
            </w:pPr>
            <w:r w:rsidRPr="00321DFF">
              <w:t>zoning.</w:t>
            </w:r>
          </w:p>
        </w:tc>
      </w:tr>
      <w:tr w:rsidTr="00FE3F64">
        <w:tblPrEx>
          <w:tblW w:w="0" w:type="auto"/>
          <w:tblLayout w:type="fixed"/>
          <w:tblCellMar>
            <w:left w:w="62" w:type="dxa"/>
            <w:right w:w="62" w:type="dxa"/>
          </w:tblCellMar>
          <w:tblLook w:val="0000"/>
        </w:tblPrEx>
        <w:tc>
          <w:tcPr>
            <w:tcW w:w="2966" w:type="dxa"/>
            <w:tcBorders>
              <w:top w:val="nil"/>
              <w:left w:val="nil"/>
              <w:bottom w:val="nil"/>
              <w:right w:val="nil"/>
            </w:tcBorders>
            <w:tcMar>
              <w:top w:w="0" w:type="dxa"/>
              <w:left w:w="62" w:type="dxa"/>
              <w:bottom w:w="0" w:type="dxa"/>
              <w:right w:w="62" w:type="dxa"/>
            </w:tcMar>
          </w:tcPr>
          <w:p w:rsidR="00000000" w:rsidP="00321DFF">
            <w:pPr>
              <w:pStyle w:val="BodyText"/>
              <w:rPr>
                <w:lang w:val="en-NZ"/>
              </w:rPr>
            </w:pPr>
            <w:r w:rsidRPr="00321DFF">
              <w:rPr>
                <w:rStyle w:val="BoldandItalics"/>
              </w:rPr>
              <w:t>Specialist advice</w:t>
            </w:r>
            <w:r w:rsidRPr="00321DFF">
              <w:t xml:space="preserve"> may include:</w:t>
            </w:r>
          </w:p>
        </w:tc>
        <w:tc>
          <w:tcPr>
            <w:tcW w:w="5760" w:type="dxa"/>
            <w:tcBorders>
              <w:top w:val="nil"/>
              <w:left w:val="nil"/>
              <w:bottom w:val="nil"/>
              <w:right w:val="nil"/>
            </w:tcBorders>
            <w:tcMar>
              <w:top w:w="0" w:type="dxa"/>
              <w:left w:w="62" w:type="dxa"/>
              <w:bottom w:w="0" w:type="dxa"/>
              <w:right w:w="62" w:type="dxa"/>
            </w:tcMar>
          </w:tcPr>
          <w:p w:rsidR="00000000" w:rsidRPr="00321DFF" w:rsidP="00321DFF">
            <w:pPr>
              <w:pStyle w:val="ListBullet"/>
            </w:pPr>
            <w:r w:rsidRPr="00321DFF">
              <w:t>agronomists</w:t>
            </w:r>
          </w:p>
          <w:p w:rsidR="00000000" w:rsidRPr="00321DFF" w:rsidP="00321DFF">
            <w:pPr>
              <w:pStyle w:val="ListBullet"/>
            </w:pPr>
            <w:r w:rsidRPr="00321DFF">
              <w:t>architects</w:t>
            </w:r>
          </w:p>
          <w:p w:rsidR="00000000" w:rsidRPr="00321DFF" w:rsidP="00321DFF">
            <w:pPr>
              <w:pStyle w:val="ListBullet"/>
            </w:pPr>
            <w:r w:rsidRPr="00321DFF">
              <w:t>bankers and financiers</w:t>
            </w:r>
          </w:p>
          <w:p w:rsidR="00000000" w:rsidRPr="00321DFF" w:rsidP="00321DFF">
            <w:pPr>
              <w:pStyle w:val="ListBullet"/>
            </w:pPr>
            <w:r w:rsidRPr="00321DFF">
              <w:t>builders</w:t>
            </w:r>
          </w:p>
          <w:p w:rsidR="00000000" w:rsidRPr="00321DFF" w:rsidP="00321DFF">
            <w:pPr>
              <w:pStyle w:val="ListBullet"/>
            </w:pPr>
            <w:r w:rsidRPr="00321DFF">
              <w:t>emergency personnel</w:t>
            </w:r>
          </w:p>
          <w:p w:rsidR="00000000" w:rsidRPr="00321DFF" w:rsidP="00321DFF">
            <w:pPr>
              <w:pStyle w:val="ListBullet"/>
            </w:pPr>
            <w:r w:rsidRPr="00321DFF">
              <w:t>government officials</w:t>
            </w:r>
          </w:p>
          <w:p w:rsidR="00000000" w:rsidRPr="00321DFF" w:rsidP="00321DFF">
            <w:pPr>
              <w:pStyle w:val="ListBullet"/>
            </w:pPr>
            <w:r w:rsidRPr="00321DFF">
              <w:t>industry practitioners and industry bodies</w:t>
            </w:r>
          </w:p>
          <w:p w:rsidR="00000000" w:rsidRPr="00321DFF" w:rsidP="00321DFF">
            <w:pPr>
              <w:pStyle w:val="ListBullet"/>
            </w:pPr>
            <w:r w:rsidRPr="00321DFF">
              <w:t>investment consultants</w:t>
            </w:r>
          </w:p>
          <w:p w:rsidR="00000000" w:rsidRPr="00321DFF" w:rsidP="00321DFF">
            <w:pPr>
              <w:pStyle w:val="ListBullet"/>
            </w:pPr>
            <w:r w:rsidRPr="00321DFF">
              <w:t>livestock specialists</w:t>
            </w:r>
          </w:p>
          <w:p w:rsidR="00000000" w:rsidRPr="00321DFF" w:rsidP="00321DFF">
            <w:pPr>
              <w:pStyle w:val="ListBullet"/>
            </w:pPr>
            <w:r w:rsidRPr="00321DFF">
              <w:t>mentors and coaches</w:t>
            </w:r>
          </w:p>
          <w:p w:rsidR="00000000" w:rsidRPr="00321DFF" w:rsidP="00321DFF">
            <w:pPr>
              <w:pStyle w:val="ListBullet"/>
            </w:pPr>
            <w:r w:rsidRPr="00321DFF">
              <w:t>OHS representatives</w:t>
            </w:r>
          </w:p>
          <w:p w:rsidR="00000000" w:rsidRPr="00321DFF" w:rsidP="00321DFF">
            <w:pPr>
              <w:pStyle w:val="ListBullet"/>
            </w:pPr>
            <w:r w:rsidRPr="00321DFF">
              <w:t>planners</w:t>
            </w:r>
          </w:p>
          <w:p w:rsidR="00000000" w:rsidRPr="00321DFF" w:rsidP="00321DFF">
            <w:pPr>
              <w:pStyle w:val="ListBullet"/>
            </w:pPr>
            <w:r w:rsidRPr="00321DFF">
              <w:t>soil scientists</w:t>
            </w:r>
          </w:p>
          <w:p w:rsidR="00000000" w:rsidRPr="00321DFF" w:rsidP="00321DFF">
            <w:pPr>
              <w:pStyle w:val="ListBullet"/>
            </w:pPr>
            <w:r w:rsidRPr="00321DFF">
              <w:t>stock and station agents</w:t>
            </w:r>
          </w:p>
          <w:p w:rsidR="00000000" w:rsidRPr="00321DFF" w:rsidP="00321DFF">
            <w:pPr>
              <w:pStyle w:val="ListBullet"/>
            </w:pPr>
            <w:r w:rsidRPr="00321DFF">
              <w:t>solicitors</w:t>
            </w:r>
          </w:p>
          <w:p w:rsidR="00000000" w:rsidRPr="00321DFF" w:rsidP="00321DFF">
            <w:pPr>
              <w:pStyle w:val="ListBullet"/>
            </w:pPr>
            <w:r w:rsidRPr="00321DFF">
              <w:t>subcontractors</w:t>
            </w:r>
          </w:p>
          <w:p w:rsidR="00000000" w:rsidRPr="00321DFF" w:rsidP="00321DFF">
            <w:pPr>
              <w:pStyle w:val="ListBullet"/>
            </w:pPr>
            <w:r w:rsidRPr="00321DFF">
              <w:t>supervisors and colleagues</w:t>
            </w:r>
          </w:p>
          <w:p w:rsidR="00000000" w:rsidRPr="00321DFF" w:rsidP="00321DFF">
            <w:pPr>
              <w:pStyle w:val="ListBullet"/>
            </w:pPr>
            <w:r w:rsidRPr="00321DFF">
              <w:t>technical experts</w:t>
            </w:r>
          </w:p>
          <w:p w:rsidR="00000000" w:rsidRPr="00321DFF" w:rsidP="00321DFF">
            <w:pPr>
              <w:pStyle w:val="ListBullet"/>
            </w:pPr>
            <w:r w:rsidRPr="00321DFF">
              <w:t>valuers</w:t>
            </w:r>
          </w:p>
          <w:p w:rsidR="00000000" w:rsidRPr="00321DFF" w:rsidP="00321DFF">
            <w:pPr>
              <w:pStyle w:val="ListBullet"/>
            </w:pPr>
            <w:r w:rsidRPr="00321DFF">
              <w:t>veterinarians</w:t>
            </w:r>
          </w:p>
          <w:p w:rsidR="00000000" w:rsidP="00321DFF">
            <w:pPr>
              <w:pStyle w:val="ListBullet"/>
              <w:rPr>
                <w:lang w:val="en-NZ"/>
              </w:rPr>
            </w:pPr>
            <w:r w:rsidRPr="00321DFF">
              <w:t>water consultants.</w:t>
            </w:r>
          </w:p>
        </w:tc>
      </w:tr>
      <w:tr w:rsidTr="00FE3F64">
        <w:tblPrEx>
          <w:tblW w:w="0" w:type="auto"/>
          <w:tblLayout w:type="fixed"/>
          <w:tblCellMar>
            <w:left w:w="62" w:type="dxa"/>
            <w:right w:w="62" w:type="dxa"/>
          </w:tblCellMar>
          <w:tblLook w:val="0000"/>
        </w:tblPrEx>
        <w:tc>
          <w:tcPr>
            <w:tcW w:w="2966" w:type="dxa"/>
            <w:tcBorders>
              <w:top w:val="nil"/>
              <w:left w:val="nil"/>
              <w:bottom w:val="nil"/>
              <w:right w:val="nil"/>
            </w:tcBorders>
            <w:tcMar>
              <w:top w:w="0" w:type="dxa"/>
              <w:left w:w="62" w:type="dxa"/>
              <w:bottom w:w="0" w:type="dxa"/>
              <w:right w:w="62" w:type="dxa"/>
            </w:tcMar>
          </w:tcPr>
          <w:p w:rsidR="00000000" w:rsidP="00321DFF">
            <w:pPr>
              <w:pStyle w:val="BodyText"/>
              <w:rPr>
                <w:lang w:val="en-NZ"/>
              </w:rPr>
            </w:pPr>
            <w:r w:rsidRPr="00321DFF">
              <w:rPr>
                <w:rStyle w:val="BoldandItalics"/>
              </w:rPr>
              <w:t>Ethical and conduct standards</w:t>
            </w:r>
            <w:r w:rsidRPr="00321DFF">
              <w:t xml:space="preserve"> may include:</w:t>
            </w:r>
          </w:p>
        </w:tc>
        <w:tc>
          <w:tcPr>
            <w:tcW w:w="5760" w:type="dxa"/>
            <w:tcBorders>
              <w:top w:val="nil"/>
              <w:left w:val="nil"/>
              <w:bottom w:val="nil"/>
              <w:right w:val="nil"/>
            </w:tcBorders>
            <w:tcMar>
              <w:top w:w="0" w:type="dxa"/>
              <w:left w:w="62" w:type="dxa"/>
              <w:bottom w:w="0" w:type="dxa"/>
              <w:right w:w="62" w:type="dxa"/>
            </w:tcMar>
          </w:tcPr>
          <w:p w:rsidR="00000000" w:rsidRPr="00321DFF" w:rsidP="00321DFF">
            <w:pPr>
              <w:pStyle w:val="ListBullet"/>
            </w:pPr>
            <w:r w:rsidRPr="00321DFF">
              <w:t>conflict of interest</w:t>
            </w:r>
          </w:p>
          <w:p w:rsidR="00000000" w:rsidRPr="00321DFF" w:rsidP="00321DFF">
            <w:pPr>
              <w:pStyle w:val="ListBullet"/>
            </w:pPr>
            <w:r w:rsidRPr="00321DFF">
              <w:t>duty of care</w:t>
            </w:r>
          </w:p>
          <w:p w:rsidR="00000000" w:rsidRPr="00321DFF" w:rsidP="00321DFF">
            <w:pPr>
              <w:pStyle w:val="ListBullet"/>
            </w:pPr>
            <w:r w:rsidRPr="00321DFF">
              <w:t>individual behaviour</w:t>
            </w:r>
          </w:p>
          <w:p w:rsidR="00000000" w:rsidRPr="00321DFF" w:rsidP="00321DFF">
            <w:pPr>
              <w:pStyle w:val="ListBullet"/>
            </w:pPr>
            <w:r w:rsidRPr="00321DFF">
              <w:t>maintaining confidentiality</w:t>
            </w:r>
          </w:p>
          <w:p w:rsidR="00000000" w:rsidRPr="00321DFF" w:rsidP="00321DFF">
            <w:pPr>
              <w:pStyle w:val="ListBullet"/>
            </w:pPr>
            <w:r w:rsidRPr="00321DFF">
              <w:t>non-discriminatory practices</w:t>
            </w:r>
          </w:p>
          <w:p w:rsidR="00000000" w:rsidRPr="00321DFF" w:rsidP="00321DFF">
            <w:pPr>
              <w:pStyle w:val="ListBullet"/>
            </w:pPr>
            <w:r w:rsidRPr="00321DFF">
              <w:t>privacy</w:t>
            </w:r>
          </w:p>
          <w:p w:rsidR="00000000" w:rsidP="00321DFF">
            <w:pPr>
              <w:pStyle w:val="ListBullet"/>
              <w:rPr>
                <w:lang w:val="en-NZ"/>
              </w:rPr>
            </w:pPr>
            <w:r w:rsidRPr="00321DFF">
              <w:t>use of organisational property.</w:t>
            </w:r>
          </w:p>
        </w:tc>
      </w:tr>
      <w:tr w:rsidTr="00FE3F64">
        <w:tblPrEx>
          <w:tblW w:w="0" w:type="auto"/>
          <w:tblLayout w:type="fixed"/>
          <w:tblCellMar>
            <w:left w:w="62" w:type="dxa"/>
            <w:right w:w="62" w:type="dxa"/>
          </w:tblCellMar>
          <w:tblLook w:val="0000"/>
        </w:tblPrEx>
        <w:tc>
          <w:tcPr>
            <w:tcW w:w="2966" w:type="dxa"/>
            <w:tcBorders>
              <w:top w:val="nil"/>
              <w:left w:val="nil"/>
              <w:bottom w:val="nil"/>
              <w:right w:val="nil"/>
            </w:tcBorders>
            <w:tcMar>
              <w:top w:w="0" w:type="dxa"/>
              <w:left w:w="62" w:type="dxa"/>
              <w:bottom w:w="0" w:type="dxa"/>
              <w:right w:w="62" w:type="dxa"/>
            </w:tcMar>
          </w:tcPr>
          <w:p w:rsidR="00000000" w:rsidP="00321DFF">
            <w:pPr>
              <w:pStyle w:val="BodyText"/>
              <w:rPr>
                <w:lang w:val="en-NZ"/>
              </w:rPr>
            </w:pPr>
            <w:r w:rsidRPr="00321DFF">
              <w:rPr>
                <w:rStyle w:val="BoldandItalics"/>
              </w:rPr>
              <w:t>Employment requirements</w:t>
            </w:r>
            <w:r w:rsidRPr="00321DFF">
              <w:t xml:space="preserve"> may include:</w:t>
            </w:r>
          </w:p>
        </w:tc>
        <w:tc>
          <w:tcPr>
            <w:tcW w:w="5760" w:type="dxa"/>
            <w:tcBorders>
              <w:top w:val="nil"/>
              <w:left w:val="nil"/>
              <w:bottom w:val="nil"/>
              <w:right w:val="nil"/>
            </w:tcBorders>
            <w:tcMar>
              <w:top w:w="0" w:type="dxa"/>
              <w:left w:w="62" w:type="dxa"/>
              <w:bottom w:w="0" w:type="dxa"/>
              <w:right w:w="62" w:type="dxa"/>
            </w:tcMar>
          </w:tcPr>
          <w:p w:rsidR="00000000" w:rsidRPr="00321DFF" w:rsidP="00321DFF">
            <w:pPr>
              <w:pStyle w:val="ListBullet"/>
            </w:pPr>
            <w:r w:rsidRPr="00321DFF">
              <w:t>employer's responsibilities</w:t>
            </w:r>
          </w:p>
          <w:p w:rsidR="00000000" w:rsidP="00321DFF">
            <w:pPr>
              <w:pStyle w:val="ListBullet"/>
              <w:rPr>
                <w:lang w:val="en-NZ"/>
              </w:rPr>
            </w:pPr>
            <w:r w:rsidRPr="00321DFF">
              <w:t>federal and state or territory employment agreements.</w:t>
            </w:r>
          </w:p>
        </w:tc>
      </w:tr>
      <w:tr w:rsidTr="00FE3F64">
        <w:tblPrEx>
          <w:tblW w:w="0" w:type="auto"/>
          <w:tblLayout w:type="fixed"/>
          <w:tblCellMar>
            <w:left w:w="62" w:type="dxa"/>
            <w:right w:w="62" w:type="dxa"/>
          </w:tblCellMar>
          <w:tblLook w:val="0000"/>
        </w:tblPrEx>
        <w:tc>
          <w:tcPr>
            <w:tcW w:w="2966" w:type="dxa"/>
            <w:tcBorders>
              <w:top w:val="nil"/>
              <w:left w:val="nil"/>
              <w:bottom w:val="nil"/>
              <w:right w:val="nil"/>
            </w:tcBorders>
            <w:tcMar>
              <w:top w:w="0" w:type="dxa"/>
              <w:left w:w="62" w:type="dxa"/>
              <w:bottom w:w="0" w:type="dxa"/>
              <w:right w:w="62" w:type="dxa"/>
            </w:tcMar>
          </w:tcPr>
          <w:p w:rsidR="00000000" w:rsidP="00321DFF">
            <w:pPr>
              <w:pStyle w:val="BodyText"/>
              <w:rPr>
                <w:lang w:val="en-NZ"/>
              </w:rPr>
            </w:pPr>
            <w:r w:rsidRPr="00321DFF">
              <w:rPr>
                <w:rStyle w:val="BoldandItalics"/>
              </w:rPr>
              <w:t>Effective commun</w:t>
            </w:r>
            <w:r w:rsidRPr="00321DFF">
              <w:rPr>
                <w:rStyle w:val="BoldandItalics"/>
              </w:rPr>
              <w:t>ication strategies</w:t>
            </w:r>
            <w:r w:rsidRPr="00321DFF">
              <w:t xml:space="preserve"> may include:</w:t>
            </w:r>
          </w:p>
        </w:tc>
        <w:tc>
          <w:tcPr>
            <w:tcW w:w="5760" w:type="dxa"/>
            <w:tcBorders>
              <w:top w:val="nil"/>
              <w:left w:val="nil"/>
              <w:bottom w:val="nil"/>
              <w:right w:val="nil"/>
            </w:tcBorders>
            <w:tcMar>
              <w:top w:w="0" w:type="dxa"/>
              <w:left w:w="62" w:type="dxa"/>
              <w:bottom w:w="0" w:type="dxa"/>
              <w:right w:w="62" w:type="dxa"/>
            </w:tcMar>
          </w:tcPr>
          <w:p w:rsidR="00000000" w:rsidRPr="00321DFF" w:rsidP="00321DFF">
            <w:pPr>
              <w:pStyle w:val="ListBullet"/>
            </w:pPr>
            <w:r w:rsidRPr="00321DFF">
              <w:t>active listening</w:t>
            </w:r>
          </w:p>
          <w:p w:rsidR="00000000" w:rsidRPr="00321DFF" w:rsidP="00321DFF">
            <w:pPr>
              <w:pStyle w:val="ListBullet"/>
            </w:pPr>
            <w:r w:rsidRPr="00321DFF">
              <w:t>being non-judgemental</w:t>
            </w:r>
          </w:p>
          <w:p w:rsidR="00000000" w:rsidRPr="00321DFF" w:rsidP="00321DFF">
            <w:pPr>
              <w:pStyle w:val="ListBullet"/>
            </w:pPr>
            <w:r w:rsidRPr="00321DFF">
              <w:t xml:space="preserve">exploring problems </w:t>
            </w:r>
          </w:p>
          <w:p w:rsidR="00000000" w:rsidRPr="00321DFF" w:rsidP="00321DFF">
            <w:pPr>
              <w:pStyle w:val="ListBullet"/>
            </w:pPr>
            <w:r w:rsidRPr="00321DFF">
              <w:t>expressing an individual perspective</w:t>
            </w:r>
          </w:p>
          <w:p w:rsidR="00000000" w:rsidRPr="00321DFF" w:rsidP="00321DFF">
            <w:pPr>
              <w:pStyle w:val="ListBullet"/>
            </w:pPr>
            <w:r w:rsidRPr="00321DFF">
              <w:t>providing sufficient time for questions and responses</w:t>
            </w:r>
          </w:p>
          <w:p w:rsidR="00000000" w:rsidRPr="00321DFF" w:rsidP="00321DFF">
            <w:pPr>
              <w:pStyle w:val="ListBullet"/>
            </w:pPr>
            <w:r w:rsidRPr="00321DFF">
              <w:t>providing summarising and reflective responses in conflict situations</w:t>
            </w:r>
          </w:p>
          <w:p w:rsidR="00000000" w:rsidRPr="00321DFF" w:rsidP="00321DFF">
            <w:pPr>
              <w:pStyle w:val="ListBullet"/>
            </w:pPr>
            <w:r w:rsidRPr="00321DFF">
              <w:t>using active listening</w:t>
            </w:r>
          </w:p>
          <w:p w:rsidR="00000000" w:rsidRPr="00321DFF" w:rsidP="00321DFF">
            <w:pPr>
              <w:pStyle w:val="ListBullet"/>
            </w:pPr>
            <w:r w:rsidRPr="00321DFF">
              <w:t>using appropriate words, behaviour and posture</w:t>
            </w:r>
          </w:p>
          <w:p w:rsidR="00000000" w:rsidRPr="00321DFF" w:rsidP="00321DFF">
            <w:pPr>
              <w:pStyle w:val="ListBullet"/>
            </w:pPr>
            <w:r w:rsidRPr="00321DFF">
              <w:t>using clarifying and summarising questions</w:t>
            </w:r>
          </w:p>
          <w:p w:rsidR="00000000" w:rsidRPr="00321DFF" w:rsidP="00321DFF">
            <w:pPr>
              <w:pStyle w:val="ListBullet"/>
            </w:pPr>
            <w:r w:rsidRPr="00321DFF">
              <w:t>using clear and concise language</w:t>
            </w:r>
          </w:p>
          <w:p w:rsidR="00000000" w:rsidRPr="00321DFF" w:rsidP="00321DFF">
            <w:pPr>
              <w:pStyle w:val="ListBullet"/>
            </w:pPr>
            <w:r w:rsidRPr="00321DFF">
              <w:t>using culturally appropriate communication</w:t>
            </w:r>
          </w:p>
          <w:p w:rsidR="00000000" w:rsidRPr="00321DFF" w:rsidP="00321DFF">
            <w:pPr>
              <w:pStyle w:val="ListBullet"/>
            </w:pPr>
            <w:r w:rsidRPr="00321DFF">
              <w:t>using plain English</w:t>
            </w:r>
          </w:p>
          <w:p w:rsidR="00000000" w:rsidP="00321DFF">
            <w:pPr>
              <w:pStyle w:val="ListBullet"/>
              <w:rPr>
                <w:lang w:val="en-NZ"/>
              </w:rPr>
            </w:pPr>
            <w:r w:rsidRPr="00321DFF">
              <w:t>using verbal and non-verbal communication.</w:t>
            </w:r>
          </w:p>
        </w:tc>
      </w:tr>
      <w:tr w:rsidTr="00FE3F64">
        <w:tblPrEx>
          <w:tblW w:w="0" w:type="auto"/>
          <w:tblLayout w:type="fixed"/>
          <w:tblCellMar>
            <w:left w:w="62" w:type="dxa"/>
            <w:right w:w="62" w:type="dxa"/>
          </w:tblCellMar>
          <w:tblLook w:val="0000"/>
        </w:tblPrEx>
        <w:tc>
          <w:tcPr>
            <w:tcW w:w="2966" w:type="dxa"/>
            <w:tcBorders>
              <w:top w:val="nil"/>
              <w:left w:val="nil"/>
              <w:bottom w:val="nil"/>
              <w:right w:val="nil"/>
            </w:tcBorders>
            <w:tcMar>
              <w:top w:w="0" w:type="dxa"/>
              <w:left w:w="62" w:type="dxa"/>
              <w:bottom w:w="0" w:type="dxa"/>
              <w:right w:w="62" w:type="dxa"/>
            </w:tcMar>
          </w:tcPr>
          <w:p w:rsidR="00000000" w:rsidP="00321DFF">
            <w:pPr>
              <w:pStyle w:val="BodyText"/>
              <w:rPr>
                <w:lang w:val="en-NZ"/>
              </w:rPr>
            </w:pPr>
            <w:r w:rsidRPr="00321DFF">
              <w:rPr>
                <w:rStyle w:val="BoldandItalics"/>
              </w:rPr>
              <w:t>Per</w:t>
            </w:r>
            <w:r w:rsidRPr="00321DFF">
              <w:rPr>
                <w:rStyle w:val="BoldandItalics"/>
              </w:rPr>
              <w:t>sonal presentation and professional image</w:t>
            </w:r>
            <w:r w:rsidRPr="00321DFF">
              <w:t xml:space="preserve"> may refer to:</w:t>
            </w:r>
          </w:p>
        </w:tc>
        <w:tc>
          <w:tcPr>
            <w:tcW w:w="5760" w:type="dxa"/>
            <w:tcBorders>
              <w:top w:val="nil"/>
              <w:left w:val="nil"/>
              <w:bottom w:val="nil"/>
              <w:right w:val="nil"/>
            </w:tcBorders>
            <w:tcMar>
              <w:top w:w="0" w:type="dxa"/>
              <w:left w:w="62" w:type="dxa"/>
              <w:bottom w:w="0" w:type="dxa"/>
              <w:right w:w="62" w:type="dxa"/>
            </w:tcMar>
          </w:tcPr>
          <w:p w:rsidR="00000000" w:rsidRPr="00321DFF" w:rsidP="00321DFF">
            <w:pPr>
              <w:pStyle w:val="ListBullet"/>
            </w:pPr>
            <w:r w:rsidRPr="00321DFF">
              <w:t>client focus</w:t>
            </w:r>
          </w:p>
          <w:p w:rsidR="00000000" w:rsidRPr="00321DFF" w:rsidP="00321DFF">
            <w:pPr>
              <w:pStyle w:val="ListBullet"/>
            </w:pPr>
            <w:r w:rsidRPr="00321DFF">
              <w:t>communication skills</w:t>
            </w:r>
          </w:p>
          <w:p w:rsidR="00000000" w:rsidRPr="00321DFF" w:rsidP="00321DFF">
            <w:pPr>
              <w:pStyle w:val="ListBullet"/>
            </w:pPr>
            <w:r w:rsidRPr="00321DFF">
              <w:t>condition and style of clothing</w:t>
            </w:r>
          </w:p>
          <w:p w:rsidR="00000000" w:rsidRPr="00321DFF" w:rsidP="00321DFF">
            <w:pPr>
              <w:pStyle w:val="ListBullet"/>
            </w:pPr>
            <w:r w:rsidRPr="00321DFF">
              <w:t>condition and cleanliness of company vehicle</w:t>
            </w:r>
          </w:p>
          <w:p w:rsidR="00000000" w:rsidRPr="00321DFF" w:rsidP="00321DFF">
            <w:pPr>
              <w:pStyle w:val="ListBullet"/>
            </w:pPr>
            <w:r w:rsidRPr="00321DFF">
              <w:t>personal grooming</w:t>
            </w:r>
          </w:p>
          <w:p w:rsidR="00000000" w:rsidRPr="00321DFF" w:rsidP="00321DFF">
            <w:pPr>
              <w:pStyle w:val="ListBullet"/>
            </w:pPr>
            <w:r w:rsidRPr="00321DFF">
              <w:t>personal hygiene</w:t>
            </w:r>
          </w:p>
          <w:p w:rsidR="00000000" w:rsidP="00321DFF">
            <w:pPr>
              <w:pStyle w:val="ListBullet"/>
              <w:rPr>
                <w:lang w:val="en-NZ"/>
              </w:rPr>
            </w:pPr>
            <w:r w:rsidRPr="00321DFF">
              <w:t>product knowledge</w:t>
            </w:r>
          </w:p>
        </w:tc>
      </w:tr>
      <w:tr w:rsidTr="00FE3F64">
        <w:tblPrEx>
          <w:tblW w:w="0" w:type="auto"/>
          <w:tblLayout w:type="fixed"/>
          <w:tblCellMar>
            <w:left w:w="62" w:type="dxa"/>
            <w:right w:w="62" w:type="dxa"/>
          </w:tblCellMar>
          <w:tblLook w:val="0000"/>
        </w:tblPrEx>
        <w:tc>
          <w:tcPr>
            <w:tcW w:w="2966" w:type="dxa"/>
            <w:tcBorders>
              <w:top w:val="nil"/>
              <w:left w:val="nil"/>
              <w:bottom w:val="nil"/>
              <w:right w:val="nil"/>
            </w:tcBorders>
            <w:tcMar>
              <w:top w:w="0" w:type="dxa"/>
              <w:left w:w="62" w:type="dxa"/>
              <w:bottom w:w="0" w:type="dxa"/>
              <w:right w:w="62" w:type="dxa"/>
            </w:tcMar>
          </w:tcPr>
          <w:p w:rsidR="00000000" w:rsidP="00321DFF">
            <w:pPr>
              <w:pStyle w:val="BodyText"/>
              <w:rPr>
                <w:lang w:val="en-NZ"/>
              </w:rPr>
            </w:pPr>
          </w:p>
        </w:tc>
        <w:tc>
          <w:tcPr>
            <w:tcW w:w="5760" w:type="dxa"/>
            <w:tcBorders>
              <w:top w:val="nil"/>
              <w:left w:val="nil"/>
              <w:bottom w:val="nil"/>
              <w:right w:val="nil"/>
            </w:tcBorders>
            <w:tcMar>
              <w:top w:w="0" w:type="dxa"/>
              <w:left w:w="62" w:type="dxa"/>
              <w:bottom w:w="0" w:type="dxa"/>
              <w:right w:w="62" w:type="dxa"/>
            </w:tcMar>
          </w:tcPr>
          <w:p w:rsidR="00000000" w:rsidRPr="00321DFF" w:rsidP="00321DFF">
            <w:pPr>
              <w:pStyle w:val="ListBullet"/>
            </w:pPr>
            <w:r w:rsidRPr="00321DFF">
              <w:t>punctuality</w:t>
            </w:r>
          </w:p>
          <w:p w:rsidR="00000000" w:rsidRPr="00321DFF" w:rsidP="00321DFF">
            <w:pPr>
              <w:pStyle w:val="ListBullet"/>
            </w:pPr>
            <w:r w:rsidRPr="00321DFF">
              <w:t>speech.</w:t>
            </w:r>
          </w:p>
        </w:tc>
      </w:tr>
    </w:tbl>
    <w:p w:rsidR="00FE3F64" w:rsidP="00321DFF">
      <w:pPr>
        <w:pStyle w:val="BodyText"/>
      </w:pPr>
    </w:p>
    <w:p w:rsidR="00FE3F64" w:rsidP="00321DFF">
      <w:pPr>
        <w:pStyle w:val="BodyText"/>
      </w:pPr>
    </w:p>
    <w:p w:rsidR="00000000" w:rsidRPr="00321DFF" w:rsidP="00321DFF">
      <w:pPr>
        <w:pStyle w:val="Heading1"/>
      </w:pPr>
      <w:bookmarkStart w:id="12" w:name="O_201299"/>
      <w:bookmarkEnd w:id="12"/>
      <w:r w:rsidRPr="00321DFF">
        <w:t>Unit Sector(s)</w:t>
      </w:r>
    </w:p>
    <w:tbl>
      <w:tblPr>
        <w:tblW w:w="0" w:type="auto"/>
        <w:tblLayout w:type="fixed"/>
        <w:tblCellMar>
          <w:left w:w="62" w:type="dxa"/>
          <w:right w:w="62" w:type="dxa"/>
        </w:tblCellMar>
        <w:tblLook w:val="0000"/>
      </w:tblPr>
      <w:tblGrid>
        <w:gridCol w:w="2936"/>
        <w:gridCol w:w="5480"/>
      </w:tblGrid>
      <w:tr w:rsidTr="00FE3F64">
        <w:tblPrEx>
          <w:tblW w:w="0" w:type="auto"/>
          <w:tblLayout w:type="fixed"/>
          <w:tblCellMar>
            <w:left w:w="62" w:type="dxa"/>
            <w:right w:w="62" w:type="dxa"/>
          </w:tblCellMar>
          <w:tblLook w:val="0000"/>
        </w:tblPrEx>
        <w:trPr>
          <w:tblHeader/>
        </w:trPr>
        <w:tc>
          <w:tcPr>
            <w:tcW w:w="2936" w:type="dxa"/>
            <w:tcBorders>
              <w:top w:val="nil"/>
              <w:left w:val="nil"/>
              <w:bottom w:val="nil"/>
              <w:right w:val="nil"/>
            </w:tcBorders>
            <w:tcMar>
              <w:top w:w="0" w:type="dxa"/>
              <w:left w:w="62" w:type="dxa"/>
              <w:bottom w:w="0" w:type="dxa"/>
              <w:right w:w="62" w:type="dxa"/>
            </w:tcMar>
          </w:tcPr>
          <w:p w:rsidR="00000000" w:rsidP="00321DFF">
            <w:pPr>
              <w:pStyle w:val="BodyText"/>
              <w:rPr>
                <w:lang w:val="en-NZ"/>
              </w:rPr>
            </w:pPr>
            <w:r w:rsidRPr="00321DFF">
              <w:rPr>
                <w:rStyle w:val="SpecialBold"/>
              </w:rPr>
              <w:t>Unit sector</w:t>
            </w:r>
          </w:p>
        </w:tc>
        <w:tc>
          <w:tcPr>
            <w:tcW w:w="5480" w:type="dxa"/>
            <w:tcBorders>
              <w:top w:val="nil"/>
              <w:left w:val="nil"/>
              <w:bottom w:val="nil"/>
              <w:right w:val="nil"/>
            </w:tcBorders>
            <w:tcMar>
              <w:top w:w="0" w:type="dxa"/>
              <w:left w:w="62" w:type="dxa"/>
              <w:bottom w:w="0" w:type="dxa"/>
              <w:right w:w="62" w:type="dxa"/>
            </w:tcMar>
          </w:tcPr>
          <w:p w:rsidR="00000000" w:rsidRPr="00321DFF" w:rsidP="00321DFF">
            <w:pPr>
              <w:pStyle w:val="BodyText"/>
            </w:pPr>
            <w:r w:rsidRPr="00321DFF">
              <w:t>Property development, sales and management</w:t>
            </w:r>
          </w:p>
        </w:tc>
      </w:tr>
    </w:tbl>
    <w:p w:rsidR="00FE3F64" w:rsidP="00321DFF">
      <w:pPr>
        <w:pStyle w:val="BodyText"/>
      </w:pPr>
    </w:p>
    <w:p w:rsidR="00FE3F64" w:rsidP="00321DFF">
      <w:pPr>
        <w:pStyle w:val="BodyText"/>
      </w:pPr>
    </w:p>
    <w:p w:rsidR="00000000" w:rsidRPr="00321DFF" w:rsidP="00321DFF">
      <w:pPr>
        <w:pStyle w:val="Heading1"/>
      </w:pPr>
      <w:bookmarkStart w:id="13" w:name="O_201298"/>
      <w:bookmarkEnd w:id="13"/>
      <w:r w:rsidRPr="00321DFF">
        <w:t>Competency field</w:t>
      </w:r>
    </w:p>
    <w:tbl>
      <w:tblPr>
        <w:tblW w:w="0" w:type="auto"/>
        <w:tblLayout w:type="fixed"/>
        <w:tblCellMar>
          <w:left w:w="62" w:type="dxa"/>
          <w:right w:w="62" w:type="dxa"/>
        </w:tblCellMar>
        <w:tblLook w:val="0000"/>
      </w:tblPr>
      <w:tblGrid>
        <w:gridCol w:w="2936"/>
        <w:gridCol w:w="5480"/>
      </w:tblGrid>
      <w:tr w:rsidTr="00FE3F64">
        <w:tblPrEx>
          <w:tblW w:w="0" w:type="auto"/>
          <w:tblLayout w:type="fixed"/>
          <w:tblCellMar>
            <w:left w:w="62" w:type="dxa"/>
            <w:right w:w="62" w:type="dxa"/>
          </w:tblCellMar>
          <w:tblLook w:val="0000"/>
        </w:tblPrEx>
        <w:trPr>
          <w:tblHeader/>
        </w:trPr>
        <w:tc>
          <w:tcPr>
            <w:tcW w:w="2936" w:type="dxa"/>
            <w:tcBorders>
              <w:top w:val="nil"/>
              <w:left w:val="nil"/>
              <w:bottom w:val="nil"/>
              <w:right w:val="nil"/>
            </w:tcBorders>
            <w:tcMar>
              <w:top w:w="0" w:type="dxa"/>
              <w:left w:w="62" w:type="dxa"/>
              <w:bottom w:w="0" w:type="dxa"/>
              <w:right w:w="62" w:type="dxa"/>
            </w:tcMar>
          </w:tcPr>
          <w:p w:rsidR="00000000" w:rsidP="00321DFF">
            <w:pPr>
              <w:pStyle w:val="BodyText"/>
              <w:rPr>
                <w:lang w:val="en-NZ"/>
              </w:rPr>
            </w:pPr>
            <w:r w:rsidRPr="00321DFF">
              <w:rPr>
                <w:rStyle w:val="SpecialBold"/>
              </w:rPr>
              <w:t>Competency field</w:t>
            </w:r>
          </w:p>
        </w:tc>
        <w:tc>
          <w:tcPr>
            <w:tcW w:w="5480" w:type="dxa"/>
            <w:tcBorders>
              <w:top w:val="nil"/>
              <w:left w:val="nil"/>
              <w:bottom w:val="nil"/>
              <w:right w:val="nil"/>
            </w:tcBorders>
            <w:tcMar>
              <w:top w:w="0" w:type="dxa"/>
              <w:left w:w="62" w:type="dxa"/>
              <w:bottom w:w="0" w:type="dxa"/>
              <w:right w:w="62" w:type="dxa"/>
            </w:tcMar>
          </w:tcPr>
          <w:p w:rsidR="00000000" w:rsidRPr="00321DFF" w:rsidP="00321DFF">
            <w:pPr>
              <w:pStyle w:val="BodyText"/>
            </w:pPr>
            <w:r w:rsidRPr="00321DFF">
              <w:t>Stock and station agency</w:t>
            </w:r>
          </w:p>
        </w:tc>
      </w:tr>
    </w:tbl>
    <w:p w:rsidR="00FE3F64" w:rsidP="00321DFF">
      <w:pPr>
        <w:pStyle w:val="BodyText"/>
      </w:pPr>
    </w:p>
    <w:p w:rsidR="00FE3F64" w:rsidP="00321DFF">
      <w:pPr>
        <w:pStyle w:val="BodyText"/>
      </w:pPr>
    </w:p>
    <w:p w:rsidR="00000000" w:rsidRPr="00321DFF" w:rsidP="00321DFF"/>
    <w:sectPr w:rsidSect="00321DF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1DF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E3F64" w:rsidP="00FE3F6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1DF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3F64" w:rsidP="00321DF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FE3F64" w:rsidP="00321DF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FE3F64" w:rsidP="00321DF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1DF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E3F64" w:rsidP="00FE3F6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1DF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3F64" w:rsidP="00321DFF">
    <w:pPr>
      <w:pStyle w:val="Header"/>
      <w:framePr w:wrap="around"/>
    </w:pPr>
    <w:r>
      <w:fldChar w:fldCharType="begin"/>
    </w:r>
    <w:r>
      <w:instrText xml:space="preserve"> TITLE   \* MERGEFORMAT </w:instrText>
    </w:r>
    <w:r>
      <w:fldChar w:fldCharType="separate"/>
    </w:r>
    <w:r>
      <w:t>CPPDSM4081A Work in the stock and station agency sector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FE3F64" w:rsidP="00321DF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392B9F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3BC2C9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FBA383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21DF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21DFF"/>
    <w:pPr>
      <w:spacing w:before="360" w:after="60"/>
      <w:outlineLvl w:val="0"/>
    </w:pPr>
    <w:rPr>
      <w:sz w:val="32"/>
    </w:rPr>
  </w:style>
  <w:style w:type="paragraph" w:styleId="Heading2">
    <w:name w:val="heading 2"/>
    <w:basedOn w:val="HeadingBase"/>
    <w:next w:val="BodyText"/>
    <w:link w:val="Heading2Char"/>
    <w:qFormat/>
    <w:rsid w:val="00321DFF"/>
    <w:pPr>
      <w:keepLines/>
      <w:spacing w:before="240" w:after="120"/>
      <w:outlineLvl w:val="1"/>
    </w:pPr>
    <w:rPr>
      <w:sz w:val="28"/>
      <w:szCs w:val="40"/>
    </w:rPr>
  </w:style>
  <w:style w:type="paragraph" w:styleId="Heading3">
    <w:name w:val="heading 3"/>
    <w:basedOn w:val="HeadingBase"/>
    <w:next w:val="BodyText"/>
    <w:link w:val="Heading3Char"/>
    <w:qFormat/>
    <w:rsid w:val="00321DFF"/>
    <w:pPr>
      <w:spacing w:before="180" w:after="120"/>
      <w:outlineLvl w:val="2"/>
    </w:pPr>
    <w:rPr>
      <w:spacing w:val="-10"/>
      <w:kern w:val="32"/>
    </w:rPr>
  </w:style>
  <w:style w:type="paragraph" w:styleId="Heading4">
    <w:name w:val="heading 4"/>
    <w:basedOn w:val="HeadingBase"/>
    <w:next w:val="BodyText"/>
    <w:link w:val="Heading4Char"/>
    <w:qFormat/>
    <w:rsid w:val="00321DFF"/>
    <w:pPr>
      <w:spacing w:before="160" w:after="120"/>
      <w:outlineLvl w:val="3"/>
    </w:pPr>
    <w:rPr>
      <w:sz w:val="22"/>
    </w:rPr>
  </w:style>
  <w:style w:type="paragraph" w:styleId="Heading5">
    <w:name w:val="heading 5"/>
    <w:basedOn w:val="HeadingBase"/>
    <w:next w:val="Normal"/>
    <w:link w:val="Heading5Char"/>
    <w:qFormat/>
    <w:rsid w:val="00321DFF"/>
    <w:pPr>
      <w:spacing w:before="80"/>
      <w:outlineLvl w:val="4"/>
    </w:pPr>
    <w:rPr>
      <w:color w:val="918585"/>
      <w:sz w:val="20"/>
    </w:rPr>
  </w:style>
  <w:style w:type="paragraph" w:styleId="Heading6">
    <w:name w:val="heading 6"/>
    <w:basedOn w:val="HeadingBase"/>
    <w:next w:val="Normal"/>
    <w:link w:val="Heading6Char"/>
    <w:qFormat/>
    <w:rsid w:val="00321DFF"/>
    <w:pPr>
      <w:spacing w:before="60"/>
      <w:outlineLvl w:val="5"/>
    </w:pPr>
    <w:rPr>
      <w:color w:val="918585"/>
      <w:sz w:val="20"/>
    </w:rPr>
  </w:style>
  <w:style w:type="paragraph" w:styleId="Heading7">
    <w:name w:val="heading 7"/>
    <w:basedOn w:val="Normal"/>
    <w:next w:val="Normal"/>
    <w:link w:val="Heading7Char"/>
    <w:qFormat/>
    <w:rsid w:val="00321DFF"/>
    <w:pPr>
      <w:ind w:left="720"/>
      <w:outlineLvl w:val="6"/>
    </w:pPr>
    <w:rPr>
      <w:i/>
    </w:rPr>
  </w:style>
  <w:style w:type="paragraph" w:styleId="Heading8">
    <w:name w:val="heading 8"/>
    <w:basedOn w:val="Normal"/>
    <w:next w:val="Normal"/>
    <w:link w:val="Heading8Char"/>
    <w:qFormat/>
    <w:rsid w:val="00321DFF"/>
    <w:pPr>
      <w:ind w:left="720"/>
      <w:outlineLvl w:val="7"/>
    </w:pPr>
    <w:rPr>
      <w:i/>
    </w:rPr>
  </w:style>
  <w:style w:type="paragraph" w:styleId="Heading9">
    <w:name w:val="heading 9"/>
    <w:basedOn w:val="Normal"/>
    <w:next w:val="Normal"/>
    <w:link w:val="Heading9Char"/>
    <w:qFormat/>
    <w:rsid w:val="00321DFF"/>
    <w:pPr>
      <w:ind w:left="720"/>
      <w:outlineLvl w:val="8"/>
    </w:pPr>
    <w:rPr>
      <w:i/>
    </w:rPr>
  </w:style>
  <w:style w:type="character" w:default="1" w:styleId="DefaultParagraphFont">
    <w:name w:val="Default Paragraph Font"/>
    <w:uiPriority w:val="1"/>
    <w:unhideWhenUsed/>
    <w:rsid w:val="00321DF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21DFF"/>
  </w:style>
  <w:style w:type="character" w:customStyle="1" w:styleId="Heading1Char">
    <w:name w:val="Heading 1 Char"/>
    <w:basedOn w:val="DefaultParagraphFont"/>
    <w:link w:val="Heading1"/>
    <w:rsid w:val="00321DFF"/>
    <w:rPr>
      <w:rFonts w:ascii="Times New Roman" w:eastAsia="Times New Roman" w:hAnsi="Times New Roman" w:cs="Times New Roman"/>
      <w:b/>
      <w:sz w:val="32"/>
      <w:szCs w:val="20"/>
      <w:lang w:eastAsia="en-US"/>
    </w:rPr>
  </w:style>
  <w:style w:type="paragraph" w:styleId="BodyText">
    <w:name w:val="Body Text"/>
    <w:basedOn w:val="Normal"/>
    <w:link w:val="BodyTextChar"/>
    <w:rsid w:val="00321DF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21DFF"/>
    <w:rPr>
      <w:rFonts w:ascii="Times New Roman" w:eastAsia="Times New Roman" w:hAnsi="Times New Roman" w:cs="Times New Roman"/>
      <w:sz w:val="24"/>
      <w:lang w:val="en-US" w:eastAsia="en-US"/>
    </w:rPr>
  </w:style>
  <w:style w:type="paragraph" w:styleId="Footer">
    <w:name w:val="footer"/>
    <w:basedOn w:val="Normal"/>
    <w:link w:val="FooterChar"/>
    <w:rsid w:val="00321DF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21DFF"/>
    <w:rPr>
      <w:rFonts w:ascii="Times New Roman" w:eastAsia="Times New Roman" w:hAnsi="Times New Roman" w:cs="Times New Roman"/>
      <w:sz w:val="16"/>
      <w:lang w:val="en-US" w:eastAsia="en-US"/>
    </w:rPr>
  </w:style>
  <w:style w:type="paragraph" w:styleId="List">
    <w:name w:val="List"/>
    <w:basedOn w:val="BodyText"/>
    <w:next w:val="BodyText"/>
    <w:rsid w:val="00321DFF"/>
    <w:pPr>
      <w:tabs>
        <w:tab w:val="left" w:pos="340"/>
      </w:tabs>
      <w:spacing w:before="60" w:after="60"/>
      <w:ind w:left="340" w:hanging="340"/>
    </w:pPr>
  </w:style>
  <w:style w:type="paragraph" w:styleId="ListBullet">
    <w:name w:val="List Bullet"/>
    <w:basedOn w:val="List"/>
    <w:rsid w:val="00321DFF"/>
    <w:pPr>
      <w:numPr>
        <w:numId w:val="13"/>
      </w:numPr>
      <w:tabs>
        <w:tab w:val="clear" w:pos="340"/>
      </w:tabs>
      <w:spacing w:before="40" w:after="40"/>
    </w:pPr>
  </w:style>
  <w:style w:type="character" w:customStyle="1" w:styleId="SpecialBold">
    <w:name w:val="Special Bold"/>
    <w:basedOn w:val="DefaultParagraphFont"/>
    <w:rsid w:val="00321DFF"/>
    <w:rPr>
      <w:b/>
      <w:spacing w:val="0"/>
    </w:rPr>
  </w:style>
  <w:style w:type="paragraph" w:styleId="ListBullet2">
    <w:name w:val="List Bullet 2"/>
    <w:basedOn w:val="List2"/>
    <w:rsid w:val="00321DFF"/>
    <w:pPr>
      <w:numPr>
        <w:numId w:val="14"/>
      </w:numPr>
      <w:tabs>
        <w:tab w:val="clear" w:pos="680"/>
      </w:tabs>
    </w:pPr>
  </w:style>
  <w:style w:type="paragraph" w:styleId="Header">
    <w:name w:val="header"/>
    <w:basedOn w:val="Normal"/>
    <w:link w:val="HeaderChar"/>
    <w:rsid w:val="00321DF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21DF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21DFF"/>
    <w:pPr>
      <w:spacing w:before="240" w:after="120"/>
      <w:outlineLvl w:val="0"/>
    </w:pPr>
    <w:rPr>
      <w:rFonts w:ascii="Times New Roman" w:hAnsi="Times New Roman"/>
      <w:b/>
      <w:sz w:val="28"/>
    </w:rPr>
  </w:style>
  <w:style w:type="paragraph" w:customStyle="1" w:styleId="AllowPageBreak">
    <w:name w:val="AllowPageBreak"/>
    <w:rsid w:val="00321DF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321DFF"/>
    <w:rPr>
      <w:b/>
      <w:i/>
      <w:u w:val="none"/>
    </w:rPr>
  </w:style>
  <w:style w:type="character" w:customStyle="1" w:styleId="Heading2Char">
    <w:name w:val="Heading 2 Char"/>
    <w:basedOn w:val="DefaultParagraphFont"/>
    <w:link w:val="Heading2"/>
    <w:rsid w:val="00321DF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21DF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21DF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21DF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21DF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21DF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21DF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21DFF"/>
    <w:rPr>
      <w:rFonts w:ascii="Courier New" w:eastAsia="Times New Roman" w:hAnsi="Courier New" w:cs="Times New Roman"/>
      <w:i/>
      <w:szCs w:val="20"/>
      <w:lang w:val="en-US" w:eastAsia="en-US"/>
    </w:rPr>
  </w:style>
  <w:style w:type="paragraph" w:customStyle="1" w:styleId="HeadingBase">
    <w:name w:val="Heading Base"/>
    <w:rsid w:val="00321DF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21DFF"/>
    <w:pPr>
      <w:tabs>
        <w:tab w:val="right" w:leader="dot" w:pos="9072"/>
      </w:tabs>
      <w:ind w:left="567"/>
    </w:pPr>
    <w:rPr>
      <w:szCs w:val="22"/>
    </w:rPr>
  </w:style>
  <w:style w:type="paragraph" w:customStyle="1" w:styleId="TOCBase">
    <w:name w:val="TOC Base"/>
    <w:rsid w:val="00321DF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21DFF"/>
    <w:pPr>
      <w:tabs>
        <w:tab w:val="right" w:leader="dot" w:pos="9072"/>
      </w:tabs>
      <w:spacing w:before="40" w:after="40"/>
      <w:ind w:left="284"/>
    </w:pPr>
    <w:rPr>
      <w:rFonts w:ascii="Times New Roman" w:hAnsi="Times New Roman"/>
    </w:rPr>
  </w:style>
  <w:style w:type="paragraph" w:styleId="TOC1">
    <w:name w:val="toc 1"/>
    <w:basedOn w:val="TOCBase"/>
    <w:next w:val="Normal"/>
    <w:rsid w:val="00321DF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21DFF"/>
    <w:pPr>
      <w:spacing w:before="5040"/>
      <w:jc w:val="center"/>
    </w:pPr>
    <w:rPr>
      <w:sz w:val="48"/>
      <w:szCs w:val="72"/>
      <w:lang w:val="en-US"/>
    </w:rPr>
  </w:style>
  <w:style w:type="character" w:customStyle="1" w:styleId="TitleChar">
    <w:name w:val="Title Char"/>
    <w:basedOn w:val="DefaultParagraphFont"/>
    <w:link w:val="Title"/>
    <w:rsid w:val="00321DF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21DFF"/>
    <w:pPr>
      <w:tabs>
        <w:tab w:val="left" w:pos="3600"/>
        <w:tab w:val="left" w:pos="3958"/>
      </w:tabs>
    </w:pPr>
  </w:style>
  <w:style w:type="paragraph" w:customStyle="1" w:styleId="Note">
    <w:name w:val="Note"/>
    <w:basedOn w:val="BodyText"/>
    <w:rsid w:val="00321DF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21DFF"/>
    <w:pPr>
      <w:framePr w:wrap="auto" w:hAnchor="text" w:y="6049"/>
    </w:pPr>
    <w:rPr>
      <w:color w:val="000000"/>
      <w:sz w:val="40"/>
    </w:rPr>
  </w:style>
  <w:style w:type="paragraph" w:customStyle="1" w:styleId="TOCTitle">
    <w:name w:val="TOCTitle"/>
    <w:basedOn w:val="Heading1"/>
    <w:rsid w:val="00321DFF"/>
    <w:pPr>
      <w:spacing w:after="240"/>
      <w:jc w:val="center"/>
      <w:outlineLvl w:val="9"/>
    </w:pPr>
    <w:rPr>
      <w:caps/>
    </w:rPr>
  </w:style>
  <w:style w:type="paragraph" w:customStyle="1" w:styleId="Version">
    <w:name w:val="Version"/>
    <w:rsid w:val="00321DF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21DFF"/>
    <w:pPr>
      <w:keepNext w:val="0"/>
      <w:tabs>
        <w:tab w:val="right" w:pos="4176"/>
      </w:tabs>
      <w:ind w:left="198" w:hanging="198"/>
    </w:pPr>
    <w:rPr>
      <w:rFonts w:ascii="Garamond" w:hAnsi="Garamond"/>
    </w:rPr>
  </w:style>
  <w:style w:type="paragraph" w:styleId="IndexHeading">
    <w:name w:val="index heading"/>
    <w:basedOn w:val="Normal"/>
    <w:next w:val="Index1"/>
    <w:semiHidden/>
    <w:rsid w:val="00321DFF"/>
    <w:pPr>
      <w:spacing w:before="120" w:after="120"/>
    </w:pPr>
    <w:rPr>
      <w:rFonts w:ascii="Arial" w:hAnsi="Arial"/>
      <w:b/>
      <w:color w:val="918585"/>
      <w:sz w:val="24"/>
    </w:rPr>
  </w:style>
  <w:style w:type="paragraph" w:customStyle="1" w:styleId="Chapter">
    <w:name w:val="Chapter"/>
    <w:basedOn w:val="Normal"/>
    <w:rsid w:val="00321DFF"/>
    <w:pPr>
      <w:spacing w:before="240"/>
    </w:pPr>
    <w:rPr>
      <w:rFonts w:ascii="Times New Roman" w:hAnsi="Times New Roman"/>
      <w:smallCaps/>
      <w:spacing w:val="80"/>
      <w:sz w:val="28"/>
    </w:rPr>
  </w:style>
  <w:style w:type="paragraph" w:customStyle="1" w:styleId="InChapter">
    <w:name w:val="InChapter"/>
    <w:basedOn w:val="Heading3"/>
    <w:rsid w:val="00321DFF"/>
    <w:pPr>
      <w:spacing w:after="240"/>
      <w:outlineLvl w:val="9"/>
    </w:pPr>
    <w:rPr>
      <w:noProof/>
    </w:rPr>
  </w:style>
  <w:style w:type="paragraph" w:styleId="Index2">
    <w:name w:val="index 2"/>
    <w:basedOn w:val="Normal"/>
    <w:next w:val="Normal"/>
    <w:semiHidden/>
    <w:rsid w:val="00321DFF"/>
    <w:pPr>
      <w:tabs>
        <w:tab w:val="right" w:pos="4176"/>
      </w:tabs>
      <w:ind w:left="568" w:hanging="284"/>
    </w:pPr>
    <w:rPr>
      <w:rFonts w:ascii="Garamond" w:hAnsi="Garamond"/>
    </w:rPr>
  </w:style>
  <w:style w:type="paragraph" w:customStyle="1" w:styleId="Byline">
    <w:name w:val="Byline"/>
    <w:rsid w:val="00321DF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21DFF"/>
    <w:pPr>
      <w:tabs>
        <w:tab w:val="clear" w:pos="3600"/>
        <w:tab w:val="clear" w:pos="3958"/>
      </w:tabs>
      <w:jc w:val="right"/>
    </w:pPr>
  </w:style>
  <w:style w:type="character" w:styleId="Emphasis">
    <w:name w:val="Emphasis"/>
    <w:basedOn w:val="DefaultParagraphFont"/>
    <w:qFormat/>
    <w:rsid w:val="00321DFF"/>
    <w:rPr>
      <w:i/>
    </w:rPr>
  </w:style>
  <w:style w:type="paragraph" w:styleId="Caption">
    <w:name w:val="caption"/>
    <w:basedOn w:val="BodyText"/>
    <w:next w:val="Normal"/>
    <w:qFormat/>
    <w:rsid w:val="00321DFF"/>
    <w:pPr>
      <w:framePr w:w="2268" w:hSpace="181" w:vSpace="181" w:wrap="around" w:vAnchor="text" w:hAnchor="page" w:x="1135" w:y="285" w:anchorLock="1"/>
    </w:pPr>
    <w:rPr>
      <w:i/>
    </w:rPr>
  </w:style>
  <w:style w:type="paragraph" w:customStyle="1" w:styleId="MiniTOCTitle">
    <w:name w:val="MiniTOCTitle"/>
    <w:basedOn w:val="Heading4"/>
    <w:rsid w:val="00321DFF"/>
    <w:pPr>
      <w:spacing w:before="240"/>
      <w:outlineLvl w:val="9"/>
    </w:pPr>
    <w:rPr>
      <w:noProof/>
      <w:sz w:val="24"/>
    </w:rPr>
  </w:style>
  <w:style w:type="paragraph" w:customStyle="1" w:styleId="MiniTOCItem">
    <w:name w:val="MiniTOCItem"/>
    <w:basedOn w:val="ListBullet"/>
    <w:rsid w:val="00321DFF"/>
    <w:pPr>
      <w:numPr>
        <w:numId w:val="0"/>
      </w:numPr>
      <w:tabs>
        <w:tab w:val="right" w:leader="dot" w:pos="6521"/>
      </w:tabs>
      <w:spacing w:before="0" w:after="0"/>
    </w:pPr>
  </w:style>
  <w:style w:type="paragraph" w:customStyle="1" w:styleId="TOFTitle">
    <w:name w:val="TOFTitle"/>
    <w:basedOn w:val="TOCTitle"/>
    <w:rsid w:val="00321DFF"/>
  </w:style>
  <w:style w:type="paragraph" w:styleId="TableofFigures">
    <w:name w:val="table of figures"/>
    <w:basedOn w:val="Normal"/>
    <w:next w:val="Normal"/>
    <w:semiHidden/>
    <w:rsid w:val="00321DFF"/>
    <w:pPr>
      <w:tabs>
        <w:tab w:val="right" w:leader="dot" w:pos="9072"/>
      </w:tabs>
      <w:ind w:left="970" w:hanging="403"/>
    </w:pPr>
    <w:rPr>
      <w:rFonts w:ascii="Times New Roman" w:hAnsi="Times New Roman"/>
      <w:b/>
    </w:rPr>
  </w:style>
  <w:style w:type="paragraph" w:styleId="ListNumber">
    <w:name w:val="List Number"/>
    <w:basedOn w:val="List"/>
    <w:rsid w:val="00321DFF"/>
    <w:pPr>
      <w:numPr>
        <w:numId w:val="11"/>
      </w:numPr>
    </w:pPr>
  </w:style>
  <w:style w:type="character" w:customStyle="1" w:styleId="WingdingSymbols">
    <w:name w:val="Wingding Symbols"/>
    <w:rsid w:val="00321DFF"/>
    <w:rPr>
      <w:rFonts w:ascii="Wingdings" w:hAnsi="Wingdings"/>
    </w:rPr>
  </w:style>
  <w:style w:type="paragraph" w:customStyle="1" w:styleId="TableHeading">
    <w:name w:val="Table Heading"/>
    <w:basedOn w:val="HeadingBase"/>
    <w:rsid w:val="00321DFF"/>
    <w:pPr>
      <w:keepLines/>
      <w:pBdr>
        <w:bottom w:val="single" w:sz="6" w:space="1" w:color="918585"/>
      </w:pBdr>
      <w:spacing w:before="240"/>
    </w:pPr>
  </w:style>
  <w:style w:type="character" w:customStyle="1" w:styleId="HotSpot">
    <w:name w:val="HotSpot"/>
    <w:rsid w:val="00321DFF"/>
    <w:rPr>
      <w:color w:val="0033CC"/>
      <w:u w:val="none"/>
    </w:rPr>
  </w:style>
  <w:style w:type="paragraph" w:customStyle="1" w:styleId="BodyTextRight">
    <w:name w:val="Body Text Right"/>
    <w:basedOn w:val="BodyText"/>
    <w:rsid w:val="00321DFF"/>
    <w:pPr>
      <w:spacing w:before="0" w:after="0"/>
      <w:jc w:val="right"/>
    </w:pPr>
  </w:style>
  <w:style w:type="paragraph" w:styleId="Index3">
    <w:name w:val="index 3"/>
    <w:basedOn w:val="ListNumber2"/>
    <w:next w:val="Normal"/>
    <w:semiHidden/>
    <w:rsid w:val="00321DFF"/>
    <w:pPr>
      <w:numPr>
        <w:numId w:val="0"/>
      </w:numPr>
      <w:tabs>
        <w:tab w:val="right" w:leader="dot" w:pos="4176"/>
      </w:tabs>
    </w:pPr>
  </w:style>
  <w:style w:type="paragraph" w:styleId="ListNumber2">
    <w:name w:val="List Number 2"/>
    <w:basedOn w:val="List2"/>
    <w:rsid w:val="00321DFF"/>
    <w:pPr>
      <w:numPr>
        <w:numId w:val="10"/>
      </w:numPr>
      <w:tabs>
        <w:tab w:val="clear" w:pos="1060"/>
      </w:tabs>
    </w:pPr>
  </w:style>
  <w:style w:type="paragraph" w:customStyle="1" w:styleId="MarginNote">
    <w:name w:val="Margin Note"/>
    <w:basedOn w:val="BodyText"/>
    <w:rsid w:val="00321DF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21DF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21DF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21DFF"/>
    <w:rPr>
      <w:sz w:val="32"/>
    </w:rPr>
  </w:style>
  <w:style w:type="paragraph" w:customStyle="1" w:styleId="HeadingProcedure">
    <w:name w:val="Heading Procedure"/>
    <w:basedOn w:val="HeadingBase"/>
    <w:next w:val="Normal"/>
    <w:rsid w:val="00321DFF"/>
    <w:pPr>
      <w:tabs>
        <w:tab w:val="left" w:pos="0"/>
      </w:tabs>
      <w:spacing w:before="120" w:after="60"/>
    </w:pPr>
    <w:rPr>
      <w:i/>
      <w:color w:val="918585"/>
      <w:sz w:val="22"/>
    </w:rPr>
  </w:style>
  <w:style w:type="paragraph" w:customStyle="1" w:styleId="TableBodyText">
    <w:name w:val="Table Body Text"/>
    <w:basedOn w:val="BodyText"/>
    <w:rsid w:val="00321DFF"/>
    <w:pPr>
      <w:spacing w:before="60" w:after="60"/>
    </w:pPr>
  </w:style>
  <w:style w:type="paragraph" w:styleId="ListContinue">
    <w:name w:val="List Continue"/>
    <w:basedOn w:val="List"/>
    <w:rsid w:val="00321DFF"/>
    <w:pPr>
      <w:ind w:firstLine="0"/>
    </w:pPr>
  </w:style>
  <w:style w:type="paragraph" w:customStyle="1" w:styleId="ListNote">
    <w:name w:val="List Note"/>
    <w:basedOn w:val="List"/>
    <w:rsid w:val="00321DFF"/>
    <w:pPr>
      <w:pBdr>
        <w:top w:val="single" w:sz="6" w:space="2" w:color="918585"/>
        <w:bottom w:val="single" w:sz="6" w:space="2" w:color="918585"/>
      </w:pBdr>
      <w:tabs>
        <w:tab w:val="left" w:pos="1021"/>
      </w:tabs>
      <w:ind w:firstLine="0"/>
    </w:pPr>
  </w:style>
  <w:style w:type="paragraph" w:customStyle="1" w:styleId="Warning">
    <w:name w:val="Warning"/>
    <w:basedOn w:val="BodyText"/>
    <w:rsid w:val="00321DFF"/>
    <w:pPr>
      <w:shd w:val="clear" w:color="auto" w:fill="D9D9D9"/>
      <w:tabs>
        <w:tab w:val="left" w:pos="992"/>
      </w:tabs>
      <w:ind w:left="119" w:right="119"/>
    </w:pPr>
    <w:rPr>
      <w:sz w:val="20"/>
    </w:rPr>
  </w:style>
  <w:style w:type="paragraph" w:customStyle="1" w:styleId="MarginIcons">
    <w:name w:val="Margin Icons"/>
    <w:basedOn w:val="BodyText"/>
    <w:rsid w:val="00321DF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21DFF"/>
    <w:rPr>
      <w:rFonts w:ascii="Courier New" w:hAnsi="Courier New"/>
    </w:rPr>
  </w:style>
  <w:style w:type="paragraph" w:customStyle="1" w:styleId="NoteBullet">
    <w:name w:val="Note Bullet"/>
    <w:basedOn w:val="Note"/>
    <w:rsid w:val="00321DFF"/>
    <w:pPr>
      <w:tabs>
        <w:tab w:val="clear" w:pos="680"/>
      </w:tabs>
      <w:spacing w:before="60" w:after="60"/>
    </w:pPr>
  </w:style>
  <w:style w:type="paragraph" w:customStyle="1" w:styleId="SubHeading2">
    <w:name w:val="SubHeading2"/>
    <w:basedOn w:val="HeadingBase"/>
    <w:rsid w:val="00321DFF"/>
    <w:pPr>
      <w:spacing w:before="240" w:after="60"/>
    </w:pPr>
    <w:rPr>
      <w:sz w:val="20"/>
    </w:rPr>
  </w:style>
  <w:style w:type="paragraph" w:customStyle="1" w:styleId="SubHeading1">
    <w:name w:val="SubHeading1"/>
    <w:basedOn w:val="HeadingBase"/>
    <w:rsid w:val="00321DFF"/>
    <w:pPr>
      <w:spacing w:before="240" w:after="60"/>
    </w:pPr>
    <w:rPr>
      <w:color w:val="918585"/>
      <w:sz w:val="22"/>
    </w:rPr>
  </w:style>
  <w:style w:type="paragraph" w:customStyle="1" w:styleId="SideHeading">
    <w:name w:val="Side Heading"/>
    <w:basedOn w:val="HeadingBase"/>
    <w:rsid w:val="00321DF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21DFF"/>
    <w:pPr>
      <w:numPr>
        <w:numId w:val="12"/>
      </w:numPr>
    </w:pPr>
  </w:style>
  <w:style w:type="paragraph" w:styleId="PlainText">
    <w:name w:val="Plain Text"/>
    <w:basedOn w:val="Normal"/>
    <w:link w:val="PlainTextChar"/>
    <w:rsid w:val="00321DFF"/>
    <w:rPr>
      <w:sz w:val="20"/>
    </w:rPr>
  </w:style>
  <w:style w:type="character" w:customStyle="1" w:styleId="PlainTextChar">
    <w:name w:val="Plain Text Char"/>
    <w:basedOn w:val="DefaultParagraphFont"/>
    <w:link w:val="PlainText"/>
    <w:rsid w:val="00321DF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21DFF"/>
    <w:rPr>
      <w:b/>
      <w:smallCaps/>
    </w:rPr>
  </w:style>
  <w:style w:type="paragraph" w:customStyle="1" w:styleId="TableListNumber">
    <w:name w:val="Table List Number"/>
    <w:basedOn w:val="ListNumber"/>
    <w:rsid w:val="00321DFF"/>
    <w:pPr>
      <w:numPr>
        <w:numId w:val="0"/>
      </w:numPr>
    </w:pPr>
  </w:style>
  <w:style w:type="paragraph" w:styleId="TOC4">
    <w:name w:val="toc 4"/>
    <w:basedOn w:val="TOCBase"/>
    <w:next w:val="Normal"/>
    <w:semiHidden/>
    <w:rsid w:val="00321DFF"/>
    <w:pPr>
      <w:tabs>
        <w:tab w:val="right" w:leader="dot" w:pos="9071"/>
      </w:tabs>
      <w:ind w:left="1701"/>
    </w:pPr>
  </w:style>
  <w:style w:type="paragraph" w:customStyle="1" w:styleId="ListAlpha">
    <w:name w:val="List Alpha"/>
    <w:basedOn w:val="List"/>
    <w:rsid w:val="00321DFF"/>
    <w:pPr>
      <w:numPr>
        <w:numId w:val="9"/>
      </w:numPr>
    </w:pPr>
  </w:style>
  <w:style w:type="paragraph" w:customStyle="1" w:styleId="ListAlpha2">
    <w:name w:val="List Alpha 2"/>
    <w:basedOn w:val="List2"/>
    <w:rsid w:val="00321DFF"/>
    <w:pPr>
      <w:numPr>
        <w:numId w:val="8"/>
      </w:numPr>
    </w:pPr>
  </w:style>
  <w:style w:type="paragraph" w:styleId="List2">
    <w:name w:val="List 2"/>
    <w:basedOn w:val="BodyText"/>
    <w:rsid w:val="00321DFF"/>
    <w:pPr>
      <w:tabs>
        <w:tab w:val="left" w:pos="680"/>
      </w:tabs>
      <w:spacing w:before="60" w:after="60"/>
      <w:ind w:left="680" w:hanging="340"/>
    </w:pPr>
  </w:style>
  <w:style w:type="paragraph" w:styleId="List3">
    <w:name w:val="List 3"/>
    <w:basedOn w:val="BodyText"/>
    <w:rsid w:val="00321DFF"/>
    <w:pPr>
      <w:tabs>
        <w:tab w:val="left" w:pos="1021"/>
      </w:tabs>
      <w:spacing w:before="60" w:after="60"/>
      <w:ind w:left="1020" w:hanging="340"/>
    </w:pPr>
  </w:style>
  <w:style w:type="paragraph" w:styleId="List4">
    <w:name w:val="List 4"/>
    <w:basedOn w:val="BodyText"/>
    <w:rsid w:val="00321DFF"/>
    <w:pPr>
      <w:tabs>
        <w:tab w:val="left" w:pos="1361"/>
      </w:tabs>
      <w:spacing w:before="60" w:after="60"/>
      <w:ind w:left="1361" w:hanging="340"/>
    </w:pPr>
  </w:style>
  <w:style w:type="paragraph" w:styleId="List5">
    <w:name w:val="List 5"/>
    <w:basedOn w:val="BodyText"/>
    <w:rsid w:val="00321DFF"/>
    <w:pPr>
      <w:tabs>
        <w:tab w:val="left" w:pos="1701"/>
      </w:tabs>
      <w:spacing w:before="60" w:after="60"/>
      <w:ind w:left="1701" w:hanging="340"/>
    </w:pPr>
  </w:style>
  <w:style w:type="paragraph" w:styleId="ListBullet3">
    <w:name w:val="List Bullet 3"/>
    <w:basedOn w:val="List3"/>
    <w:rsid w:val="00321DFF"/>
    <w:pPr>
      <w:numPr>
        <w:numId w:val="15"/>
      </w:numPr>
      <w:tabs>
        <w:tab w:val="clear" w:pos="1021"/>
      </w:tabs>
      <w:ind w:left="1037" w:hanging="357"/>
    </w:pPr>
  </w:style>
  <w:style w:type="paragraph" w:styleId="ListBullet4">
    <w:name w:val="List Bullet 4"/>
    <w:basedOn w:val="List4"/>
    <w:rsid w:val="00321DFF"/>
    <w:pPr>
      <w:numPr>
        <w:numId w:val="3"/>
      </w:numPr>
    </w:pPr>
  </w:style>
  <w:style w:type="paragraph" w:styleId="ListBullet5">
    <w:name w:val="List Bullet 5"/>
    <w:basedOn w:val="List5"/>
    <w:rsid w:val="00321DFF"/>
    <w:pPr>
      <w:numPr>
        <w:numId w:val="4"/>
      </w:numPr>
    </w:pPr>
  </w:style>
  <w:style w:type="paragraph" w:styleId="ListContinue2">
    <w:name w:val="List Continue 2"/>
    <w:basedOn w:val="List2"/>
    <w:rsid w:val="00321DFF"/>
    <w:pPr>
      <w:ind w:firstLine="0"/>
    </w:pPr>
  </w:style>
  <w:style w:type="paragraph" w:styleId="ListContinue3">
    <w:name w:val="List Continue 3"/>
    <w:basedOn w:val="List3"/>
    <w:rsid w:val="00321DFF"/>
    <w:pPr>
      <w:ind w:left="1021" w:firstLine="0"/>
    </w:pPr>
  </w:style>
  <w:style w:type="paragraph" w:styleId="ListContinue4">
    <w:name w:val="List Continue 4"/>
    <w:basedOn w:val="List4"/>
    <w:rsid w:val="00321DFF"/>
    <w:pPr>
      <w:ind w:firstLine="0"/>
    </w:pPr>
  </w:style>
  <w:style w:type="paragraph" w:styleId="ListContinue5">
    <w:name w:val="List Continue 5"/>
    <w:basedOn w:val="List5"/>
    <w:rsid w:val="00321DFF"/>
    <w:pPr>
      <w:ind w:firstLine="0"/>
    </w:pPr>
  </w:style>
  <w:style w:type="paragraph" w:styleId="ListNumber3">
    <w:name w:val="List Number 3"/>
    <w:basedOn w:val="List3"/>
    <w:rsid w:val="00321DFF"/>
    <w:pPr>
      <w:numPr>
        <w:numId w:val="5"/>
      </w:numPr>
    </w:pPr>
  </w:style>
  <w:style w:type="paragraph" w:styleId="ListNumber4">
    <w:name w:val="List Number 4"/>
    <w:basedOn w:val="List4"/>
    <w:rsid w:val="00321DFF"/>
    <w:pPr>
      <w:numPr>
        <w:numId w:val="6"/>
      </w:numPr>
    </w:pPr>
  </w:style>
  <w:style w:type="paragraph" w:styleId="ListNumber5">
    <w:name w:val="List Number 5"/>
    <w:basedOn w:val="List5"/>
    <w:rsid w:val="00321DFF"/>
    <w:pPr>
      <w:numPr>
        <w:numId w:val="7"/>
      </w:numPr>
    </w:pPr>
  </w:style>
  <w:style w:type="paragraph" w:styleId="BlockText">
    <w:name w:val="Block Text"/>
    <w:basedOn w:val="Normal"/>
    <w:rsid w:val="00321DFF"/>
    <w:pPr>
      <w:spacing w:after="120"/>
      <w:ind w:left="1440" w:right="1440"/>
    </w:pPr>
  </w:style>
  <w:style w:type="character" w:customStyle="1" w:styleId="Subscript">
    <w:name w:val="Subscript"/>
    <w:basedOn w:val="DefaultParagraphFont"/>
    <w:rsid w:val="00321DFF"/>
    <w:rPr>
      <w:sz w:val="16"/>
      <w:vertAlign w:val="subscript"/>
    </w:rPr>
  </w:style>
  <w:style w:type="character" w:customStyle="1" w:styleId="Superscript">
    <w:name w:val="Superscript"/>
    <w:basedOn w:val="DefaultParagraphFont"/>
    <w:rsid w:val="00321DFF"/>
    <w:rPr>
      <w:sz w:val="16"/>
      <w:vertAlign w:val="superscript"/>
    </w:rPr>
  </w:style>
  <w:style w:type="character" w:customStyle="1" w:styleId="Symbols">
    <w:name w:val="Symbols"/>
    <w:basedOn w:val="DefaultParagraphFont"/>
    <w:rsid w:val="00321DFF"/>
    <w:rPr>
      <w:rFonts w:ascii="Symbol" w:hAnsi="Symbol"/>
    </w:rPr>
  </w:style>
  <w:style w:type="character" w:customStyle="1" w:styleId="MenuOptions">
    <w:name w:val="Menu Options"/>
    <w:basedOn w:val="DefaultParagraphFont"/>
    <w:rsid w:val="00321DFF"/>
    <w:rPr>
      <w:rFonts w:ascii="Arial Narrow" w:hAnsi="Arial Narrow"/>
      <w:smallCaps/>
    </w:rPr>
  </w:style>
  <w:style w:type="character" w:customStyle="1" w:styleId="Buttons">
    <w:name w:val="Buttons"/>
    <w:basedOn w:val="DefaultParagraphFont"/>
    <w:rsid w:val="00321DFF"/>
    <w:rPr>
      <w:b/>
    </w:rPr>
  </w:style>
  <w:style w:type="character" w:customStyle="1" w:styleId="Underlined">
    <w:name w:val="Underlined"/>
    <w:basedOn w:val="DefaultParagraphFont"/>
    <w:rsid w:val="00321DFF"/>
    <w:rPr>
      <w:u w:val="single"/>
    </w:rPr>
  </w:style>
  <w:style w:type="paragraph" w:customStyle="1" w:styleId="TableBodyTextRight">
    <w:name w:val="Table Body Text Right"/>
    <w:basedOn w:val="TableBodyText"/>
    <w:rsid w:val="00321DFF"/>
    <w:pPr>
      <w:widowControl w:val="0"/>
      <w:autoSpaceDE w:val="0"/>
      <w:autoSpaceDN w:val="0"/>
      <w:adjustRightInd w:val="0"/>
      <w:jc w:val="right"/>
    </w:pPr>
    <w:rPr>
      <w:rFonts w:cs="Arial"/>
      <w:szCs w:val="18"/>
    </w:rPr>
  </w:style>
  <w:style w:type="paragraph" w:customStyle="1" w:styleId="CopyrightText">
    <w:name w:val="Copyright Text"/>
    <w:basedOn w:val="BodyText"/>
    <w:rsid w:val="00321DFF"/>
    <w:rPr>
      <w:sz w:val="18"/>
    </w:rPr>
  </w:style>
  <w:style w:type="paragraph" w:customStyle="1" w:styleId="BodySmallRight">
    <w:name w:val="Body Small Right"/>
    <w:basedOn w:val="BodyTextRight"/>
    <w:rsid w:val="00321DFF"/>
    <w:rPr>
      <w:sz w:val="18"/>
      <w:szCs w:val="18"/>
    </w:rPr>
  </w:style>
  <w:style w:type="paragraph" w:customStyle="1" w:styleId="MarginEdition">
    <w:name w:val="Margin Edition"/>
    <w:basedOn w:val="MarginNote"/>
    <w:rsid w:val="00321DFF"/>
    <w:pPr>
      <w:spacing w:before="0" w:after="0"/>
    </w:pPr>
    <w:rPr>
      <w:rFonts w:ascii="Times New Roman" w:hAnsi="Times New Roman"/>
      <w:color w:val="999999"/>
    </w:rPr>
  </w:style>
  <w:style w:type="paragraph" w:customStyle="1" w:styleId="Spacer">
    <w:name w:val="Spacer"/>
    <w:basedOn w:val="Normal"/>
    <w:rsid w:val="00321DFF"/>
    <w:rPr>
      <w:sz w:val="2"/>
      <w:szCs w:val="2"/>
    </w:rPr>
  </w:style>
  <w:style w:type="character" w:customStyle="1" w:styleId="Small">
    <w:name w:val="Small"/>
    <w:basedOn w:val="DefaultParagraphFont"/>
    <w:rsid w:val="00321DFF"/>
    <w:rPr>
      <w:sz w:val="16"/>
    </w:rPr>
  </w:style>
  <w:style w:type="paragraph" w:customStyle="1" w:styleId="WideTable">
    <w:name w:val="Wide Table"/>
    <w:basedOn w:val="Normal"/>
    <w:rsid w:val="00321DFF"/>
    <w:pPr>
      <w:ind w:left="-1418"/>
    </w:pPr>
    <w:rPr>
      <w:sz w:val="2"/>
      <w:szCs w:val="2"/>
    </w:rPr>
  </w:style>
  <w:style w:type="character" w:styleId="PageNumber">
    <w:name w:val="page number"/>
    <w:basedOn w:val="DefaultParagraphFont"/>
    <w:rsid w:val="00321DFF"/>
  </w:style>
  <w:style w:type="paragraph" w:styleId="Quote">
    <w:name w:val="Quote"/>
    <w:basedOn w:val="Heading1"/>
    <w:link w:val="QuoteChar"/>
    <w:qFormat/>
    <w:rsid w:val="00321DFF"/>
    <w:rPr>
      <w:b w:val="0"/>
      <w:sz w:val="72"/>
      <w:szCs w:val="72"/>
      <w:lang w:val="en-NZ"/>
    </w:rPr>
  </w:style>
  <w:style w:type="character" w:customStyle="1" w:styleId="QuoteChar">
    <w:name w:val="Quote Char"/>
    <w:basedOn w:val="DefaultParagraphFont"/>
    <w:link w:val="Quote"/>
    <w:rsid w:val="00321DF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21DFF"/>
    <w:pPr>
      <w:pageBreakBefore/>
    </w:pPr>
  </w:style>
  <w:style w:type="paragraph" w:customStyle="1" w:styleId="Border">
    <w:name w:val="Border"/>
    <w:basedOn w:val="Normal"/>
    <w:qFormat/>
    <w:rsid w:val="00321DF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21DFF"/>
    <w:rPr>
      <w:b/>
      <w:bCs/>
      <w:i/>
      <w:iCs/>
      <w:color w:val="auto"/>
    </w:rPr>
  </w:style>
  <w:style w:type="paragraph" w:styleId="IntenseQuote">
    <w:name w:val="Intense Quote"/>
    <w:basedOn w:val="Normal"/>
    <w:next w:val="Normal"/>
    <w:link w:val="IntenseQuoteChar"/>
    <w:uiPriority w:val="30"/>
    <w:qFormat/>
    <w:rsid w:val="00321DF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21DF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21DFF"/>
    <w:rPr>
      <w:smallCaps/>
      <w:color w:val="auto"/>
      <w:u w:val="single"/>
    </w:rPr>
  </w:style>
  <w:style w:type="character" w:styleId="IntenseReference">
    <w:name w:val="Intense Reference"/>
    <w:basedOn w:val="DefaultParagraphFont"/>
    <w:uiPriority w:val="32"/>
    <w:qFormat/>
    <w:rsid w:val="00321DFF"/>
    <w:rPr>
      <w:b/>
      <w:bCs/>
      <w:smallCaps/>
      <w:color w:val="auto"/>
      <w:spacing w:val="5"/>
      <w:u w:val="single"/>
    </w:rPr>
  </w:style>
  <w:style w:type="paragraph" w:customStyle="1" w:styleId="2ColumnHeading">
    <w:name w:val="2Column Heading"/>
    <w:basedOn w:val="BodyText"/>
    <w:qFormat/>
    <w:rsid w:val="00321DFF"/>
    <w:pPr>
      <w:spacing w:after="60"/>
      <w:ind w:left="-2268"/>
    </w:pPr>
    <w:rPr>
      <w:b/>
    </w:rPr>
  </w:style>
  <w:style w:type="paragraph" w:customStyle="1" w:styleId="Heading1TOC">
    <w:name w:val="Heading1 TOC"/>
    <w:basedOn w:val="Normal"/>
    <w:qFormat/>
    <w:rsid w:val="00321DFF"/>
    <w:pPr>
      <w:spacing w:before="240" w:after="120"/>
    </w:pPr>
    <w:rPr>
      <w:rFonts w:ascii="Times New Roman" w:hAnsi="Times New Roman"/>
      <w:b/>
      <w:sz w:val="32"/>
    </w:rPr>
  </w:style>
  <w:style w:type="paragraph" w:customStyle="1" w:styleId="Heading2TOC">
    <w:name w:val="Heading2 TOC"/>
    <w:basedOn w:val="Normal"/>
    <w:qFormat/>
    <w:rsid w:val="00321DFF"/>
    <w:pPr>
      <w:spacing w:before="240" w:after="60"/>
    </w:pPr>
    <w:rPr>
      <w:rFonts w:ascii="Times New Roman" w:hAnsi="Times New Roman"/>
      <w:b/>
      <w:sz w:val="28"/>
    </w:rPr>
  </w:style>
  <w:style w:type="character" w:customStyle="1" w:styleId="Underline">
    <w:name w:val="Underline"/>
    <w:basedOn w:val="DefaultParagraphFont"/>
    <w:qFormat/>
    <w:rsid w:val="00321DFF"/>
    <w:rPr>
      <w:u w:val="single"/>
    </w:rPr>
  </w:style>
  <w:style w:type="paragraph" w:styleId="BalloonText">
    <w:name w:val="Balloon Text"/>
    <w:basedOn w:val="Normal"/>
    <w:link w:val="BalloonTextChar"/>
    <w:rsid w:val="00321DFF"/>
    <w:rPr>
      <w:rFonts w:ascii="Tahoma" w:hAnsi="Tahoma" w:cs="Tahoma"/>
      <w:sz w:val="16"/>
      <w:szCs w:val="16"/>
    </w:rPr>
  </w:style>
  <w:style w:type="character" w:customStyle="1" w:styleId="BalloonTextChar">
    <w:name w:val="Balloon Text Char"/>
    <w:basedOn w:val="DefaultParagraphFont"/>
    <w:link w:val="BalloonText"/>
    <w:rsid w:val="00321DF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21DF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21DF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2341</Words>
  <Characters>14919</Characters>
  <Application>Microsoft Office Word</Application>
  <DocSecurity>0</DocSecurity>
  <Lines>488</Lines>
  <Paragraphs>265</Paragraphs>
  <ScaleCrop>false</ScaleCrop>
  <Company>Author-it Software Corporation Ltd.</Company>
  <LinksUpToDate>false</LinksUpToDate>
  <CharactersWithSpaces>17167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CPPDSM4081A Work in the stock and station agency sector</dc:title>
  <dc:subject>Approved</dc:subject>
  <dc:creator>Construction &amp; Property Services Industry Skills Council</dc:creator>
  <cp:keywords>Release: 1</cp:keywords>
  <dc:description>Copyright © 1996-2007 Author-it Software Corporation Ltd., all rights reserved.</dc:description>
  <cp:lastModifiedBy>Craig Taylor</cp:lastModifiedBy>
  <cp:revision>3</cp:revision>
  <dcterms:created xsi:type="dcterms:W3CDTF">2012-05-26T06:11:00Z</dcterms:created>
  <dcterms:modified xsi:type="dcterms:W3CDTF">2012-05-26T06:11:00Z</dcterms:modified>
</cp:coreProperties>
</file>